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F7486" w14:textId="2AF964C3" w:rsidR="000850B9" w:rsidRPr="000850B9" w:rsidRDefault="001833C1" w:rsidP="00D10D52">
      <w:pPr>
        <w:ind w:left="5040" w:firstLine="0"/>
        <w:rPr>
          <w:spacing w:val="-3"/>
          <w:u w:val="single"/>
        </w:rPr>
      </w:pPr>
      <w:bookmarkStart w:id="0" w:name="_GoBack"/>
      <w:bookmarkEnd w:id="0"/>
      <w:r>
        <w:rPr>
          <w:spacing w:val="-3"/>
          <w:u w:val="single"/>
        </w:rPr>
        <w:t xml:space="preserve">Environmental Protection </w:t>
      </w:r>
      <w:r w:rsidR="000850B9" w:rsidRPr="000850B9">
        <w:rPr>
          <w:spacing w:val="-3"/>
          <w:u w:val="single"/>
        </w:rPr>
        <w:t>Committee Staff</w:t>
      </w:r>
    </w:p>
    <w:p w14:paraId="6A33141E" w14:textId="77777777" w:rsidR="00CF2151" w:rsidRDefault="00CF2151" w:rsidP="00CF2151">
      <w:pPr>
        <w:ind w:left="5040" w:firstLine="0"/>
        <w:rPr>
          <w:spacing w:val="-3"/>
        </w:rPr>
      </w:pPr>
      <w:r>
        <w:rPr>
          <w:spacing w:val="-3"/>
        </w:rPr>
        <w:t>Samara Swanson, Counsel</w:t>
      </w:r>
    </w:p>
    <w:p w14:paraId="4497B5C3" w14:textId="77777777" w:rsidR="00CF2151" w:rsidRDefault="00CF2151" w:rsidP="00CF2151">
      <w:pPr>
        <w:ind w:left="5040" w:firstLine="0"/>
        <w:rPr>
          <w:spacing w:val="-3"/>
        </w:rPr>
      </w:pPr>
      <w:r>
        <w:rPr>
          <w:spacing w:val="-3"/>
        </w:rPr>
        <w:t>Nadia Johnson, Senior Policy Analyst</w:t>
      </w:r>
    </w:p>
    <w:p w14:paraId="0B24E524" w14:textId="77777777" w:rsidR="00CF2151" w:rsidRDefault="00CF2151" w:rsidP="00CF2151">
      <w:pPr>
        <w:ind w:left="5040" w:firstLine="0"/>
        <w:rPr>
          <w:spacing w:val="-3"/>
        </w:rPr>
      </w:pPr>
      <w:r>
        <w:rPr>
          <w:spacing w:val="-3"/>
        </w:rPr>
        <w:t>Ricky Chawla, Policy Analyst</w:t>
      </w:r>
    </w:p>
    <w:p w14:paraId="21774DC1" w14:textId="77777777" w:rsidR="00CF2151" w:rsidRPr="000850B9" w:rsidRDefault="00CF2151" w:rsidP="00CF2151">
      <w:pPr>
        <w:ind w:left="5040" w:firstLine="0"/>
        <w:rPr>
          <w:spacing w:val="-3"/>
        </w:rPr>
      </w:pPr>
      <w:r>
        <w:rPr>
          <w:spacing w:val="-3"/>
        </w:rPr>
        <w:t>Jonathan Seltzer, Senior Financial Analyst</w:t>
      </w:r>
    </w:p>
    <w:p w14:paraId="444D1E56" w14:textId="5D91A494" w:rsidR="00D10D52" w:rsidRDefault="00D10D52" w:rsidP="000850B9">
      <w:pPr>
        <w:ind w:left="5040"/>
        <w:rPr>
          <w:spacing w:val="-3"/>
        </w:rPr>
      </w:pPr>
    </w:p>
    <w:p w14:paraId="17DA3735" w14:textId="77777777" w:rsidR="00D10D52" w:rsidRPr="000850B9" w:rsidRDefault="00D10D52" w:rsidP="000850B9">
      <w:pPr>
        <w:ind w:left="5040"/>
        <w:rPr>
          <w:b/>
          <w:spacing w:val="-3"/>
          <w:u w:val="single"/>
        </w:rPr>
      </w:pPr>
    </w:p>
    <w:p w14:paraId="49F2DC7E" w14:textId="77777777" w:rsidR="000850B9" w:rsidRPr="000850B9" w:rsidRDefault="000850B9" w:rsidP="000850B9">
      <w:pPr>
        <w:keepNext/>
        <w:tabs>
          <w:tab w:val="center" w:pos="4680"/>
        </w:tabs>
        <w:suppressAutoHyphens/>
        <w:ind w:firstLine="0"/>
        <w:jc w:val="center"/>
        <w:outlineLvl w:val="3"/>
        <w:rPr>
          <w:b/>
          <w:spacing w:val="-3"/>
          <w:u w:val="single"/>
        </w:rPr>
      </w:pPr>
    </w:p>
    <w:p w14:paraId="0501B268" w14:textId="77777777" w:rsidR="000850B9" w:rsidRPr="000850B9" w:rsidRDefault="000850B9" w:rsidP="000850B9">
      <w:pPr>
        <w:ind w:firstLine="0"/>
        <w:jc w:val="center"/>
      </w:pPr>
      <w:r w:rsidRPr="000850B9">
        <w:rPr>
          <w:noProof/>
        </w:rPr>
        <w:drawing>
          <wp:inline distT="0" distB="0" distL="0" distR="0" wp14:anchorId="542E05C8" wp14:editId="04A0AEAA">
            <wp:extent cx="1009650"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33145"/>
                    </a:xfrm>
                    <a:prstGeom prst="rect">
                      <a:avLst/>
                    </a:prstGeom>
                    <a:noFill/>
                    <a:ln>
                      <a:noFill/>
                    </a:ln>
                  </pic:spPr>
                </pic:pic>
              </a:graphicData>
            </a:graphic>
          </wp:inline>
        </w:drawing>
      </w:r>
    </w:p>
    <w:p w14:paraId="2D25F116" w14:textId="77777777" w:rsidR="000850B9" w:rsidRPr="000850B9" w:rsidRDefault="000850B9" w:rsidP="000850B9">
      <w:pPr>
        <w:ind w:firstLine="0"/>
      </w:pPr>
    </w:p>
    <w:p w14:paraId="6849036A" w14:textId="77777777" w:rsidR="00D00960" w:rsidRPr="00581DCF" w:rsidRDefault="00D00960" w:rsidP="00003046">
      <w:pPr>
        <w:widowControl w:val="0"/>
        <w:ind w:firstLine="0"/>
        <w:jc w:val="center"/>
        <w:outlineLvl w:val="5"/>
        <w:rPr>
          <w:rFonts w:ascii="Times New Roman Bold"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The New York City Council</w:t>
      </w:r>
    </w:p>
    <w:p w14:paraId="5414F01E" w14:textId="77777777" w:rsidR="00D00960" w:rsidRPr="00581DCF" w:rsidRDefault="00D00960" w:rsidP="00003046">
      <w:pPr>
        <w:tabs>
          <w:tab w:val="center" w:pos="4680"/>
        </w:tabs>
        <w:ind w:firstLine="0"/>
        <w:jc w:val="center"/>
        <w:rPr>
          <w:iCs/>
        </w:rPr>
      </w:pPr>
      <w:r w:rsidRPr="00581DCF">
        <w:rPr>
          <w:iCs/>
        </w:rPr>
        <w:t>Jeffrey Baker, Legislative Director</w:t>
      </w:r>
    </w:p>
    <w:p w14:paraId="424C9D58" w14:textId="77777777" w:rsidR="00D00960" w:rsidRPr="00581DCF" w:rsidRDefault="00D00960" w:rsidP="00D00960">
      <w:pPr>
        <w:tabs>
          <w:tab w:val="left" w:pos="-1440"/>
        </w:tabs>
        <w:ind w:left="4320"/>
        <w:rPr>
          <w:b/>
        </w:rPr>
      </w:pPr>
    </w:p>
    <w:p w14:paraId="103D08C5" w14:textId="0B5B8C36" w:rsidR="00D00960" w:rsidRPr="00581DCF" w:rsidRDefault="00D00960" w:rsidP="00003046">
      <w:pPr>
        <w:widowControl w:val="0"/>
        <w:ind w:firstLine="0"/>
        <w:jc w:val="center"/>
        <w:outlineLvl w:val="5"/>
        <w:rPr>
          <w:rFonts w:ascii="Times New Roman Bold"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Committee Report of the Infrastructure Division</w:t>
      </w:r>
    </w:p>
    <w:p w14:paraId="5F2711C4" w14:textId="085A873A" w:rsidR="00D10D52" w:rsidRPr="000850B9" w:rsidRDefault="00D00960" w:rsidP="00003046">
      <w:pPr>
        <w:tabs>
          <w:tab w:val="center" w:pos="4680"/>
        </w:tabs>
        <w:ind w:firstLine="0"/>
        <w:jc w:val="center"/>
      </w:pPr>
      <w:r w:rsidRPr="00581DCF">
        <w:rPr>
          <w:iCs/>
        </w:rPr>
        <w:t>Terzah Nasser, Deputy Director</w:t>
      </w:r>
    </w:p>
    <w:p w14:paraId="15C29C1F" w14:textId="77777777" w:rsidR="00D00960" w:rsidRPr="00581DCF" w:rsidRDefault="00D00960" w:rsidP="00D00960">
      <w:pPr>
        <w:tabs>
          <w:tab w:val="left" w:pos="-1440"/>
        </w:tabs>
        <w:ind w:left="4320"/>
        <w:rPr>
          <w:b/>
        </w:rPr>
      </w:pPr>
    </w:p>
    <w:p w14:paraId="65EC00EA" w14:textId="77777777" w:rsidR="00D00960" w:rsidRPr="00581DCF" w:rsidRDefault="00D00960" w:rsidP="00003046">
      <w:pPr>
        <w:tabs>
          <w:tab w:val="center" w:pos="4680"/>
        </w:tabs>
        <w:ind w:firstLine="0"/>
        <w:jc w:val="center"/>
        <w:rPr>
          <w:rFonts w:ascii="Times New Roman Bold" w:hAnsi="Times New Roman Bold"/>
          <w:b/>
          <w:smallCaps/>
          <w:u w:val="single"/>
        </w:rPr>
      </w:pPr>
      <w:r w:rsidRPr="00581DCF">
        <w:rPr>
          <w:rFonts w:ascii="Times New Roman Bold" w:hAnsi="Times New Roman Bold"/>
          <w:b/>
          <w:smallCaps/>
          <w:u w:val="single"/>
        </w:rPr>
        <w:t>Committee on Environmental Protection</w:t>
      </w:r>
    </w:p>
    <w:p w14:paraId="29EBFEEE" w14:textId="77777777" w:rsidR="00D00960" w:rsidRPr="00581DCF" w:rsidRDefault="00D00960" w:rsidP="00003046">
      <w:pPr>
        <w:ind w:firstLine="0"/>
        <w:jc w:val="center"/>
      </w:pPr>
      <w:r w:rsidRPr="00581DCF">
        <w:t xml:space="preserve">Hon. </w:t>
      </w:r>
      <w:r>
        <w:t>James F. Gennaro</w:t>
      </w:r>
      <w:r w:rsidRPr="00581DCF">
        <w:t>, Chair</w:t>
      </w:r>
    </w:p>
    <w:p w14:paraId="2FFC97DB" w14:textId="77777777" w:rsidR="00D00960" w:rsidRPr="00581DCF" w:rsidRDefault="00D00960" w:rsidP="00D00960">
      <w:pPr>
        <w:jc w:val="center"/>
      </w:pPr>
    </w:p>
    <w:p w14:paraId="531000F3" w14:textId="68A3E922" w:rsidR="00D00960" w:rsidRPr="00581DCF" w:rsidRDefault="001833C1" w:rsidP="00003046">
      <w:pPr>
        <w:keepNext/>
        <w:ind w:firstLine="0"/>
        <w:jc w:val="center"/>
        <w:outlineLvl w:val="3"/>
        <w:rPr>
          <w:b/>
          <w:bCs/>
        </w:rPr>
      </w:pPr>
      <w:r>
        <w:rPr>
          <w:b/>
          <w:bCs/>
        </w:rPr>
        <w:t>November 17</w:t>
      </w:r>
      <w:r w:rsidR="00D00960">
        <w:rPr>
          <w:b/>
          <w:bCs/>
        </w:rPr>
        <w:t>, 2021</w:t>
      </w:r>
    </w:p>
    <w:p w14:paraId="2801502E" w14:textId="77777777" w:rsidR="00D00960" w:rsidRDefault="00D00960" w:rsidP="00D00960">
      <w:pPr>
        <w:ind w:left="4320" w:hanging="4320"/>
        <w:jc w:val="both"/>
        <w:rPr>
          <w:bCs/>
        </w:rPr>
      </w:pPr>
    </w:p>
    <w:p w14:paraId="556DCFBF" w14:textId="7625AEFB" w:rsidR="00D00960" w:rsidRDefault="00D00960" w:rsidP="00D00960">
      <w:pPr>
        <w:ind w:left="4320" w:hanging="4320"/>
        <w:jc w:val="both"/>
        <w:rPr>
          <w:bCs/>
        </w:rPr>
      </w:pPr>
    </w:p>
    <w:p w14:paraId="0DD79651" w14:textId="6162CCEE" w:rsidR="00D00960" w:rsidRPr="00D00960" w:rsidRDefault="00D00960" w:rsidP="00003046">
      <w:pPr>
        <w:tabs>
          <w:tab w:val="center" w:pos="4680"/>
        </w:tabs>
        <w:ind w:firstLine="0"/>
        <w:jc w:val="center"/>
        <w:rPr>
          <w:rFonts w:ascii="Times New Roman Bold" w:hAnsi="Times New Roman Bold"/>
          <w:b/>
          <w:smallCaps/>
        </w:rPr>
      </w:pPr>
      <w:r>
        <w:rPr>
          <w:rFonts w:ascii="Times New Roman Bold" w:hAnsi="Times New Roman Bold"/>
          <w:b/>
          <w:smallCaps/>
        </w:rPr>
        <w:t xml:space="preserve">Oversight </w:t>
      </w:r>
      <w:r w:rsidR="001833C1">
        <w:rPr>
          <w:rFonts w:ascii="Times New Roman Bold" w:hAnsi="Times New Roman Bold"/>
          <w:b/>
          <w:smallCaps/>
        </w:rPr>
        <w:t>–</w:t>
      </w:r>
      <w:r>
        <w:rPr>
          <w:rFonts w:ascii="Times New Roman Bold" w:hAnsi="Times New Roman Bold"/>
          <w:b/>
          <w:smallCaps/>
        </w:rPr>
        <w:t xml:space="preserve"> </w:t>
      </w:r>
      <w:r w:rsidR="001833C1">
        <w:rPr>
          <w:rFonts w:ascii="Times New Roman Bold" w:hAnsi="Times New Roman Bold"/>
          <w:b/>
          <w:smallCaps/>
        </w:rPr>
        <w:t>Building Electrification</w:t>
      </w:r>
    </w:p>
    <w:p w14:paraId="1EB6D064" w14:textId="77777777" w:rsidR="00D00960" w:rsidRPr="0025785A" w:rsidRDefault="00D00960" w:rsidP="00D00960">
      <w:pPr>
        <w:ind w:left="4320" w:hanging="4320"/>
        <w:jc w:val="both"/>
        <w:rPr>
          <w:bCs/>
        </w:rPr>
      </w:pPr>
    </w:p>
    <w:p w14:paraId="70C7C6D3" w14:textId="77777777" w:rsidR="00D00960" w:rsidRPr="0025785A" w:rsidRDefault="00D00960" w:rsidP="00D00960">
      <w:pPr>
        <w:ind w:left="4320" w:hanging="4320"/>
        <w:jc w:val="both"/>
        <w:rPr>
          <w:bCs/>
        </w:rPr>
      </w:pPr>
    </w:p>
    <w:p w14:paraId="3B2370D5" w14:textId="07605592" w:rsidR="00D00960" w:rsidRPr="0025785A" w:rsidRDefault="00D00960" w:rsidP="00D00960">
      <w:pPr>
        <w:ind w:left="4320" w:hanging="4320"/>
        <w:jc w:val="both"/>
        <w:rPr>
          <w:bCs/>
        </w:rPr>
      </w:pPr>
      <w:r w:rsidRPr="0025785A">
        <w:rPr>
          <w:b/>
          <w:bCs/>
          <w:u w:val="single"/>
        </w:rPr>
        <w:t xml:space="preserve">Int. No. </w:t>
      </w:r>
      <w:r w:rsidR="001833C1">
        <w:rPr>
          <w:b/>
          <w:bCs/>
          <w:u w:val="single"/>
        </w:rPr>
        <w:t>2091</w:t>
      </w:r>
      <w:r w:rsidRPr="0025785A">
        <w:rPr>
          <w:b/>
          <w:bCs/>
          <w:u w:val="single"/>
        </w:rPr>
        <w:t>:</w:t>
      </w:r>
      <w:r w:rsidRPr="0025785A">
        <w:rPr>
          <w:b/>
          <w:bCs/>
        </w:rPr>
        <w:tab/>
      </w:r>
      <w:r w:rsidRPr="00D00960">
        <w:rPr>
          <w:color w:val="000000"/>
        </w:rPr>
        <w:t xml:space="preserve">By Council Members </w:t>
      </w:r>
      <w:r w:rsidR="001833C1">
        <w:rPr>
          <w:color w:val="000000"/>
        </w:rPr>
        <w:t>Kallos and Cornegy</w:t>
      </w:r>
    </w:p>
    <w:p w14:paraId="59AC6FAC" w14:textId="77777777" w:rsidR="00D00960" w:rsidRPr="0025785A" w:rsidRDefault="00D00960" w:rsidP="00D00960">
      <w:pPr>
        <w:ind w:left="4320" w:hanging="4320"/>
        <w:jc w:val="both"/>
        <w:rPr>
          <w:b/>
          <w:bCs/>
        </w:rPr>
      </w:pPr>
    </w:p>
    <w:p w14:paraId="3D3451EF" w14:textId="554B86B3" w:rsidR="00D00960" w:rsidRDefault="00D00960" w:rsidP="00D00960">
      <w:pPr>
        <w:ind w:left="4320" w:hanging="4320"/>
        <w:jc w:val="both"/>
        <w:rPr>
          <w:color w:val="000000"/>
        </w:rPr>
      </w:pPr>
      <w:r w:rsidRPr="0025785A">
        <w:rPr>
          <w:b/>
          <w:bCs/>
          <w:u w:val="single"/>
        </w:rPr>
        <w:t>Title:</w:t>
      </w:r>
      <w:r w:rsidRPr="0025785A">
        <w:rPr>
          <w:b/>
          <w:bCs/>
        </w:rPr>
        <w:tab/>
      </w:r>
      <w:r w:rsidRPr="00D00960">
        <w:rPr>
          <w:color w:val="000000"/>
        </w:rPr>
        <w:t xml:space="preserve">A Local Law to amend the administrative code of the city of New York, in relation to </w:t>
      </w:r>
      <w:r w:rsidR="001833C1" w:rsidRPr="001833C1">
        <w:rPr>
          <w:color w:val="000000"/>
        </w:rPr>
        <w:t>studying the feasibility of electrifying existing buildings.</w:t>
      </w:r>
    </w:p>
    <w:p w14:paraId="1516E4F9" w14:textId="77777777" w:rsidR="00D00960" w:rsidRPr="0025785A" w:rsidRDefault="00D00960" w:rsidP="00D00960">
      <w:pPr>
        <w:ind w:left="4320" w:hanging="4320"/>
        <w:jc w:val="both"/>
        <w:rPr>
          <w:bCs/>
        </w:rPr>
      </w:pPr>
    </w:p>
    <w:p w14:paraId="1B3816B1" w14:textId="364BA07E" w:rsidR="00D00960" w:rsidRPr="0025785A" w:rsidRDefault="00D00960" w:rsidP="00D00960">
      <w:pPr>
        <w:ind w:left="4320" w:hanging="4320"/>
        <w:jc w:val="both"/>
        <w:rPr>
          <w:rFonts w:eastAsia="Calibri"/>
        </w:rPr>
      </w:pPr>
      <w:r w:rsidRPr="0025785A">
        <w:rPr>
          <w:b/>
          <w:bCs/>
          <w:u w:val="single"/>
        </w:rPr>
        <w:t>Administrative Code:</w:t>
      </w:r>
      <w:r w:rsidRPr="0025785A">
        <w:rPr>
          <w:b/>
          <w:bCs/>
        </w:rPr>
        <w:tab/>
      </w:r>
      <w:r w:rsidRPr="00D00960">
        <w:rPr>
          <w:color w:val="000000"/>
        </w:rPr>
        <w:t xml:space="preserve">Amends </w:t>
      </w:r>
      <w:r w:rsidR="001833C1">
        <w:rPr>
          <w:color w:val="000000"/>
        </w:rPr>
        <w:t>section 3-126</w:t>
      </w:r>
    </w:p>
    <w:p w14:paraId="51CB481C" w14:textId="77777777" w:rsidR="00D00960" w:rsidRDefault="00D00960" w:rsidP="00D00960">
      <w:pPr>
        <w:jc w:val="both"/>
        <w:rPr>
          <w:rFonts w:ascii="Times Roman" w:eastAsia="Calibri" w:hAnsi="Times Roman"/>
          <w:szCs w:val="22"/>
        </w:rPr>
      </w:pPr>
    </w:p>
    <w:p w14:paraId="52801734" w14:textId="676C0E5A" w:rsidR="00D00960" w:rsidRDefault="00D00960" w:rsidP="00D00960">
      <w:pPr>
        <w:ind w:firstLine="0"/>
        <w:jc w:val="both"/>
        <w:rPr>
          <w:rFonts w:ascii="Times Roman" w:eastAsia="Calibri" w:hAnsi="Times Roman"/>
          <w:szCs w:val="22"/>
        </w:rPr>
      </w:pPr>
    </w:p>
    <w:p w14:paraId="376F93CC" w14:textId="4E85D1AD" w:rsidR="00D00960" w:rsidRDefault="00D00960" w:rsidP="00D00960">
      <w:pPr>
        <w:ind w:firstLine="0"/>
        <w:jc w:val="both"/>
        <w:rPr>
          <w:rFonts w:ascii="Times Roman" w:eastAsia="Calibri" w:hAnsi="Times Roman"/>
          <w:szCs w:val="22"/>
        </w:rPr>
      </w:pPr>
    </w:p>
    <w:p w14:paraId="19448C87" w14:textId="73286C25" w:rsidR="00D00960" w:rsidRPr="0025785A" w:rsidRDefault="00D00960" w:rsidP="00D00960">
      <w:pPr>
        <w:ind w:left="4320" w:hanging="4320"/>
        <w:jc w:val="both"/>
        <w:rPr>
          <w:bCs/>
        </w:rPr>
      </w:pPr>
      <w:r w:rsidRPr="0025785A">
        <w:rPr>
          <w:b/>
          <w:bCs/>
          <w:u w:val="single"/>
        </w:rPr>
        <w:t xml:space="preserve">Int. No. </w:t>
      </w:r>
      <w:r w:rsidR="001833C1">
        <w:rPr>
          <w:b/>
          <w:bCs/>
          <w:u w:val="single"/>
        </w:rPr>
        <w:t>2196</w:t>
      </w:r>
      <w:r w:rsidRPr="0025785A">
        <w:rPr>
          <w:b/>
          <w:bCs/>
          <w:u w:val="single"/>
        </w:rPr>
        <w:t>:</w:t>
      </w:r>
      <w:r w:rsidRPr="0025785A">
        <w:rPr>
          <w:b/>
          <w:bCs/>
        </w:rPr>
        <w:tab/>
      </w:r>
      <w:r w:rsidRPr="00D00960">
        <w:rPr>
          <w:rFonts w:ascii="Times Roman" w:eastAsia="Calibri" w:hAnsi="Times Roman"/>
          <w:szCs w:val="22"/>
        </w:rPr>
        <w:t>By Council Membe</w:t>
      </w:r>
      <w:r w:rsidR="00B95A36">
        <w:rPr>
          <w:rFonts w:ascii="Times Roman" w:eastAsia="Calibri" w:hAnsi="Times Roman"/>
          <w:szCs w:val="22"/>
        </w:rPr>
        <w:t>r</w:t>
      </w:r>
      <w:r w:rsidR="001833C1">
        <w:rPr>
          <w:rFonts w:ascii="Times Roman" w:eastAsia="Calibri" w:hAnsi="Times Roman"/>
          <w:szCs w:val="22"/>
        </w:rPr>
        <w:t xml:space="preserve"> Louis</w:t>
      </w:r>
    </w:p>
    <w:p w14:paraId="75CFDEE5" w14:textId="77777777" w:rsidR="00D00960" w:rsidRPr="0025785A" w:rsidRDefault="00D00960" w:rsidP="00D00960">
      <w:pPr>
        <w:ind w:left="4320" w:hanging="4320"/>
        <w:jc w:val="both"/>
        <w:rPr>
          <w:b/>
          <w:bCs/>
        </w:rPr>
      </w:pPr>
    </w:p>
    <w:p w14:paraId="74E22D94" w14:textId="46A55B20" w:rsidR="00D00960" w:rsidRPr="00D00960" w:rsidRDefault="00D00960" w:rsidP="00D00960">
      <w:pPr>
        <w:ind w:left="4320" w:hanging="4320"/>
        <w:jc w:val="both"/>
        <w:rPr>
          <w:color w:val="000000"/>
        </w:rPr>
      </w:pPr>
      <w:r w:rsidRPr="0025785A">
        <w:rPr>
          <w:b/>
          <w:bCs/>
          <w:u w:val="single"/>
        </w:rPr>
        <w:t>Title:</w:t>
      </w:r>
      <w:r w:rsidRPr="0025785A">
        <w:rPr>
          <w:b/>
          <w:bCs/>
        </w:rPr>
        <w:tab/>
      </w:r>
      <w:r w:rsidRPr="00D00960">
        <w:rPr>
          <w:rFonts w:ascii="Times Roman" w:eastAsia="Calibri" w:hAnsi="Times Roman"/>
          <w:szCs w:val="22"/>
        </w:rPr>
        <w:t xml:space="preserve">A Local Law </w:t>
      </w:r>
      <w:r w:rsidR="001833C1">
        <w:t xml:space="preserve">in </w:t>
      </w:r>
      <w:r w:rsidR="001833C1" w:rsidRPr="00DA53E6">
        <w:t xml:space="preserve">relation to a study of the health impacts </w:t>
      </w:r>
      <w:r w:rsidR="001833C1">
        <w:t>from</w:t>
      </w:r>
      <w:r w:rsidR="001833C1" w:rsidRPr="00DA53E6">
        <w:t xml:space="preserve"> gas stoves</w:t>
      </w:r>
    </w:p>
    <w:p w14:paraId="3961B825" w14:textId="77777777" w:rsidR="00D00960" w:rsidRPr="0025785A" w:rsidRDefault="00D00960" w:rsidP="00D00960">
      <w:pPr>
        <w:ind w:left="4320" w:hanging="4320"/>
        <w:jc w:val="both"/>
        <w:rPr>
          <w:color w:val="000000"/>
        </w:rPr>
      </w:pPr>
    </w:p>
    <w:p w14:paraId="7647B6CD" w14:textId="77777777" w:rsidR="00D00960" w:rsidRPr="00D00960" w:rsidRDefault="00D00960" w:rsidP="00D00960">
      <w:pPr>
        <w:ind w:firstLine="0"/>
        <w:jc w:val="both"/>
        <w:rPr>
          <w:rFonts w:ascii="Times Roman" w:eastAsia="Calibri" w:hAnsi="Times Roman"/>
          <w:szCs w:val="22"/>
        </w:rPr>
      </w:pPr>
    </w:p>
    <w:p w14:paraId="7B19AEFE" w14:textId="77777777" w:rsidR="00D00960" w:rsidRDefault="00D00960" w:rsidP="00D00960">
      <w:pPr>
        <w:ind w:firstLine="0"/>
        <w:jc w:val="both"/>
        <w:rPr>
          <w:rFonts w:ascii="Times Roman" w:eastAsia="Calibri" w:hAnsi="Times Roman"/>
          <w:szCs w:val="22"/>
        </w:rPr>
      </w:pPr>
    </w:p>
    <w:p w14:paraId="78F2CAC6" w14:textId="176A5A52" w:rsidR="00D00960" w:rsidRPr="00D00960" w:rsidRDefault="00D00960" w:rsidP="00D00960">
      <w:pPr>
        <w:ind w:left="4320" w:hanging="4320"/>
        <w:jc w:val="both"/>
        <w:rPr>
          <w:bCs/>
        </w:rPr>
      </w:pPr>
      <w:r w:rsidRPr="0025785A">
        <w:rPr>
          <w:b/>
          <w:bCs/>
          <w:u w:val="single"/>
        </w:rPr>
        <w:lastRenderedPageBreak/>
        <w:t>Int. No.</w:t>
      </w:r>
      <w:r>
        <w:rPr>
          <w:b/>
          <w:bCs/>
          <w:u w:val="single"/>
        </w:rPr>
        <w:t xml:space="preserve"> </w:t>
      </w:r>
      <w:r w:rsidR="001833C1">
        <w:rPr>
          <w:b/>
          <w:bCs/>
          <w:u w:val="single"/>
        </w:rPr>
        <w:t>2317</w:t>
      </w:r>
      <w:r w:rsidRPr="0025785A">
        <w:rPr>
          <w:b/>
          <w:bCs/>
          <w:u w:val="single"/>
        </w:rPr>
        <w:t>:</w:t>
      </w:r>
      <w:r w:rsidRPr="0025785A">
        <w:rPr>
          <w:b/>
          <w:bCs/>
        </w:rPr>
        <w:tab/>
      </w:r>
      <w:r w:rsidRPr="00D00960">
        <w:rPr>
          <w:rFonts w:ascii="Times Roman" w:eastAsia="Calibri" w:hAnsi="Times Roman"/>
          <w:szCs w:val="22"/>
        </w:rPr>
        <w:t xml:space="preserve">By Council Members </w:t>
      </w:r>
      <w:r w:rsidR="001833C1">
        <w:rPr>
          <w:rFonts w:ascii="Times Roman" w:eastAsia="Calibri" w:hAnsi="Times Roman"/>
          <w:szCs w:val="22"/>
        </w:rPr>
        <w:t xml:space="preserve">Ampry-Samuel, </w:t>
      </w:r>
      <w:r w:rsidR="001833C1" w:rsidRPr="001833C1">
        <w:rPr>
          <w:rFonts w:ascii="Times Roman" w:eastAsia="Calibri" w:hAnsi="Times Roman"/>
          <w:szCs w:val="22"/>
        </w:rPr>
        <w:t>Rivera, the Public Advocate (Mr. Williams), Van Bramer, Reynoso, Lander, Rosenthal, Kallos, Levin, Dromm, D. Diaz, Ayala, Menchaca, Adams, Barron, Chin, Cornegy, Rodriguez, Levine, Riley, Cumbo, Koslowitz, Dinowitz and Louis</w:t>
      </w:r>
    </w:p>
    <w:p w14:paraId="0613E586" w14:textId="77777777" w:rsidR="00D00960" w:rsidRPr="0025785A" w:rsidRDefault="00D00960" w:rsidP="00030B86">
      <w:pPr>
        <w:ind w:firstLine="0"/>
        <w:jc w:val="both"/>
        <w:rPr>
          <w:b/>
          <w:bCs/>
        </w:rPr>
      </w:pPr>
    </w:p>
    <w:p w14:paraId="7FA9BF28" w14:textId="7FC9BFDA" w:rsidR="00D00960" w:rsidRPr="00D00960" w:rsidRDefault="00D00960" w:rsidP="00D00960">
      <w:pPr>
        <w:ind w:left="4320" w:hanging="4320"/>
        <w:jc w:val="both"/>
        <w:rPr>
          <w:color w:val="000000"/>
        </w:rPr>
      </w:pPr>
      <w:r w:rsidRPr="0025785A">
        <w:rPr>
          <w:b/>
          <w:bCs/>
          <w:u w:val="single"/>
        </w:rPr>
        <w:t>Title:</w:t>
      </w:r>
      <w:r w:rsidRPr="0025785A">
        <w:rPr>
          <w:b/>
          <w:bCs/>
        </w:rPr>
        <w:tab/>
      </w:r>
      <w:r w:rsidRPr="00D00960">
        <w:rPr>
          <w:rFonts w:ascii="Times Roman" w:eastAsia="Calibri" w:hAnsi="Times Roman"/>
          <w:szCs w:val="22"/>
        </w:rPr>
        <w:t xml:space="preserve">A Local Law to amend the administrative code of the city of New York, </w:t>
      </w:r>
      <w:r w:rsidR="001833C1" w:rsidRPr="001833C1">
        <w:rPr>
          <w:rFonts w:ascii="Times Roman" w:eastAsia="Calibri" w:hAnsi="Times Roman"/>
          <w:szCs w:val="22"/>
        </w:rPr>
        <w:t>in relation to the use of substances with certain emissions profiles</w:t>
      </w:r>
    </w:p>
    <w:p w14:paraId="377EA6E6" w14:textId="2E175F1D" w:rsidR="00D00960" w:rsidRDefault="00D00960" w:rsidP="00D00960">
      <w:pPr>
        <w:ind w:left="4320" w:hanging="4320"/>
        <w:jc w:val="both"/>
        <w:rPr>
          <w:bCs/>
        </w:rPr>
      </w:pPr>
    </w:p>
    <w:p w14:paraId="51A89F7F" w14:textId="77777777" w:rsidR="00D00960" w:rsidRPr="0025785A" w:rsidRDefault="00D00960" w:rsidP="00D00960">
      <w:pPr>
        <w:ind w:left="4320" w:hanging="4320"/>
        <w:jc w:val="both"/>
        <w:rPr>
          <w:bCs/>
        </w:rPr>
      </w:pPr>
    </w:p>
    <w:p w14:paraId="03DC4241" w14:textId="06237E28" w:rsidR="00D00960" w:rsidRPr="00D00960" w:rsidRDefault="00D00960" w:rsidP="00D00960">
      <w:pPr>
        <w:ind w:left="4320" w:hanging="4320"/>
        <w:jc w:val="both"/>
        <w:rPr>
          <w:rFonts w:eastAsia="Calibri"/>
        </w:rPr>
      </w:pPr>
      <w:r w:rsidRPr="0025785A">
        <w:rPr>
          <w:b/>
          <w:bCs/>
          <w:u w:val="single"/>
        </w:rPr>
        <w:t>Administrative Code:</w:t>
      </w:r>
      <w:r w:rsidRPr="0025785A">
        <w:rPr>
          <w:b/>
          <w:bCs/>
        </w:rPr>
        <w:tab/>
      </w:r>
      <w:r w:rsidR="0046624C">
        <w:rPr>
          <w:rFonts w:ascii="Times Roman" w:eastAsia="Calibri" w:hAnsi="Times Roman"/>
          <w:szCs w:val="22"/>
        </w:rPr>
        <w:t>Adds</w:t>
      </w:r>
      <w:r w:rsidR="001833C1" w:rsidRPr="001833C1">
        <w:rPr>
          <w:rFonts w:ascii="Times Roman" w:eastAsia="Calibri" w:hAnsi="Times Roman"/>
          <w:szCs w:val="22"/>
        </w:rPr>
        <w:t xml:space="preserve"> a new section 24-177.1</w:t>
      </w:r>
      <w:r w:rsidR="001833C1">
        <w:rPr>
          <w:rFonts w:ascii="Times Roman" w:eastAsia="Calibri" w:hAnsi="Times Roman"/>
          <w:szCs w:val="22"/>
        </w:rPr>
        <w:t xml:space="preserve">, and </w:t>
      </w:r>
      <w:r w:rsidR="0046624C">
        <w:rPr>
          <w:rFonts w:ascii="Times Roman" w:eastAsia="Calibri" w:hAnsi="Times Roman"/>
          <w:szCs w:val="22"/>
        </w:rPr>
        <w:t>adds</w:t>
      </w:r>
      <w:r w:rsidR="001833C1">
        <w:rPr>
          <w:rFonts w:ascii="Times Roman" w:eastAsia="Calibri" w:hAnsi="Times Roman"/>
          <w:szCs w:val="22"/>
        </w:rPr>
        <w:t xml:space="preserve"> a new article 506 to chapter 5 of title 28</w:t>
      </w:r>
    </w:p>
    <w:p w14:paraId="2563E573" w14:textId="77777777" w:rsidR="004B1E64" w:rsidRDefault="004B1E64" w:rsidP="001833C1">
      <w:pPr>
        <w:ind w:firstLine="0"/>
        <w:jc w:val="both"/>
        <w:rPr>
          <w:rFonts w:eastAsia="Calibri"/>
        </w:rPr>
      </w:pPr>
    </w:p>
    <w:p w14:paraId="7D989289" w14:textId="3ACFE61B" w:rsidR="00D00960" w:rsidRDefault="00D00960" w:rsidP="00D00960">
      <w:pPr>
        <w:pStyle w:val="NoSpacing"/>
        <w:rPr>
          <w:rFonts w:ascii="Times New Roman" w:hAnsi="Times New Roman" w:cs="Times New Roman"/>
          <w:sz w:val="24"/>
          <w:szCs w:val="24"/>
        </w:rPr>
      </w:pPr>
    </w:p>
    <w:p w14:paraId="54BB66FC" w14:textId="346AAED5" w:rsidR="004F0171" w:rsidRDefault="004F0171" w:rsidP="00D00960">
      <w:pPr>
        <w:pStyle w:val="NoSpacing"/>
        <w:rPr>
          <w:rFonts w:ascii="Times New Roman" w:hAnsi="Times New Roman" w:cs="Times New Roman"/>
          <w:sz w:val="24"/>
          <w:szCs w:val="24"/>
        </w:rPr>
      </w:pPr>
    </w:p>
    <w:p w14:paraId="1DEADB9F" w14:textId="77777777" w:rsidR="00D00960" w:rsidRPr="00BD1477" w:rsidRDefault="00D00960" w:rsidP="00D00960">
      <w:pPr>
        <w:pStyle w:val="NoSpacing"/>
        <w:rPr>
          <w:rFonts w:ascii="Times New Roman" w:hAnsi="Times New Roman" w:cs="Times New Roman"/>
          <w:sz w:val="24"/>
          <w:szCs w:val="24"/>
        </w:rPr>
      </w:pPr>
    </w:p>
    <w:p w14:paraId="55F828BE" w14:textId="77777777" w:rsidR="00D00960" w:rsidRPr="00B96377" w:rsidRDefault="00D00960" w:rsidP="00D00960">
      <w:pPr>
        <w:pStyle w:val="BodyText"/>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B96377">
        <w:rPr>
          <w:b/>
          <w:bCs/>
          <w:smallCaps/>
        </w:rPr>
        <w:t>Introduction</w:t>
      </w:r>
    </w:p>
    <w:p w14:paraId="582016EB" w14:textId="77777777" w:rsidR="00030B86" w:rsidRDefault="00030B86" w:rsidP="00030B86">
      <w:pPr>
        <w:spacing w:line="480" w:lineRule="auto"/>
        <w:ind w:firstLine="0"/>
        <w:jc w:val="both"/>
      </w:pPr>
    </w:p>
    <w:p w14:paraId="307755F0" w14:textId="3CA3D35E" w:rsidR="004F0171" w:rsidRDefault="00D00960" w:rsidP="00694393">
      <w:pPr>
        <w:spacing w:line="480" w:lineRule="auto"/>
        <w:jc w:val="both"/>
      </w:pPr>
      <w:r>
        <w:t xml:space="preserve">On </w:t>
      </w:r>
      <w:r w:rsidR="001833C1">
        <w:t>November 17</w:t>
      </w:r>
      <w:r>
        <w:t>, 2021</w:t>
      </w:r>
      <w:r w:rsidRPr="00212B92">
        <w:t xml:space="preserve">, the Committee on Environmental Protection, chaired by Council Member </w:t>
      </w:r>
      <w:r>
        <w:t>James F. Gennaro,</w:t>
      </w:r>
      <w:r w:rsidR="001833C1">
        <w:t xml:space="preserve"> </w:t>
      </w:r>
      <w:r>
        <w:t>will hold a</w:t>
      </w:r>
      <w:r w:rsidR="00B95A36">
        <w:t>n</w:t>
      </w:r>
      <w:r>
        <w:t xml:space="preserve"> oversight hearing titled “</w:t>
      </w:r>
      <w:r w:rsidR="001833C1">
        <w:t>Building Electrification</w:t>
      </w:r>
      <w:r>
        <w:t xml:space="preserve">.” The Committees will also hear </w:t>
      </w:r>
      <w:r w:rsidR="006C6B13">
        <w:t>several legislative items</w:t>
      </w:r>
      <w:r w:rsidR="001833C1">
        <w:t>,</w:t>
      </w:r>
      <w:r w:rsidR="006C6B13">
        <w:t xml:space="preserve"> </w:t>
      </w:r>
      <w:r w:rsidR="001833C1">
        <w:t>including</w:t>
      </w:r>
      <w:r w:rsidR="006C6B13">
        <w:t xml:space="preserve"> </w:t>
      </w:r>
      <w:r w:rsidRPr="00212B92">
        <w:rPr>
          <w:bCs/>
        </w:rPr>
        <w:t xml:space="preserve">Int. No. </w:t>
      </w:r>
      <w:r w:rsidR="001833C1">
        <w:rPr>
          <w:bCs/>
        </w:rPr>
        <w:t>2091</w:t>
      </w:r>
      <w:r>
        <w:rPr>
          <w:bCs/>
        </w:rPr>
        <w:t>,</w:t>
      </w:r>
      <w:r w:rsidRPr="00D00960">
        <w:t xml:space="preserve"> in relation to </w:t>
      </w:r>
      <w:r w:rsidR="001833C1" w:rsidRPr="001833C1">
        <w:t>studying the feasibility of electrifying existing buildings</w:t>
      </w:r>
      <w:r>
        <w:rPr>
          <w:color w:val="000000"/>
        </w:rPr>
        <w:t xml:space="preserve">; </w:t>
      </w:r>
      <w:r w:rsidRPr="00212B92">
        <w:rPr>
          <w:bCs/>
        </w:rPr>
        <w:t xml:space="preserve">Int. No. </w:t>
      </w:r>
      <w:r w:rsidR="001833C1">
        <w:rPr>
          <w:bCs/>
        </w:rPr>
        <w:t>2196</w:t>
      </w:r>
      <w:r>
        <w:rPr>
          <w:bCs/>
        </w:rPr>
        <w:t xml:space="preserve">, </w:t>
      </w:r>
      <w:r w:rsidR="001833C1">
        <w:t xml:space="preserve">in </w:t>
      </w:r>
      <w:r w:rsidR="001833C1" w:rsidRPr="00DA53E6">
        <w:t xml:space="preserve">relation to a study of the health impacts </w:t>
      </w:r>
      <w:r w:rsidR="001833C1">
        <w:t>from</w:t>
      </w:r>
      <w:r w:rsidR="001833C1" w:rsidRPr="00DA53E6">
        <w:t xml:space="preserve"> gas stoves</w:t>
      </w:r>
      <w:r>
        <w:rPr>
          <w:color w:val="000000"/>
        </w:rPr>
        <w:t xml:space="preserve">; </w:t>
      </w:r>
      <w:r w:rsidR="001833C1">
        <w:rPr>
          <w:color w:val="000000"/>
        </w:rPr>
        <w:t xml:space="preserve">and </w:t>
      </w:r>
      <w:r w:rsidRPr="00212B92">
        <w:rPr>
          <w:bCs/>
        </w:rPr>
        <w:t xml:space="preserve">Int. No. </w:t>
      </w:r>
      <w:r w:rsidR="001833C1">
        <w:rPr>
          <w:bCs/>
        </w:rPr>
        <w:t>2317,</w:t>
      </w:r>
      <w:r>
        <w:rPr>
          <w:bCs/>
        </w:rPr>
        <w:t xml:space="preserve"> </w:t>
      </w:r>
      <w:r w:rsidR="001833C1" w:rsidRPr="001833C1">
        <w:rPr>
          <w:rFonts w:ascii="Times Roman" w:eastAsia="Calibri" w:hAnsi="Times Roman"/>
          <w:szCs w:val="22"/>
        </w:rPr>
        <w:t>in relation to the use of substances with certain emissions profiles</w:t>
      </w:r>
      <w:r w:rsidR="001833C1">
        <w:rPr>
          <w:rFonts w:ascii="Times Roman" w:eastAsia="Calibri" w:hAnsi="Times Roman"/>
          <w:szCs w:val="22"/>
        </w:rPr>
        <w:t xml:space="preserve">. </w:t>
      </w:r>
      <w:r w:rsidRPr="00D00960">
        <w:t xml:space="preserve">Those invited to testify include representatives from the Department of </w:t>
      </w:r>
      <w:r w:rsidR="001833C1">
        <w:t>Buildings</w:t>
      </w:r>
      <w:r w:rsidRPr="00D00960">
        <w:t xml:space="preserve"> (D</w:t>
      </w:r>
      <w:r w:rsidR="001833C1">
        <w:t>OB</w:t>
      </w:r>
      <w:r w:rsidRPr="00D00960">
        <w:t xml:space="preserve">), the Mayor’s Office of Climate </w:t>
      </w:r>
      <w:r w:rsidR="001833C1">
        <w:t>&amp; Sustainability</w:t>
      </w:r>
      <w:r>
        <w:t xml:space="preserve"> (MOC</w:t>
      </w:r>
      <w:r w:rsidR="001833C1">
        <w:t>&amp;</w:t>
      </w:r>
      <w:r w:rsidR="00D5312A">
        <w:t>S</w:t>
      </w:r>
      <w:r>
        <w:t>)</w:t>
      </w:r>
      <w:r w:rsidRPr="00D00960">
        <w:t xml:space="preserve">, </w:t>
      </w:r>
      <w:r w:rsidR="001833C1">
        <w:t xml:space="preserve">energy </w:t>
      </w:r>
      <w:r w:rsidR="00694393">
        <w:t xml:space="preserve">sector </w:t>
      </w:r>
      <w:r w:rsidR="001833C1">
        <w:t xml:space="preserve">practitioners, </w:t>
      </w:r>
      <w:r w:rsidR="00694393">
        <w:t xml:space="preserve">indoor air quality experts, </w:t>
      </w:r>
      <w:r w:rsidRPr="00D00960">
        <w:t xml:space="preserve">various </w:t>
      </w:r>
      <w:r>
        <w:t>climate</w:t>
      </w:r>
      <w:r w:rsidRPr="00D00960">
        <w:t xml:space="preserve">, </w:t>
      </w:r>
      <w:r w:rsidR="001833C1">
        <w:t>sustainability</w:t>
      </w:r>
      <w:r w:rsidRPr="00D00960">
        <w:t xml:space="preserve"> and environmental advocates, and other interested parties.</w:t>
      </w:r>
    </w:p>
    <w:p w14:paraId="4FFA86A4" w14:textId="590C11D3" w:rsidR="004C21EB" w:rsidRDefault="004C21EB" w:rsidP="00694393">
      <w:pPr>
        <w:spacing w:line="480" w:lineRule="auto"/>
        <w:jc w:val="both"/>
      </w:pPr>
    </w:p>
    <w:p w14:paraId="3F14BA19" w14:textId="77777777" w:rsidR="004C21EB" w:rsidRDefault="004C21EB" w:rsidP="00694393">
      <w:pPr>
        <w:spacing w:line="480" w:lineRule="auto"/>
        <w:jc w:val="both"/>
      </w:pPr>
    </w:p>
    <w:p w14:paraId="391E766F" w14:textId="77777777" w:rsidR="00694393" w:rsidRPr="00D00960" w:rsidRDefault="00694393" w:rsidP="00694393">
      <w:pPr>
        <w:spacing w:line="480" w:lineRule="auto"/>
        <w:jc w:val="both"/>
      </w:pPr>
    </w:p>
    <w:p w14:paraId="197DE55F" w14:textId="76D5D50D" w:rsidR="00D00960" w:rsidRDefault="00D00960" w:rsidP="00D00960">
      <w:pPr>
        <w:pStyle w:val="BodyText"/>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Background</w:t>
      </w:r>
    </w:p>
    <w:p w14:paraId="0DD52A5B" w14:textId="77777777" w:rsidR="00D00960" w:rsidRDefault="00D00960" w:rsidP="00D00960">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firstLine="0"/>
        <w:jc w:val="left"/>
        <w:rPr>
          <w:b/>
          <w:bCs/>
          <w:smallCaps/>
        </w:rPr>
      </w:pPr>
    </w:p>
    <w:p w14:paraId="77147B12" w14:textId="06B5A9E3" w:rsidR="003B0F01" w:rsidRDefault="003B0F01" w:rsidP="003B0F01">
      <w:pPr>
        <w:spacing w:line="480" w:lineRule="auto"/>
        <w:jc w:val="both"/>
      </w:pPr>
      <w:r w:rsidRPr="00527B67">
        <w:t>In 2018</w:t>
      </w:r>
      <w:r>
        <w:t>,</w:t>
      </w:r>
      <w:r w:rsidRPr="00527B67">
        <w:t xml:space="preserve"> </w:t>
      </w:r>
      <w:r>
        <w:t>t</w:t>
      </w:r>
      <w:r w:rsidRPr="00527B67">
        <w:t xml:space="preserve">he United Nations Intergovernmental Panel on Climate Change (IPCC) identified </w:t>
      </w:r>
      <w:r>
        <w:t xml:space="preserve">an increase of </w:t>
      </w:r>
      <w:r w:rsidRPr="00527B67">
        <w:t>1.5</w:t>
      </w:r>
      <w:r>
        <w:rPr>
          <w:color w:val="333333"/>
          <w:shd w:val="clear" w:color="auto" w:fill="FFFFFF"/>
        </w:rPr>
        <w:t xml:space="preserve"> degrees</w:t>
      </w:r>
      <w:r w:rsidRPr="00527B67">
        <w:t xml:space="preserve"> Celsius above pre-industrial levels as the point over which irreversible environmental changes and </w:t>
      </w:r>
      <w:r w:rsidR="001379FE">
        <w:t xml:space="preserve">the </w:t>
      </w:r>
      <w:r w:rsidRPr="00527B67">
        <w:t>potential loss of ecosystems become increasingly likely.</w:t>
      </w:r>
      <w:r w:rsidRPr="00527B67">
        <w:rPr>
          <w:rStyle w:val="FootnoteReference"/>
        </w:rPr>
        <w:footnoteReference w:id="1"/>
      </w:r>
      <w:r w:rsidRPr="00527B67">
        <w:t xml:space="preserve"> According to the United States (U</w:t>
      </w:r>
      <w:r>
        <w:t>.</w:t>
      </w:r>
      <w:r w:rsidRPr="00527B67">
        <w:t>S</w:t>
      </w:r>
      <w:r>
        <w:t>.</w:t>
      </w:r>
      <w:r w:rsidRPr="00527B67">
        <w:t>) Global Change Research Program’s Fourth National Climate Assessment, failure to significantly mitigate global man made carbon emissions will lead to increasing rates of sea level rise, increased frequency of extreme weather events, and rising temperatures, which are expected to cause ongoing damage to critical infrastructure, property, and economic productivity.</w:t>
      </w:r>
      <w:r w:rsidRPr="00527B67">
        <w:rPr>
          <w:rStyle w:val="FootnoteReference"/>
        </w:rPr>
        <w:footnoteReference w:id="2"/>
      </w:r>
      <w:r w:rsidRPr="00527B67">
        <w:t xml:space="preserve"> </w:t>
      </w:r>
    </w:p>
    <w:p w14:paraId="67C24D35" w14:textId="73F098EF" w:rsidR="003B0F01" w:rsidRDefault="003B0F01" w:rsidP="003B0F01">
      <w:pPr>
        <w:spacing w:line="480" w:lineRule="auto"/>
        <w:jc w:val="both"/>
      </w:pPr>
      <w:r>
        <w:t>On May 11, 2019, the Mauna Loa Observatory in Hawaii</w:t>
      </w:r>
      <w:r w:rsidR="001379FE">
        <w:t>,</w:t>
      </w:r>
      <w:r>
        <w:rPr>
          <w:rStyle w:val="FootnoteReference"/>
        </w:rPr>
        <w:footnoteReference w:id="3"/>
      </w:r>
      <w:r>
        <w:t xml:space="preserve"> which has </w:t>
      </w:r>
      <w:r w:rsidR="001379FE">
        <w:t xml:space="preserve">been </w:t>
      </w:r>
      <w:r>
        <w:t>compil</w:t>
      </w:r>
      <w:r w:rsidR="001379FE">
        <w:t>ing</w:t>
      </w:r>
      <w:r>
        <w:t xml:space="preserve"> atmospheric CO</w:t>
      </w:r>
      <w:r>
        <w:rPr>
          <w:vertAlign w:val="subscript"/>
        </w:rPr>
        <w:t xml:space="preserve">2 </w:t>
      </w:r>
      <w:r>
        <w:t>data since the 1950’s, recorded 415.26 parts per million (ppm) of CO</w:t>
      </w:r>
      <w:r>
        <w:rPr>
          <w:vertAlign w:val="subscript"/>
        </w:rPr>
        <w:t xml:space="preserve">2 </w:t>
      </w:r>
      <w:r>
        <w:t>in the atmosphere, the first time that the observatory measured a daily baseline above 415 ppm.</w:t>
      </w:r>
      <w:r>
        <w:rPr>
          <w:rStyle w:val="FootnoteReference"/>
        </w:rPr>
        <w:footnoteReference w:id="4"/>
      </w:r>
      <w:r>
        <w:t xml:space="preserve"> According to the </w:t>
      </w:r>
      <w:r w:rsidRPr="0028440E">
        <w:t xml:space="preserve">National Aeronautics and Space Administration </w:t>
      </w:r>
      <w:r>
        <w:t>(NASA), these are the highest CO</w:t>
      </w:r>
      <w:r>
        <w:rPr>
          <w:vertAlign w:val="subscript"/>
        </w:rPr>
        <w:t xml:space="preserve">2 </w:t>
      </w:r>
      <w:r>
        <w:t xml:space="preserve">levels </w:t>
      </w:r>
      <w:r w:rsidR="006D6A23">
        <w:t xml:space="preserve">that </w:t>
      </w:r>
      <w:r>
        <w:t>the planet has seen in the past 800,000 years.</w:t>
      </w:r>
      <w:r>
        <w:rPr>
          <w:rStyle w:val="FootnoteReference"/>
        </w:rPr>
        <w:footnoteReference w:id="5"/>
      </w:r>
      <w:r>
        <w:t xml:space="preserve"> A study published in 2017</w:t>
      </w:r>
      <w:r w:rsidR="00912C6F">
        <w:t>,</w:t>
      </w:r>
      <w:r>
        <w:t xml:space="preserve"> in the climate change-focused journal The Anthropocene Review</w:t>
      </w:r>
      <w:r w:rsidR="00912C6F">
        <w:t>,</w:t>
      </w:r>
      <w:r>
        <w:t xml:space="preserve"> estimates that human-linked factors during the past six decades are causing the climate to change 170 times faster than they would without human intervention.</w:t>
      </w:r>
      <w:r>
        <w:rPr>
          <w:rStyle w:val="FootnoteReference"/>
        </w:rPr>
        <w:footnoteReference w:id="6"/>
      </w:r>
      <w:r>
        <w:t xml:space="preserve"> </w:t>
      </w:r>
    </w:p>
    <w:p w14:paraId="581BE3FB" w14:textId="77777777" w:rsidR="004C21EB" w:rsidRDefault="003B0F01" w:rsidP="003B0F01">
      <w:pPr>
        <w:spacing w:line="480" w:lineRule="auto"/>
        <w:jc w:val="both"/>
      </w:pPr>
      <w:r>
        <w:t>The effects of climate change are often inequitably distributed, with low-income communities, communities of color, children, and senior citizens more likely to experience the deleterious effects.</w:t>
      </w:r>
      <w:r>
        <w:rPr>
          <w:rStyle w:val="FootnoteReference"/>
        </w:rPr>
        <w:footnoteReference w:id="7"/>
      </w:r>
      <w:r>
        <w:t xml:space="preserve"> Low-income communities often lack the financial and community resources to adequately respond to weather-related disasters, while communities of color are disproportionately likely to live in neighborhoods with environmental justice concerns.</w:t>
      </w:r>
      <w:r>
        <w:rPr>
          <w:rStyle w:val="FootnoteReference"/>
        </w:rPr>
        <w:footnoteReference w:id="8"/>
      </w:r>
      <w:r>
        <w:t xml:space="preserve"> Additionally, children and seniors are more vulnerable to the effects of extreme weather than healthy adults.</w:t>
      </w:r>
      <w:r>
        <w:rPr>
          <w:rStyle w:val="FootnoteReference"/>
        </w:rPr>
        <w:footnoteReference w:id="9"/>
      </w:r>
      <w:r>
        <w:t xml:space="preserve"> </w:t>
      </w:r>
    </w:p>
    <w:p w14:paraId="2418EB35" w14:textId="10860242" w:rsidR="003B0F01" w:rsidRDefault="003B0F01" w:rsidP="003B0F01">
      <w:pPr>
        <w:spacing w:line="480" w:lineRule="auto"/>
        <w:jc w:val="both"/>
      </w:pPr>
      <w:r>
        <w:t xml:space="preserve">According to the IPCC, climate modeling </w:t>
      </w:r>
      <w:r w:rsidR="00826C06">
        <w:t>scenarios in which warming is limited to approximately</w:t>
      </w:r>
      <w:r>
        <w:t xml:space="preserve"> 1.5 degree</w:t>
      </w:r>
      <w:r w:rsidR="00826C06">
        <w:t>s</w:t>
      </w:r>
      <w:r>
        <w:t xml:space="preserve"> Celsius generally show global carbon emissions reaching net zero by 2050.</w:t>
      </w:r>
      <w:r>
        <w:rPr>
          <w:rStyle w:val="FootnoteReference"/>
        </w:rPr>
        <w:footnoteReference w:id="10"/>
      </w:r>
      <w:r>
        <w:t xml:space="preserve"> </w:t>
      </w:r>
      <w:r w:rsidR="004C21EB">
        <w:t xml:space="preserve">While New York City </w:t>
      </w:r>
      <w:r w:rsidR="00C4082D">
        <w:t xml:space="preserve">(the City) </w:t>
      </w:r>
      <w:r w:rsidR="004C21EB">
        <w:t>was responsible for approximately 1.7% of global carbon emissions in 2019,</w:t>
      </w:r>
      <w:r w:rsidR="004C21EB">
        <w:rPr>
          <w:rStyle w:val="FootnoteReference"/>
        </w:rPr>
        <w:footnoteReference w:id="11"/>
      </w:r>
      <w:r w:rsidR="004C21EB">
        <w:t xml:space="preserve"> its status as a global leader gives it significant ability to drive more widespread acceptance of, and advancements in green technology.</w:t>
      </w:r>
    </w:p>
    <w:p w14:paraId="0608F3C2" w14:textId="214DF90D" w:rsidR="00826C06" w:rsidRDefault="00826C06" w:rsidP="003B0F01">
      <w:pPr>
        <w:spacing w:line="480" w:lineRule="auto"/>
        <w:jc w:val="both"/>
      </w:pPr>
    </w:p>
    <w:p w14:paraId="47582C48" w14:textId="1CA7A7B7" w:rsidR="00826C06" w:rsidRDefault="00826C06" w:rsidP="003B0F01">
      <w:pPr>
        <w:spacing w:line="480" w:lineRule="auto"/>
        <w:jc w:val="both"/>
      </w:pPr>
    </w:p>
    <w:p w14:paraId="66D9DDFC" w14:textId="77777777" w:rsidR="00826C06" w:rsidRDefault="00826C06" w:rsidP="003B0F01">
      <w:pPr>
        <w:spacing w:line="480" w:lineRule="auto"/>
        <w:jc w:val="both"/>
      </w:pPr>
    </w:p>
    <w:p w14:paraId="4752E8FE" w14:textId="28C3EB16" w:rsidR="004C21EB" w:rsidRPr="004C21EB" w:rsidRDefault="004C21EB" w:rsidP="004C21EB">
      <w:pPr>
        <w:spacing w:line="480" w:lineRule="auto"/>
        <w:ind w:firstLine="0"/>
        <w:jc w:val="both"/>
        <w:rPr>
          <w:i/>
          <w:iCs/>
          <w:u w:val="single"/>
        </w:rPr>
      </w:pPr>
      <w:r w:rsidRPr="004C21EB">
        <w:rPr>
          <w:i/>
          <w:iCs/>
          <w:u w:val="single"/>
        </w:rPr>
        <w:t>Building Electrification</w:t>
      </w:r>
    </w:p>
    <w:p w14:paraId="666536C2" w14:textId="56F81DB6" w:rsidR="004C21EB" w:rsidRPr="004C21EB" w:rsidRDefault="003B0F01" w:rsidP="004C21EB">
      <w:pPr>
        <w:pStyle w:val="ListParagraph"/>
        <w:spacing w:before="120" w:after="120" w:line="480" w:lineRule="auto"/>
        <w:ind w:left="0"/>
        <w:jc w:val="both"/>
        <w:rPr>
          <w:rFonts w:eastAsia="MyriadPro-Regular"/>
        </w:rPr>
      </w:pPr>
      <w:r>
        <w:rPr>
          <w:rFonts w:eastAsia="MyriadPro-Regular"/>
        </w:rPr>
        <w:t xml:space="preserve">In New York City, Local Law 66 of 2014 requires the </w:t>
      </w:r>
      <w:r w:rsidR="00C4082D">
        <w:rPr>
          <w:rFonts w:eastAsia="MyriadPro-Regular"/>
        </w:rPr>
        <w:t>C</w:t>
      </w:r>
      <w:r>
        <w:rPr>
          <w:rFonts w:eastAsia="MyriadPro-Regular"/>
        </w:rPr>
        <w:t>ity to reduce citywide</w:t>
      </w:r>
      <w:r w:rsidRPr="00D76989">
        <w:rPr>
          <w:rFonts w:eastAsia="MyriadPro-Regular"/>
        </w:rPr>
        <w:t xml:space="preserve"> </w:t>
      </w:r>
      <w:r>
        <w:rPr>
          <w:rFonts w:eastAsia="MyriadPro-Regular"/>
        </w:rPr>
        <w:t xml:space="preserve">GHG </w:t>
      </w:r>
      <w:r w:rsidRPr="00D76989">
        <w:rPr>
          <w:rFonts w:eastAsia="MyriadPro-Regular"/>
        </w:rPr>
        <w:t xml:space="preserve">emissions </w:t>
      </w:r>
      <w:r>
        <w:rPr>
          <w:rFonts w:eastAsia="MyriadPro-Regular"/>
        </w:rPr>
        <w:t>to</w:t>
      </w:r>
      <w:r w:rsidRPr="00D76989">
        <w:rPr>
          <w:rFonts w:eastAsia="MyriadPro-Regular"/>
        </w:rPr>
        <w:t xml:space="preserve"> </w:t>
      </w:r>
      <w:r>
        <w:rPr>
          <w:rFonts w:eastAsia="MyriadPro-Regular"/>
        </w:rPr>
        <w:t>80% lower than its 2005 level by 2050 (80x50)</w:t>
      </w:r>
      <w:r w:rsidRPr="00D76989">
        <w:rPr>
          <w:rFonts w:eastAsia="MyriadPro-Regular"/>
        </w:rPr>
        <w:t>.</w:t>
      </w:r>
      <w:r>
        <w:rPr>
          <w:rStyle w:val="FootnoteReference"/>
          <w:rFonts w:eastAsia="MyriadPro-Regular"/>
        </w:rPr>
        <w:footnoteReference w:id="12"/>
      </w:r>
      <w:r>
        <w:rPr>
          <w:rFonts w:eastAsia="MyriadPro-Regular"/>
        </w:rPr>
        <w:t xml:space="preserve"> </w:t>
      </w:r>
      <w:r>
        <w:rPr>
          <w:rFonts w:eastAsiaTheme="minorHAnsi"/>
        </w:rPr>
        <w:t>This requirement</w:t>
      </w:r>
      <w:r w:rsidRPr="00713484">
        <w:rPr>
          <w:rFonts w:eastAsiaTheme="minorHAnsi"/>
        </w:rPr>
        <w:t xml:space="preserve"> to reduce GHG emissions falls largely on </w:t>
      </w:r>
      <w:r w:rsidR="00C4082D">
        <w:rPr>
          <w:rFonts w:eastAsiaTheme="minorHAnsi"/>
        </w:rPr>
        <w:t>the</w:t>
      </w:r>
      <w:r>
        <w:rPr>
          <w:rFonts w:eastAsiaTheme="minorHAnsi"/>
        </w:rPr>
        <w:t xml:space="preserve"> City’s over one million buildings, which is by far the largest source of local GHG emissions.</w:t>
      </w:r>
      <w:r>
        <w:rPr>
          <w:rStyle w:val="FootnoteReference"/>
          <w:rFonts w:eastAsiaTheme="minorHAnsi"/>
        </w:rPr>
        <w:footnoteReference w:id="13"/>
      </w:r>
      <w:r>
        <w:rPr>
          <w:rFonts w:eastAsiaTheme="minorHAnsi"/>
        </w:rPr>
        <w:t xml:space="preserve"> </w:t>
      </w:r>
      <w:r>
        <w:rPr>
          <w:rFonts w:eastAsia="MyriadPro-Regular"/>
        </w:rPr>
        <w:t xml:space="preserve">New York City’s building stock is responsible for approximately 70% of citywide </w:t>
      </w:r>
      <w:r w:rsidR="004C21EB">
        <w:rPr>
          <w:rFonts w:eastAsia="MyriadPro-Regular"/>
        </w:rPr>
        <w:t>GHG emissions,</w:t>
      </w:r>
      <w:r>
        <w:rPr>
          <w:rStyle w:val="FootnoteReference"/>
          <w:rFonts w:eastAsia="MyriadPro-Regular"/>
        </w:rPr>
        <w:footnoteReference w:id="14"/>
      </w:r>
      <w:r w:rsidR="004C21EB">
        <w:rPr>
          <w:rFonts w:eastAsia="MyriadPro-Regular"/>
        </w:rPr>
        <w:t xml:space="preserve"> while the use of fossil fuel</w:t>
      </w:r>
      <w:r w:rsidR="00D5312A">
        <w:rPr>
          <w:rFonts w:eastAsia="MyriadPro-Regular"/>
        </w:rPr>
        <w:t>s</w:t>
      </w:r>
      <w:r w:rsidR="004C21EB">
        <w:rPr>
          <w:rFonts w:eastAsia="MyriadPro-Regular"/>
        </w:rPr>
        <w:t xml:space="preserve"> for heating and hot water production in the city’s building stock account</w:t>
      </w:r>
      <w:r w:rsidR="00D5312A">
        <w:rPr>
          <w:rFonts w:eastAsia="MyriadPro-Regular"/>
        </w:rPr>
        <w:t>s</w:t>
      </w:r>
      <w:r w:rsidR="004C21EB">
        <w:rPr>
          <w:rFonts w:eastAsia="MyriadPro-Regular"/>
        </w:rPr>
        <w:t xml:space="preserve"> for approximately 42% of the </w:t>
      </w:r>
      <w:r w:rsidR="00C4082D">
        <w:rPr>
          <w:rFonts w:eastAsia="MyriadPro-Regular"/>
        </w:rPr>
        <w:t>C</w:t>
      </w:r>
      <w:r w:rsidR="004C21EB">
        <w:rPr>
          <w:rFonts w:eastAsia="MyriadPro-Regular"/>
        </w:rPr>
        <w:t>ity’s total GHG emissions.</w:t>
      </w:r>
      <w:r w:rsidR="004C21EB">
        <w:rPr>
          <w:rStyle w:val="FootnoteReference"/>
          <w:rFonts w:eastAsia="MyriadPro-Regular"/>
        </w:rPr>
        <w:footnoteReference w:id="15"/>
      </w:r>
      <w:r>
        <w:rPr>
          <w:rFonts w:eastAsia="MyriadPro-Regular"/>
        </w:rPr>
        <w:t xml:space="preserve"> </w:t>
      </w:r>
      <w:r w:rsidR="004C21EB">
        <w:rPr>
          <w:rFonts w:eastAsia="MyriadPro-Regular"/>
        </w:rPr>
        <w:t>Combustion of natural gas in residential and industrial buildings is responsible for approximately 35% of New York City’s total annual GHG emissions.</w:t>
      </w:r>
      <w:r w:rsidR="004C21EB">
        <w:rPr>
          <w:rStyle w:val="FootnoteReference"/>
          <w:rFonts w:eastAsia="MyriadPro-Regular"/>
        </w:rPr>
        <w:footnoteReference w:id="16"/>
      </w:r>
      <w:r w:rsidR="004C21EB">
        <w:rPr>
          <w:rFonts w:eastAsia="MyriadPro-Regular"/>
        </w:rPr>
        <w:t xml:space="preserve"> </w:t>
      </w:r>
      <w:r w:rsidR="004C21EB">
        <w:t xml:space="preserve">Methane, the principal component of natural gas, </w:t>
      </w:r>
      <w:r w:rsidR="004C21EB" w:rsidRPr="00295B15">
        <w:t>traps heat far more effectively than CO</w:t>
      </w:r>
      <w:r w:rsidR="004C21EB" w:rsidRPr="00295B15">
        <w:rPr>
          <w:vertAlign w:val="subscript"/>
        </w:rPr>
        <w:t>2</w:t>
      </w:r>
      <w:r w:rsidR="004C21EB" w:rsidRPr="00295B15">
        <w:t>, with a global warming potential value (gwp) calculated to be 20-30 times higher than CO</w:t>
      </w:r>
      <w:r w:rsidR="004C21EB" w:rsidRPr="00295B15">
        <w:rPr>
          <w:vertAlign w:val="subscript"/>
        </w:rPr>
        <w:t>2</w:t>
      </w:r>
      <w:r w:rsidR="004C21EB" w:rsidRPr="00295B15">
        <w:t xml:space="preserve"> over a hundred year </w:t>
      </w:r>
      <w:r w:rsidR="004C21EB">
        <w:t>period</w:t>
      </w:r>
      <w:r w:rsidR="004C21EB" w:rsidRPr="00295B15">
        <w:t>.</w:t>
      </w:r>
      <w:r w:rsidR="004C21EB" w:rsidRPr="00295B15">
        <w:rPr>
          <w:vertAlign w:val="superscript"/>
        </w:rPr>
        <w:footnoteReference w:id="17"/>
      </w:r>
      <w:r w:rsidR="004C21EB" w:rsidRPr="00295B15">
        <w:t xml:space="preserve"> Once released, carbon dioxide persists approximately 10 times longer than methane, meaning that over a 10 year period, methane can be up to 100 times more effective at trapping heat, but as it is removed at a faster rate, its potency at the end of a 100 year timeframe is significantly </w:t>
      </w:r>
      <w:r w:rsidR="004C21EB" w:rsidRPr="00E1784F">
        <w:t>reduced, though still more potent than CO</w:t>
      </w:r>
      <w:r w:rsidR="004C21EB" w:rsidRPr="00E1784F">
        <w:rPr>
          <w:vertAlign w:val="subscript"/>
        </w:rPr>
        <w:t>2</w:t>
      </w:r>
      <w:r w:rsidR="004C21EB" w:rsidRPr="00E1784F">
        <w:t xml:space="preserve"> (methane 20-30 times CO</w:t>
      </w:r>
      <w:r w:rsidR="004C21EB" w:rsidRPr="00E1784F">
        <w:rPr>
          <w:vertAlign w:val="subscript"/>
        </w:rPr>
        <w:t>2</w:t>
      </w:r>
      <w:r w:rsidR="004C21EB" w:rsidRPr="00E1784F">
        <w:t>).</w:t>
      </w:r>
      <w:r w:rsidR="004C21EB" w:rsidRPr="00E1784F">
        <w:rPr>
          <w:vertAlign w:val="superscript"/>
        </w:rPr>
        <w:footnoteReference w:id="18"/>
      </w:r>
      <w:r w:rsidR="004C21EB" w:rsidRPr="00E1784F">
        <w:t xml:space="preserve"> According to</w:t>
      </w:r>
      <w:r w:rsidR="004C21EB">
        <w:t xml:space="preserve"> life cycle assessments of natural gas combustion compared to coal</w:t>
      </w:r>
      <w:r w:rsidR="004C21EB" w:rsidRPr="00E1784F">
        <w:t>,</w:t>
      </w:r>
      <w:r w:rsidR="004C21EB">
        <w:t xml:space="preserve"> a </w:t>
      </w:r>
      <w:r w:rsidR="004C21EB" w:rsidRPr="00E1784F">
        <w:t xml:space="preserve">leakage </w:t>
      </w:r>
      <w:r w:rsidR="004C21EB">
        <w:t xml:space="preserve">rate of 4% </w:t>
      </w:r>
      <w:r w:rsidR="004C21EB" w:rsidRPr="00E1784F">
        <w:t>is the point at which any emissions reduction gained from</w:t>
      </w:r>
      <w:r w:rsidR="004C21EB" w:rsidRPr="00295B15">
        <w:t xml:space="preserve"> </w:t>
      </w:r>
      <w:r w:rsidR="004C21EB" w:rsidRPr="00E1784F">
        <w:t>switching to natural gas from coal would be negated.</w:t>
      </w:r>
      <w:r w:rsidR="004C21EB" w:rsidRPr="00E1784F">
        <w:rPr>
          <w:vertAlign w:val="superscript"/>
        </w:rPr>
        <w:footnoteReference w:id="19"/>
      </w:r>
      <w:r w:rsidR="004C21EB" w:rsidRPr="00E1784F">
        <w:t xml:space="preserve"> Studies</w:t>
      </w:r>
      <w:r w:rsidR="004C21EB">
        <w:t xml:space="preserve"> </w:t>
      </w:r>
      <w:r w:rsidR="004C21EB" w:rsidRPr="00E1784F">
        <w:t>suggest that nearly 8 billion cubic feet (8 million dekatherms, or roughly 164 thousand metric tons</w:t>
      </w:r>
      <w:r w:rsidR="004C21EB" w:rsidRPr="00E1784F">
        <w:rPr>
          <w:vertAlign w:val="superscript"/>
        </w:rPr>
        <w:footnoteReference w:id="20"/>
      </w:r>
      <w:r w:rsidR="004C21EB" w:rsidRPr="00E1784F">
        <w:t>) of methane, 8% of Manhattan’s total annual supply, is lost from the island’s natural gas infrastructure every year</w:t>
      </w:r>
      <w:r w:rsidR="004C21EB">
        <w:t>, due to leaking infrastructure</w:t>
      </w:r>
      <w:r w:rsidR="004C21EB" w:rsidRPr="00E1784F">
        <w:t>.</w:t>
      </w:r>
      <w:r w:rsidR="004C21EB" w:rsidRPr="00E1784F">
        <w:rPr>
          <w:vertAlign w:val="superscript"/>
        </w:rPr>
        <w:footnoteReference w:id="21"/>
      </w:r>
      <w:r w:rsidR="004C21EB">
        <w:t xml:space="preserve"> </w:t>
      </w:r>
    </w:p>
    <w:p w14:paraId="6B041AE1" w14:textId="0798BEB0" w:rsidR="003B0F01" w:rsidRDefault="004C21EB" w:rsidP="004C21EB">
      <w:pPr>
        <w:pStyle w:val="BodyText"/>
        <w:tabs>
          <w:tab w:val="left" w:pos="0"/>
        </w:tabs>
        <w:ind w:firstLine="0"/>
        <w:rPr>
          <w:rFonts w:eastAsia="MyriadPro-Regular"/>
        </w:rPr>
      </w:pPr>
      <w:r>
        <w:tab/>
        <w:t>Widespread adoption of heating technologies that utilize renewable energy rather than the combustion of fossil fuels, and energy efficiency upgrades</w:t>
      </w:r>
      <w:r w:rsidR="00796E0C">
        <w:t>,</w:t>
      </w:r>
      <w:r>
        <w:t xml:space="preserve"> are required to reduce citywide GHG emissions at a sufficient rate to meet local and state climate goals.</w:t>
      </w:r>
      <w:r>
        <w:rPr>
          <w:rStyle w:val="FootnoteReference"/>
        </w:rPr>
        <w:footnoteReference w:id="22"/>
      </w:r>
      <w:r>
        <w:t xml:space="preserve">  Studies have shown that buildings where hot water production is decoupled from space heating boilers </w:t>
      </w:r>
      <w:r w:rsidRPr="00CF1FA4">
        <w:t xml:space="preserve">had substantially lower </w:t>
      </w:r>
      <w:r>
        <w:t>rates of fuel consumption than buildings where these two functions were serviced by the same equipment.</w:t>
      </w:r>
      <w:r>
        <w:rPr>
          <w:rStyle w:val="FootnoteReference"/>
        </w:rPr>
        <w:footnoteReference w:id="23"/>
      </w:r>
      <w:r>
        <w:t xml:space="preserve"> Additionally, the </w:t>
      </w:r>
      <w:r w:rsidR="00796E0C">
        <w:t>United States. Environmental Protection Agency (</w:t>
      </w:r>
      <w:r>
        <w:t>EPA</w:t>
      </w:r>
      <w:r w:rsidR="00796E0C">
        <w:t>)</w:t>
      </w:r>
      <w:r>
        <w:t xml:space="preserve"> identifies</w:t>
      </w:r>
      <w:r w:rsidRPr="00A14DD1">
        <w:t xml:space="preserve"> </w:t>
      </w:r>
      <w:r>
        <w:t>geothermal heat pumps as</w:t>
      </w:r>
      <w:r w:rsidRPr="00A14DD1">
        <w:t xml:space="preserve"> the most energy efficient, environmentally clean, and cost</w:t>
      </w:r>
      <w:r>
        <w:t xml:space="preserve"> </w:t>
      </w:r>
      <w:r w:rsidRPr="00A14DD1">
        <w:t>effective space-conditioning systems available, with the lowest carbon dioxide emissions</w:t>
      </w:r>
      <w:r>
        <w:t>,</w:t>
      </w:r>
      <w:r>
        <w:rPr>
          <w:rStyle w:val="FootnoteReference"/>
        </w:rPr>
        <w:footnoteReference w:id="24"/>
      </w:r>
      <w:r>
        <w:t xml:space="preserve"> with systems capable of reducing the energy required for indoor thermal regulation by 25 to 50% compared to conventional heating or cooling systems.</w:t>
      </w:r>
      <w:r>
        <w:rPr>
          <w:rStyle w:val="FootnoteReference"/>
        </w:rPr>
        <w:footnoteReference w:id="25"/>
      </w:r>
      <w:r>
        <w:t xml:space="preserve"> A Rocky Mountain Institute </w:t>
      </w:r>
      <w:r w:rsidR="003E77CA">
        <w:t xml:space="preserve">(RMI) </w:t>
      </w:r>
      <w:r>
        <w:t>study found that even with the current state of New York’s energy grid, switching to an air source heat pump from combustion based heating technologies would still represent a significant reduction in emissions per unit of heat delivered.</w:t>
      </w:r>
      <w:r>
        <w:rPr>
          <w:rStyle w:val="FootnoteReference"/>
        </w:rPr>
        <w:footnoteReference w:id="26"/>
      </w:r>
      <w:r>
        <w:t xml:space="preserve"> The </w:t>
      </w:r>
      <w:r w:rsidR="003E77CA">
        <w:t xml:space="preserve">RMI </w:t>
      </w:r>
      <w:r>
        <w:t>study also found that in new constructions, full electrification is significantly cheaper than the cost of installing both electric and natural gas infrastructure.</w:t>
      </w:r>
      <w:r>
        <w:rPr>
          <w:rStyle w:val="FootnoteReference"/>
        </w:rPr>
        <w:footnoteReference w:id="27"/>
      </w:r>
      <w:r>
        <w:t xml:space="preserve"> </w:t>
      </w:r>
      <w:r w:rsidR="00CB316D">
        <w:rPr>
          <w:rFonts w:eastAsia="MyriadPro-Regular"/>
        </w:rPr>
        <w:t>With estimates</w:t>
      </w:r>
      <w:r w:rsidR="003B0F01">
        <w:rPr>
          <w:rFonts w:eastAsia="MyriadPro-Regular"/>
        </w:rPr>
        <w:t xml:space="preserve"> that more than 90% of New York City’s current buildings will still be standing in 2050, increasing </w:t>
      </w:r>
      <w:r w:rsidR="003E77CA">
        <w:rPr>
          <w:rFonts w:eastAsia="MyriadPro-Regular"/>
        </w:rPr>
        <w:t xml:space="preserve">the </w:t>
      </w:r>
      <w:r w:rsidR="003B0F01">
        <w:rPr>
          <w:rFonts w:eastAsia="MyriadPro-Regular"/>
        </w:rPr>
        <w:t>energy efficiency of both existing buildings and new constructions is vital to the City’s efforts to reduce carbon emissions.</w:t>
      </w:r>
      <w:r w:rsidR="003B0F01">
        <w:rPr>
          <w:rStyle w:val="FootnoteReference"/>
          <w:rFonts w:eastAsia="MyriadPro-Regular"/>
        </w:rPr>
        <w:footnoteReference w:id="28"/>
      </w:r>
      <w:r>
        <w:rPr>
          <w:rFonts w:eastAsia="MyriadPro-Regular"/>
        </w:rPr>
        <w:t xml:space="preserve"> </w:t>
      </w:r>
    </w:p>
    <w:p w14:paraId="4C4C771D" w14:textId="045E37D0" w:rsidR="004C21EB" w:rsidRPr="004C21EB" w:rsidRDefault="004C21EB" w:rsidP="003B0F01">
      <w:pPr>
        <w:pStyle w:val="BodyText"/>
        <w:tabs>
          <w:tab w:val="left" w:pos="0"/>
        </w:tabs>
        <w:ind w:firstLine="0"/>
        <w:rPr>
          <w:rFonts w:eastAsia="MyriadPro-Regular"/>
          <w:i/>
          <w:iCs/>
          <w:u w:val="single"/>
        </w:rPr>
      </w:pPr>
      <w:r w:rsidRPr="004C21EB">
        <w:rPr>
          <w:rFonts w:eastAsia="MyriadPro-Regular"/>
          <w:i/>
          <w:iCs/>
          <w:u w:val="single"/>
        </w:rPr>
        <w:t>New York</w:t>
      </w:r>
      <w:r>
        <w:rPr>
          <w:rFonts w:eastAsia="MyriadPro-Regular"/>
          <w:i/>
          <w:iCs/>
          <w:u w:val="single"/>
        </w:rPr>
        <w:t xml:space="preserve"> City’s </w:t>
      </w:r>
      <w:r w:rsidRPr="004C21EB">
        <w:rPr>
          <w:rFonts w:eastAsia="MyriadPro-Regular"/>
          <w:i/>
          <w:iCs/>
          <w:u w:val="single"/>
        </w:rPr>
        <w:t>Clean Energy Prospects</w:t>
      </w:r>
    </w:p>
    <w:p w14:paraId="0B31A5B3" w14:textId="77777777" w:rsidR="004C21EB" w:rsidRDefault="004C21EB" w:rsidP="004C21EB">
      <w:pPr>
        <w:spacing w:line="480" w:lineRule="auto"/>
        <w:jc w:val="both"/>
      </w:pPr>
      <w:r>
        <w:t>In 2020, less than 30% of the electricity entering New York City’s grid was generated from renewable sources,</w:t>
      </w:r>
      <w:r>
        <w:rPr>
          <w:rStyle w:val="FootnoteReference"/>
        </w:rPr>
        <w:footnoteReference w:id="29"/>
      </w:r>
      <w:r>
        <w:t xml:space="preserve"> while statewide, 60% of energy consumed came from renewable or nuclear sources.</w:t>
      </w:r>
      <w:r>
        <w:rPr>
          <w:rStyle w:val="FootnoteReference"/>
        </w:rPr>
        <w:footnoteReference w:id="30"/>
      </w:r>
      <w:r>
        <w:t xml:space="preserve"> New York State’s Climate Leadership and Community Protection Act of 2019 aims to achieve 100% zero emission electricity by 2040, and overall emissions reductions of at least 85% below 1990 levels.</w:t>
      </w:r>
      <w:r>
        <w:rPr>
          <w:rStyle w:val="FootnoteReference"/>
        </w:rPr>
        <w:footnoteReference w:id="31"/>
      </w:r>
      <w:r>
        <w:t xml:space="preserve"> Toward this goal, the State has set targets of 9,000 megawatts (MW) of offshore wind by 2035, 3,000 MW of energy storage by 2030, 6,000 MW of solar generation by 2025, and 22 million tons of carbon reductions through energy efficiency and electrification.</w:t>
      </w:r>
      <w:r>
        <w:rPr>
          <w:rStyle w:val="FootnoteReference"/>
        </w:rPr>
        <w:footnoteReference w:id="32"/>
      </w:r>
      <w:r>
        <w:t xml:space="preserve"> </w:t>
      </w:r>
    </w:p>
    <w:p w14:paraId="1106137C" w14:textId="4BD61D82" w:rsidR="004C21EB" w:rsidRDefault="004C21EB" w:rsidP="004C21EB">
      <w:pPr>
        <w:spacing w:line="480" w:lineRule="auto"/>
        <w:jc w:val="both"/>
      </w:pPr>
      <w:r>
        <w:t>There are currently three offshore wind projects under active development in New York State, with a combined total capacity of 1,826 MW.</w:t>
      </w:r>
      <w:r>
        <w:rPr>
          <w:rStyle w:val="FootnoteReference"/>
        </w:rPr>
        <w:footnoteReference w:id="33"/>
      </w:r>
      <w:r>
        <w:t xml:space="preserve"> The Empire Wind project has a capacity of 816 MW, and is being developed by Equinor Wind US LLC.</w:t>
      </w:r>
      <w:r>
        <w:rPr>
          <w:rStyle w:val="FootnoteReference"/>
        </w:rPr>
        <w:footnoteReference w:id="34"/>
      </w:r>
      <w:r>
        <w:t xml:space="preserve"> The project will connect to the grid at the Gowanus Substation in Brooklyn,</w:t>
      </w:r>
      <w:r>
        <w:rPr>
          <w:rStyle w:val="FootnoteReference"/>
        </w:rPr>
        <w:footnoteReference w:id="35"/>
      </w:r>
      <w:r>
        <w:t xml:space="preserve"> and will feed energy directly into New York City’s energy grid.</w:t>
      </w:r>
      <w:r>
        <w:rPr>
          <w:rStyle w:val="FootnoteReference"/>
        </w:rPr>
        <w:footnoteReference w:id="36"/>
      </w:r>
      <w:r>
        <w:t xml:space="preserve"> The Sunrise Wind project has a capacity of 880 MW, is being developed by Sunrise Wind LLC, and is expected to begin commercial operation in 2024.</w:t>
      </w:r>
      <w:r>
        <w:rPr>
          <w:rStyle w:val="FootnoteReference"/>
        </w:rPr>
        <w:footnoteReference w:id="37"/>
      </w:r>
      <w:r>
        <w:t xml:space="preserve"> The project will connect to the grid at the Holbrook Substation in central Long Island.</w:t>
      </w:r>
      <w:r>
        <w:rPr>
          <w:rStyle w:val="FootnoteReference"/>
        </w:rPr>
        <w:footnoteReference w:id="38"/>
      </w:r>
      <w:r>
        <w:t xml:space="preserve"> The Empire and Sunrise projects are expected to power more than 1 million homes statewide, provide a combined economic impact of 3.2 billion dollars statewide, and support the creation of over 1,600 jobs.</w:t>
      </w:r>
      <w:r>
        <w:rPr>
          <w:rStyle w:val="FootnoteReference"/>
        </w:rPr>
        <w:footnoteReference w:id="39"/>
      </w:r>
      <w:r>
        <w:t xml:space="preserve"> </w:t>
      </w:r>
      <w:r w:rsidRPr="00870852">
        <w:t xml:space="preserve">The </w:t>
      </w:r>
      <w:r>
        <w:t>South Fork offshore wind farm has a capacity of 130 MW and is located 35 miles east of Montauk,</w:t>
      </w:r>
      <w:r>
        <w:rPr>
          <w:rStyle w:val="FootnoteReference"/>
        </w:rPr>
        <w:footnoteReference w:id="40"/>
      </w:r>
      <w:r>
        <w:t xml:space="preserve"> directly north of the Sunrise Wind offshore wind farm.</w:t>
      </w:r>
      <w:r>
        <w:rPr>
          <w:rStyle w:val="FootnoteReference"/>
        </w:rPr>
        <w:footnoteReference w:id="41"/>
      </w:r>
      <w:r>
        <w:t xml:space="preserve"> It is expected to provide enough renewable energy for 70,000 homes, and offset 300,000 tons of carbon emissions annually, statewide.</w:t>
      </w:r>
      <w:r>
        <w:rPr>
          <w:rStyle w:val="FootnoteReference"/>
        </w:rPr>
        <w:footnoteReference w:id="42"/>
      </w:r>
      <w:r>
        <w:t xml:space="preserve"> In July of 2020, </w:t>
      </w:r>
      <w:r w:rsidR="00016EED">
        <w:t>the</w:t>
      </w:r>
      <w:r w:rsidR="001B6559">
        <w:t xml:space="preserve"> State of New York </w:t>
      </w:r>
      <w:r>
        <w:t>announced</w:t>
      </w:r>
      <w:r w:rsidR="00016EED">
        <w:t xml:space="preserve"> a</w:t>
      </w:r>
      <w:r>
        <w:t xml:space="preserve"> solicitation for up to 2,500 additional megawatts of offshore wind projects, potentially bringing the State to nearly halfway of its goal of 9,000 MW by 2035.</w:t>
      </w:r>
      <w:r>
        <w:rPr>
          <w:rStyle w:val="FootnoteReference"/>
        </w:rPr>
        <w:footnoteReference w:id="43"/>
      </w:r>
    </w:p>
    <w:p w14:paraId="787FC2D6" w14:textId="112216B1" w:rsidR="004C21EB" w:rsidRDefault="004C21EB" w:rsidP="004C21EB">
      <w:pPr>
        <w:spacing w:after="160" w:line="480" w:lineRule="auto"/>
        <w:contextualSpacing/>
        <w:jc w:val="both"/>
      </w:pPr>
      <w:r w:rsidRPr="004C21EB">
        <w:t xml:space="preserve">There are also plans to build a new transmission line </w:t>
      </w:r>
      <w:r>
        <w:t xml:space="preserve">in order </w:t>
      </w:r>
      <w:r w:rsidRPr="004C21EB">
        <w:t xml:space="preserve">to </w:t>
      </w:r>
      <w:r>
        <w:t>improve New York City’s access to clean energy resources</w:t>
      </w:r>
      <w:r w:rsidRPr="004C21EB">
        <w:t>.</w:t>
      </w:r>
      <w:r>
        <w:rPr>
          <w:rStyle w:val="FootnoteReference"/>
        </w:rPr>
        <w:footnoteReference w:id="44"/>
      </w:r>
      <w:r w:rsidRPr="004C21EB">
        <w:t xml:space="preserve"> Know</w:t>
      </w:r>
      <w:r w:rsidR="0014782A">
        <w:t>n</w:t>
      </w:r>
      <w:r w:rsidRPr="004C21EB">
        <w:t xml:space="preserve"> as Clean Path NY</w:t>
      </w:r>
      <w:r w:rsidR="0014782A">
        <w:t xml:space="preserve"> (Clean Path)</w:t>
      </w:r>
      <w:r w:rsidRPr="004C21EB">
        <w:t>, the project is a joint venture between the New York Power Authority and Forward Power (energyRe, LLC and Inventergy, LLC).</w:t>
      </w:r>
      <w:r>
        <w:rPr>
          <w:rStyle w:val="FootnoteReference"/>
        </w:rPr>
        <w:footnoteReference w:id="45"/>
      </w:r>
      <w:r w:rsidRPr="004C21EB">
        <w:t xml:space="preserve"> The transmission line </w:t>
      </w:r>
      <w:r>
        <w:t>is expected to</w:t>
      </w:r>
      <w:r w:rsidRPr="004C21EB">
        <w:t xml:space="preserve"> inject 3,800 megawatts of renewable energy generated across the Upstate region into the</w:t>
      </w:r>
      <w:r>
        <w:t xml:space="preserve"> </w:t>
      </w:r>
      <w:r w:rsidRPr="004C21EB">
        <w:t>New York City grid.</w:t>
      </w:r>
      <w:r>
        <w:rPr>
          <w:rStyle w:val="FootnoteReference"/>
        </w:rPr>
        <w:footnoteReference w:id="46"/>
      </w:r>
      <w:r w:rsidRPr="004C21EB">
        <w:t xml:space="preserve"> </w:t>
      </w:r>
      <w:r w:rsidR="00B9353E">
        <w:t xml:space="preserve">The </w:t>
      </w:r>
      <w:r w:rsidR="0014782A">
        <w:t xml:space="preserve">Clean Path </w:t>
      </w:r>
      <w:r w:rsidR="00B9353E">
        <w:t>project</w:t>
      </w:r>
      <w:r w:rsidR="00B9353E" w:rsidRPr="004C21EB">
        <w:t xml:space="preserve"> </w:t>
      </w:r>
      <w:r w:rsidRPr="004C21EB">
        <w:t>is expected to reduce fossil fuel generation by 22% per year statewide.</w:t>
      </w:r>
      <w:r>
        <w:rPr>
          <w:rStyle w:val="FootnoteReference"/>
        </w:rPr>
        <w:footnoteReference w:id="47"/>
      </w:r>
      <w:r w:rsidRPr="004C21EB">
        <w:t xml:space="preserve"> The proposed 1,300 megawatt high voltage dc transmission line </w:t>
      </w:r>
      <w:r>
        <w:t>will be</w:t>
      </w:r>
      <w:r w:rsidRPr="004C21EB">
        <w:t xml:space="preserve"> 175 miles long, underground, and adjacent to existing infrastructure or along </w:t>
      </w:r>
      <w:r w:rsidR="004C68AF">
        <w:t>existing</w:t>
      </w:r>
      <w:r w:rsidR="004C68AF" w:rsidRPr="004C21EB">
        <w:t xml:space="preserve"> </w:t>
      </w:r>
      <w:r w:rsidRPr="004C21EB">
        <w:t xml:space="preserve">public rights of way. </w:t>
      </w:r>
      <w:r>
        <w:t xml:space="preserve">It will connect New York City to </w:t>
      </w:r>
      <w:r w:rsidRPr="004C21EB">
        <w:t xml:space="preserve">2,050 megawatts of new </w:t>
      </w:r>
      <w:r w:rsidR="00B9353E">
        <w:t>instate</w:t>
      </w:r>
      <w:r w:rsidRPr="004C21EB">
        <w:t xml:space="preserve"> wind generation, </w:t>
      </w:r>
      <w:r>
        <w:t xml:space="preserve">and </w:t>
      </w:r>
      <w:r w:rsidRPr="004C21EB">
        <w:t>1,826 megawatts of new instate solar generation</w:t>
      </w:r>
      <w:r>
        <w:t>,</w:t>
      </w:r>
      <w:r w:rsidRPr="004C21EB">
        <w:t xml:space="preserve"> </w:t>
      </w:r>
      <w:r>
        <w:t>with a</w:t>
      </w:r>
      <w:r w:rsidRPr="004C21EB">
        <w:t>ssets located across the state to minimize impact of local inclement weather on generation capacity</w:t>
      </w:r>
      <w:r>
        <w:t>.</w:t>
      </w:r>
      <w:r>
        <w:rPr>
          <w:rStyle w:val="FootnoteReference"/>
        </w:rPr>
        <w:footnoteReference w:id="48"/>
      </w:r>
      <w:r w:rsidRPr="004C21EB">
        <w:t xml:space="preserve"> </w:t>
      </w:r>
      <w:r>
        <w:t>The Clean Path p</w:t>
      </w:r>
      <w:r w:rsidRPr="004C21EB">
        <w:t xml:space="preserve">roject </w:t>
      </w:r>
      <w:r>
        <w:t xml:space="preserve">also </w:t>
      </w:r>
      <w:r w:rsidRPr="004C21EB">
        <w:t xml:space="preserve">includes a pumped hydro storage element utilizing </w:t>
      </w:r>
      <w:r w:rsidR="004C68AF">
        <w:t xml:space="preserve">the </w:t>
      </w:r>
      <w:r w:rsidRPr="004C21EB">
        <w:t xml:space="preserve">Blenheim Gilboa Hydroelectric power station, </w:t>
      </w:r>
      <w:r>
        <w:t xml:space="preserve">which </w:t>
      </w:r>
      <w:r w:rsidRPr="004C21EB">
        <w:t xml:space="preserve">will pump water to </w:t>
      </w:r>
      <w:r w:rsidR="004C68AF">
        <w:t xml:space="preserve">an </w:t>
      </w:r>
      <w:r w:rsidRPr="004C21EB">
        <w:t>upper reservoir with excess energy during periods when production outpaces demand</w:t>
      </w:r>
      <w:r>
        <w:t>, and function in a grid smoothing capacity during dips in energy production.</w:t>
      </w:r>
      <w:r>
        <w:rPr>
          <w:rStyle w:val="FootnoteReference"/>
        </w:rPr>
        <w:footnoteReference w:id="49"/>
      </w:r>
    </w:p>
    <w:p w14:paraId="32E538AF" w14:textId="63CD44F6" w:rsidR="004C21EB" w:rsidRPr="004C21EB" w:rsidRDefault="004C21EB" w:rsidP="004C21EB">
      <w:pPr>
        <w:spacing w:after="160" w:line="480" w:lineRule="auto"/>
        <w:contextualSpacing/>
        <w:jc w:val="both"/>
      </w:pPr>
      <w:r>
        <w:t>Addit</w:t>
      </w:r>
      <w:r w:rsidR="004C68AF">
        <w:t>i</w:t>
      </w:r>
      <w:r>
        <w:t>onally, the Champlain Hudson Power Express transmission line will link existing hydropower resources located on the New York Canada border with a substation to be built in Astoria, Queens.</w:t>
      </w:r>
      <w:r>
        <w:rPr>
          <w:rStyle w:val="FootnoteReference"/>
        </w:rPr>
        <w:footnoteReference w:id="50"/>
      </w:r>
      <w:r>
        <w:t xml:space="preserve"> The project is expected to be completed by 2025, and will provide 1,250 megawatts of firm, non</w:t>
      </w:r>
      <w:r w:rsidR="004C68AF">
        <w:t>-</w:t>
      </w:r>
      <w:r>
        <w:t>intermittent power supply.</w:t>
      </w:r>
      <w:r>
        <w:rPr>
          <w:rStyle w:val="FootnoteReference"/>
        </w:rPr>
        <w:footnoteReference w:id="51"/>
      </w:r>
      <w:r>
        <w:t xml:space="preserve"> It is expected to provide an estimated 17.3 billion dollars in cost savings to New York State ratepayers due to lower wholesale energy rates, over the next 30 years.</w:t>
      </w:r>
      <w:r>
        <w:rPr>
          <w:rStyle w:val="FootnoteReference"/>
        </w:rPr>
        <w:footnoteReference w:id="52"/>
      </w:r>
      <w:r>
        <w:t xml:space="preserve"> </w:t>
      </w:r>
    </w:p>
    <w:p w14:paraId="6F0DB4BF" w14:textId="4F0CA168" w:rsidR="00D00960" w:rsidRDefault="00D00960" w:rsidP="00D00960">
      <w:pPr>
        <w:spacing w:line="480" w:lineRule="auto"/>
        <w:ind w:firstLine="0"/>
        <w:jc w:val="both"/>
        <w:rPr>
          <w:rFonts w:ascii="Times New Roman Bold" w:hAnsi="Times New Roman Bold"/>
          <w:b/>
          <w:smallCaps/>
        </w:rPr>
      </w:pPr>
      <w:r w:rsidRPr="00D46BA8">
        <w:rPr>
          <w:b/>
        </w:rPr>
        <w:t>II</w:t>
      </w:r>
      <w:r>
        <w:rPr>
          <w:b/>
        </w:rPr>
        <w:t>I</w:t>
      </w:r>
      <w:r w:rsidRPr="00D46BA8">
        <w:rPr>
          <w:b/>
        </w:rPr>
        <w:t>.</w:t>
      </w:r>
      <w:r w:rsidRPr="00D46BA8">
        <w:rPr>
          <w:b/>
        </w:rPr>
        <w:tab/>
      </w:r>
      <w:r>
        <w:rPr>
          <w:rFonts w:ascii="Times New Roman Bold" w:hAnsi="Times New Roman Bold"/>
          <w:b/>
          <w:smallCaps/>
        </w:rPr>
        <w:t>Legislation</w:t>
      </w:r>
    </w:p>
    <w:p w14:paraId="7BDC07C8" w14:textId="75E0223A" w:rsidR="00D00960" w:rsidRPr="001833C1" w:rsidRDefault="00D00960" w:rsidP="007B2DEB">
      <w:pPr>
        <w:spacing w:line="480" w:lineRule="auto"/>
        <w:jc w:val="both"/>
      </w:pPr>
      <w:r w:rsidRPr="00D00960">
        <w:rPr>
          <w:b/>
          <w:bCs/>
        </w:rPr>
        <w:t xml:space="preserve">Int. No. </w:t>
      </w:r>
      <w:r w:rsidR="001833C1">
        <w:rPr>
          <w:b/>
          <w:bCs/>
        </w:rPr>
        <w:t xml:space="preserve">2091 </w:t>
      </w:r>
      <w:r w:rsidR="005F7BEC">
        <w:rPr>
          <w:b/>
          <w:bCs/>
        </w:rPr>
        <w:t xml:space="preserve">, </w:t>
      </w:r>
      <w:r w:rsidR="005F7BEC">
        <w:t>a local</w:t>
      </w:r>
      <w:r w:rsidR="005F7BEC" w:rsidRPr="007B2DEB">
        <w:t xml:space="preserve"> to amend the administrative code of the city of New York, in relation to studying the feasibility of electrifying existing buildings</w:t>
      </w:r>
      <w:r w:rsidR="005F7BEC">
        <w:t xml:space="preserve">, </w:t>
      </w:r>
      <w:r w:rsidR="001833C1" w:rsidRPr="005F7BEC">
        <w:t>would amend previously enacted local laws to add a study</w:t>
      </w:r>
      <w:r w:rsidR="001833C1" w:rsidRPr="001833C1">
        <w:t xml:space="preserve"> of building electrification in New York City. </w:t>
      </w:r>
      <w:r w:rsidR="001833C1">
        <w:t>The legislation would require that the</w:t>
      </w:r>
      <w:r w:rsidR="001833C1" w:rsidRPr="001833C1">
        <w:t xml:space="preserve"> building electrification study consider regulatory barriers to building electrification; lack of both customer awareness and workforce familiarity with electrification, costs for property owners, time frames for electrification consistent with state and local greenhouse gas reduction goals</w:t>
      </w:r>
      <w:r w:rsidR="001833C1">
        <w:t>,</w:t>
      </w:r>
      <w:r w:rsidR="001833C1" w:rsidRPr="001833C1">
        <w:t xml:space="preserve"> and an assessment of the renewable energy sources that would be needed to meet any increase in demand caused by the electrification of existing buildings. The study </w:t>
      </w:r>
      <w:r w:rsidR="001833C1">
        <w:t>would</w:t>
      </w:r>
      <w:r w:rsidR="001833C1" w:rsidRPr="001833C1">
        <w:t xml:space="preserve"> also consider equity and access to inclusive financing for property owners as well as tenant protection from property rental increases.</w:t>
      </w:r>
      <w:r w:rsidR="001833C1">
        <w:t xml:space="preserve"> This </w:t>
      </w:r>
      <w:r w:rsidR="001833C1" w:rsidRPr="000271A0">
        <w:t xml:space="preserve">local law </w:t>
      </w:r>
      <w:r w:rsidR="001833C1">
        <w:t>would</w:t>
      </w:r>
      <w:r w:rsidR="001833C1" w:rsidRPr="000271A0">
        <w:t xml:space="preserve"> take effect immediately.</w:t>
      </w:r>
    </w:p>
    <w:p w14:paraId="2D5B5A0E" w14:textId="2DBE5710" w:rsidR="00D00960" w:rsidRDefault="00D00960" w:rsidP="00D00960">
      <w:pPr>
        <w:pStyle w:val="BodyText"/>
        <w:tabs>
          <w:tab w:val="left" w:pos="0"/>
        </w:tabs>
        <w:rPr>
          <w:bCs/>
        </w:rPr>
      </w:pPr>
      <w:r w:rsidRPr="00D00960">
        <w:rPr>
          <w:b/>
        </w:rPr>
        <w:t xml:space="preserve">Int. No. </w:t>
      </w:r>
      <w:r w:rsidR="001833C1">
        <w:rPr>
          <w:b/>
        </w:rPr>
        <w:t>2196</w:t>
      </w:r>
      <w:r w:rsidR="005F7BEC">
        <w:rPr>
          <w:b/>
        </w:rPr>
        <w:t xml:space="preserve">, </w:t>
      </w:r>
      <w:r w:rsidR="005F7BEC" w:rsidRPr="007B2DEB">
        <w:rPr>
          <w:bCs/>
        </w:rPr>
        <w:t>a local law to to amend the administrative code of the city of New York, in relation to studying the feasibility of electrifying existing buildings</w:t>
      </w:r>
      <w:r w:rsidR="004B3DC0">
        <w:rPr>
          <w:bCs/>
        </w:rPr>
        <w:t>,</w:t>
      </w:r>
      <w:r w:rsidR="001833C1">
        <w:rPr>
          <w:b/>
        </w:rPr>
        <w:t xml:space="preserve"> </w:t>
      </w:r>
      <w:r w:rsidR="001833C1" w:rsidRPr="001833C1">
        <w:rPr>
          <w:bCs/>
        </w:rPr>
        <w:t xml:space="preserve">would require an agency or office designated by the Mayor to conduct a study of the health impacts of gas stoves and to make a recommendation as to whether it would be appropriate to create a phase-out policy of gas stoves. </w:t>
      </w:r>
      <w:r w:rsidRPr="00D00960">
        <w:rPr>
          <w:bCs/>
        </w:rPr>
        <w:t xml:space="preserve">This local law </w:t>
      </w:r>
      <w:r>
        <w:rPr>
          <w:bCs/>
        </w:rPr>
        <w:t xml:space="preserve">would </w:t>
      </w:r>
      <w:r w:rsidRPr="00D00960">
        <w:rPr>
          <w:bCs/>
        </w:rPr>
        <w:t>take effect immediately.</w:t>
      </w:r>
    </w:p>
    <w:p w14:paraId="36EA2DAF" w14:textId="00115401" w:rsidR="003154EA" w:rsidRPr="007B2DEB" w:rsidRDefault="00D00960" w:rsidP="004B3DC0">
      <w:pPr>
        <w:spacing w:line="480" w:lineRule="auto"/>
        <w:jc w:val="both"/>
        <w:rPr>
          <w:b/>
        </w:rPr>
      </w:pPr>
      <w:r w:rsidRPr="00D00960">
        <w:rPr>
          <w:b/>
        </w:rPr>
        <w:t xml:space="preserve">Int. No. </w:t>
      </w:r>
      <w:r w:rsidR="001833C1">
        <w:rPr>
          <w:b/>
        </w:rPr>
        <w:t>2317</w:t>
      </w:r>
      <w:r w:rsidR="004B3DC0" w:rsidRPr="007B2DEB">
        <w:rPr>
          <w:bCs/>
        </w:rPr>
        <w:t>, a local law to amend the administrative code of the city of New York, in relation to the use of substances with certain emissions profiles,</w:t>
      </w:r>
      <w:r w:rsidR="004B3DC0">
        <w:rPr>
          <w:b/>
        </w:rPr>
        <w:t xml:space="preserve"> </w:t>
      </w:r>
      <w:r w:rsidR="001833C1">
        <w:rPr>
          <w:bCs/>
        </w:rPr>
        <w:t xml:space="preserve">would </w:t>
      </w:r>
      <w:r w:rsidR="001833C1" w:rsidRPr="001833C1">
        <w:rPr>
          <w:bCs/>
        </w:rPr>
        <w:t>prohibit the combustion of a substance that emits 50 kilograms or more of carbon dioxide per million British thermal units of energy in any new</w:t>
      </w:r>
      <w:r w:rsidR="00661308">
        <w:rPr>
          <w:bCs/>
        </w:rPr>
        <w:t>ly constructed</w:t>
      </w:r>
      <w:r w:rsidR="001833C1" w:rsidRPr="001833C1">
        <w:rPr>
          <w:bCs/>
        </w:rPr>
        <w:t xml:space="preserve"> building or any building that has undergone a major renovation. The bill provides an exception for</w:t>
      </w:r>
      <w:r w:rsidR="00661308">
        <w:rPr>
          <w:bCs/>
        </w:rPr>
        <w:t>:</w:t>
      </w:r>
      <w:r w:rsidR="001833C1" w:rsidRPr="001833C1">
        <w:rPr>
          <w:bCs/>
        </w:rPr>
        <w:t xml:space="preserve"> emergency standby power</w:t>
      </w:r>
      <w:r w:rsidR="00661308">
        <w:rPr>
          <w:bCs/>
        </w:rPr>
        <w:t>;</w:t>
      </w:r>
      <w:r w:rsidR="001833C1" w:rsidRPr="001833C1">
        <w:rPr>
          <w:bCs/>
        </w:rPr>
        <w:t xml:space="preserve"> a hardship preventing compliance with the bill</w:t>
      </w:r>
      <w:r w:rsidR="00661308">
        <w:rPr>
          <w:bCs/>
        </w:rPr>
        <w:t>;</w:t>
      </w:r>
      <w:r w:rsidR="001833C1" w:rsidRPr="001833C1">
        <w:rPr>
          <w:bCs/>
        </w:rPr>
        <w:t xml:space="preserve"> where the combustion of the substance is required by certain enumerated industries</w:t>
      </w:r>
      <w:r w:rsidR="00661308">
        <w:rPr>
          <w:bCs/>
        </w:rPr>
        <w:t>;</w:t>
      </w:r>
      <w:r w:rsidR="001833C1" w:rsidRPr="001833C1">
        <w:rPr>
          <w:bCs/>
        </w:rPr>
        <w:t xml:space="preserve"> and where the combustion of the substance is used on an intermittent basis in connection with a device that is not connected to the building’s gas supply line.</w:t>
      </w:r>
      <w:r w:rsidR="001833C1">
        <w:rPr>
          <w:bCs/>
        </w:rPr>
        <w:t xml:space="preserve"> </w:t>
      </w:r>
      <w:r w:rsidR="001833C1" w:rsidRPr="001833C1">
        <w:rPr>
          <w:bCs/>
        </w:rPr>
        <w:t>This local law would take effect two years after it becomes law, except that this local law shall not apply to construction work related applications for construction document approval filed prior to such effective date.</w:t>
      </w:r>
    </w:p>
    <w:p w14:paraId="4AE9C33E" w14:textId="77777777" w:rsidR="004F0171" w:rsidRDefault="004F0171" w:rsidP="001833C1">
      <w:pPr>
        <w:autoSpaceDE w:val="0"/>
        <w:autoSpaceDN w:val="0"/>
        <w:adjustRightInd w:val="0"/>
        <w:spacing w:line="480" w:lineRule="auto"/>
        <w:ind w:firstLine="0"/>
        <w:jc w:val="both"/>
        <w:rPr>
          <w:kern w:val="1"/>
        </w:rPr>
      </w:pPr>
    </w:p>
    <w:p w14:paraId="5B557DA5" w14:textId="5ADA58A9" w:rsidR="00D00960" w:rsidRDefault="00D00960" w:rsidP="00D00960">
      <w:pPr>
        <w:spacing w:line="480" w:lineRule="auto"/>
        <w:ind w:firstLine="0"/>
        <w:jc w:val="both"/>
        <w:rPr>
          <w:rFonts w:ascii="Times New Roman Bold" w:hAnsi="Times New Roman Bold"/>
          <w:b/>
          <w:smallCaps/>
        </w:rPr>
      </w:pPr>
      <w:r w:rsidRPr="00D46BA8">
        <w:rPr>
          <w:b/>
        </w:rPr>
        <w:t>I</w:t>
      </w:r>
      <w:r>
        <w:rPr>
          <w:b/>
        </w:rPr>
        <w:t>V</w:t>
      </w:r>
      <w:r w:rsidRPr="00D46BA8">
        <w:rPr>
          <w:b/>
        </w:rPr>
        <w:t>.</w:t>
      </w:r>
      <w:r w:rsidRPr="00D46BA8">
        <w:rPr>
          <w:b/>
        </w:rPr>
        <w:tab/>
      </w:r>
      <w:r>
        <w:rPr>
          <w:rFonts w:ascii="Times New Roman Bold" w:hAnsi="Times New Roman Bold"/>
          <w:b/>
          <w:smallCaps/>
        </w:rPr>
        <w:t>Conclusion</w:t>
      </w:r>
    </w:p>
    <w:p w14:paraId="0F087300" w14:textId="1107FE36" w:rsidR="00D00960" w:rsidRDefault="00D00960" w:rsidP="00D00960">
      <w:pPr>
        <w:autoSpaceDE w:val="0"/>
        <w:autoSpaceDN w:val="0"/>
        <w:adjustRightInd w:val="0"/>
        <w:spacing w:before="120" w:after="120" w:line="480" w:lineRule="auto"/>
        <w:jc w:val="both"/>
      </w:pPr>
      <w:r>
        <w:t>During today’s hearing, the Committee hope</w:t>
      </w:r>
      <w:r w:rsidR="00694393">
        <w:t>s</w:t>
      </w:r>
      <w:r>
        <w:t xml:space="preserve"> to hear testimony from representatives of the relevant </w:t>
      </w:r>
      <w:r w:rsidR="00C43B13">
        <w:t xml:space="preserve">City </w:t>
      </w:r>
      <w:r>
        <w:t>agencies</w:t>
      </w:r>
      <w:r w:rsidR="003154EA">
        <w:t xml:space="preserve"> and offices</w:t>
      </w:r>
      <w:r>
        <w:t xml:space="preserve"> about their </w:t>
      </w:r>
      <w:r w:rsidRPr="005D1D5D">
        <w:t xml:space="preserve">current </w:t>
      </w:r>
      <w:r w:rsidR="00694393">
        <w:t>work on building electrification, including new and existing buildings</w:t>
      </w:r>
      <w:r w:rsidR="003154EA">
        <w:t xml:space="preserve">. </w:t>
      </w:r>
      <w:r w:rsidR="00694393">
        <w:t>The Committee would like to hear from energy industry</w:t>
      </w:r>
      <w:r w:rsidR="00661308">
        <w:t xml:space="preserve"> representatives, as well as</w:t>
      </w:r>
      <w:r w:rsidR="00694393">
        <w:t xml:space="preserve"> health experts </w:t>
      </w:r>
      <w:r w:rsidR="00661308">
        <w:t xml:space="preserve">on </w:t>
      </w:r>
      <w:r w:rsidR="00694393">
        <w:t xml:space="preserve">the impacts of gas stoves on indoor air quality and human health. </w:t>
      </w:r>
      <w:r w:rsidR="003154EA">
        <w:t xml:space="preserve">The Committee </w:t>
      </w:r>
      <w:r w:rsidR="00661308">
        <w:t>is</w:t>
      </w:r>
      <w:r w:rsidR="003154EA">
        <w:t xml:space="preserve"> also seeking comments </w:t>
      </w:r>
      <w:r w:rsidR="00694393">
        <w:t xml:space="preserve">from the </w:t>
      </w:r>
      <w:r w:rsidR="00E47069">
        <w:t>Mayoral Administration</w:t>
      </w:r>
      <w:r w:rsidR="00F118D5">
        <w:t>, stakeholders</w:t>
      </w:r>
      <w:r w:rsidR="00E47069">
        <w:t xml:space="preserve"> </w:t>
      </w:r>
      <w:r w:rsidR="00694393">
        <w:t xml:space="preserve">and </w:t>
      </w:r>
      <w:r w:rsidR="00F118D5">
        <w:t xml:space="preserve">the </w:t>
      </w:r>
      <w:r w:rsidR="00694393">
        <w:t xml:space="preserve">public </w:t>
      </w:r>
      <w:r w:rsidR="003154EA">
        <w:t>on the legislation being heard</w:t>
      </w:r>
      <w:r w:rsidR="001E6347">
        <w:t xml:space="preserve"> today</w:t>
      </w:r>
      <w:r w:rsidR="003154EA">
        <w:t xml:space="preserve">, Int. No. </w:t>
      </w:r>
      <w:r w:rsidR="001833C1">
        <w:t>2091</w:t>
      </w:r>
      <w:r w:rsidR="003154EA">
        <w:t xml:space="preserve">, Int. No. </w:t>
      </w:r>
      <w:r w:rsidR="001833C1">
        <w:t>2196</w:t>
      </w:r>
      <w:r w:rsidR="003154EA">
        <w:t xml:space="preserve">, </w:t>
      </w:r>
      <w:r w:rsidR="00265CC9">
        <w:t xml:space="preserve">and </w:t>
      </w:r>
      <w:r w:rsidR="003154EA">
        <w:t>Int. No.</w:t>
      </w:r>
      <w:r w:rsidR="001833C1">
        <w:t xml:space="preserve"> 2317</w:t>
      </w:r>
      <w:r w:rsidR="00265CC9">
        <w:t>.</w:t>
      </w:r>
      <w:r w:rsidR="004F0171">
        <w:t xml:space="preserve"> </w:t>
      </w:r>
    </w:p>
    <w:p w14:paraId="49918720" w14:textId="6EF9BC26" w:rsidR="00D00960" w:rsidRDefault="00D00960">
      <w:pPr>
        <w:ind w:firstLine="0"/>
      </w:pPr>
      <w:r>
        <w:br w:type="page"/>
      </w:r>
    </w:p>
    <w:p w14:paraId="22001C09" w14:textId="77777777" w:rsidR="004C21EB" w:rsidRDefault="004C21EB" w:rsidP="001833C1">
      <w:pPr>
        <w:ind w:firstLine="0"/>
        <w:jc w:val="center"/>
      </w:pPr>
    </w:p>
    <w:p w14:paraId="32FB4476" w14:textId="77777777" w:rsidR="004C21EB" w:rsidRDefault="004C21EB" w:rsidP="001833C1">
      <w:pPr>
        <w:ind w:firstLine="0"/>
        <w:jc w:val="center"/>
      </w:pPr>
    </w:p>
    <w:p w14:paraId="3F901896" w14:textId="77777777" w:rsidR="004C21EB" w:rsidRDefault="004C21EB" w:rsidP="001833C1">
      <w:pPr>
        <w:ind w:firstLine="0"/>
        <w:jc w:val="center"/>
      </w:pPr>
    </w:p>
    <w:p w14:paraId="64A7088D" w14:textId="77777777" w:rsidR="004C21EB" w:rsidRDefault="004C21EB" w:rsidP="001833C1">
      <w:pPr>
        <w:ind w:firstLine="0"/>
        <w:jc w:val="center"/>
      </w:pPr>
    </w:p>
    <w:p w14:paraId="56F23238" w14:textId="77777777" w:rsidR="004C21EB" w:rsidRDefault="004C21EB" w:rsidP="001833C1">
      <w:pPr>
        <w:ind w:firstLine="0"/>
        <w:jc w:val="center"/>
      </w:pPr>
    </w:p>
    <w:p w14:paraId="79AB2966" w14:textId="77777777" w:rsidR="004C21EB" w:rsidRDefault="004C21EB" w:rsidP="001833C1">
      <w:pPr>
        <w:ind w:firstLine="0"/>
        <w:jc w:val="center"/>
      </w:pPr>
    </w:p>
    <w:p w14:paraId="2206B54C" w14:textId="77777777" w:rsidR="004C21EB" w:rsidRDefault="004C21EB" w:rsidP="001833C1">
      <w:pPr>
        <w:ind w:firstLine="0"/>
        <w:jc w:val="center"/>
      </w:pPr>
    </w:p>
    <w:p w14:paraId="3CCEEDC7" w14:textId="77777777" w:rsidR="004C21EB" w:rsidRDefault="004C21EB" w:rsidP="001833C1">
      <w:pPr>
        <w:ind w:firstLine="0"/>
        <w:jc w:val="center"/>
      </w:pPr>
    </w:p>
    <w:p w14:paraId="224FA045" w14:textId="77777777" w:rsidR="004C21EB" w:rsidRDefault="004C21EB" w:rsidP="001833C1">
      <w:pPr>
        <w:ind w:firstLine="0"/>
        <w:jc w:val="center"/>
      </w:pPr>
    </w:p>
    <w:p w14:paraId="7CF36ADD" w14:textId="77777777" w:rsidR="004C21EB" w:rsidRDefault="004C21EB" w:rsidP="001833C1">
      <w:pPr>
        <w:ind w:firstLine="0"/>
        <w:jc w:val="center"/>
      </w:pPr>
    </w:p>
    <w:p w14:paraId="3A1C2880" w14:textId="77777777" w:rsidR="004C21EB" w:rsidRDefault="004C21EB" w:rsidP="001833C1">
      <w:pPr>
        <w:ind w:firstLine="0"/>
        <w:jc w:val="center"/>
      </w:pPr>
    </w:p>
    <w:p w14:paraId="7A4DB73B" w14:textId="77777777" w:rsidR="004C21EB" w:rsidRDefault="004C21EB" w:rsidP="001833C1">
      <w:pPr>
        <w:ind w:firstLine="0"/>
        <w:jc w:val="center"/>
      </w:pPr>
    </w:p>
    <w:p w14:paraId="1C4F94BB" w14:textId="77777777" w:rsidR="004C21EB" w:rsidRDefault="004C21EB" w:rsidP="001833C1">
      <w:pPr>
        <w:ind w:firstLine="0"/>
        <w:jc w:val="center"/>
      </w:pPr>
    </w:p>
    <w:p w14:paraId="6D6FFC0B" w14:textId="77777777" w:rsidR="004C21EB" w:rsidRDefault="004C21EB" w:rsidP="001833C1">
      <w:pPr>
        <w:ind w:firstLine="0"/>
        <w:jc w:val="center"/>
      </w:pPr>
    </w:p>
    <w:p w14:paraId="389690A0" w14:textId="77777777" w:rsidR="004C21EB" w:rsidRDefault="004C21EB" w:rsidP="001833C1">
      <w:pPr>
        <w:ind w:firstLine="0"/>
        <w:jc w:val="center"/>
      </w:pPr>
    </w:p>
    <w:p w14:paraId="734F24B6" w14:textId="77777777" w:rsidR="004C21EB" w:rsidRDefault="004C21EB" w:rsidP="001833C1">
      <w:pPr>
        <w:ind w:firstLine="0"/>
        <w:jc w:val="center"/>
      </w:pPr>
    </w:p>
    <w:p w14:paraId="46E4184F" w14:textId="77777777" w:rsidR="004C21EB" w:rsidRDefault="004C21EB" w:rsidP="001833C1">
      <w:pPr>
        <w:ind w:firstLine="0"/>
        <w:jc w:val="center"/>
      </w:pPr>
    </w:p>
    <w:p w14:paraId="120B7EB3" w14:textId="77777777" w:rsidR="004C21EB" w:rsidRDefault="004C21EB" w:rsidP="001833C1">
      <w:pPr>
        <w:ind w:firstLine="0"/>
        <w:jc w:val="center"/>
      </w:pPr>
    </w:p>
    <w:p w14:paraId="7F6EA267" w14:textId="77777777" w:rsidR="004C21EB" w:rsidRDefault="004C21EB" w:rsidP="001833C1">
      <w:pPr>
        <w:ind w:firstLine="0"/>
        <w:jc w:val="center"/>
      </w:pPr>
    </w:p>
    <w:p w14:paraId="45BAD279" w14:textId="77777777" w:rsidR="004C21EB" w:rsidRDefault="004C21EB" w:rsidP="001833C1">
      <w:pPr>
        <w:ind w:firstLine="0"/>
        <w:jc w:val="center"/>
      </w:pPr>
    </w:p>
    <w:p w14:paraId="68DA9B1E" w14:textId="77777777" w:rsidR="004C21EB" w:rsidRDefault="004C21EB" w:rsidP="001833C1">
      <w:pPr>
        <w:ind w:firstLine="0"/>
        <w:jc w:val="center"/>
      </w:pPr>
    </w:p>
    <w:p w14:paraId="620B9EA6" w14:textId="77777777" w:rsidR="004C21EB" w:rsidRDefault="004C21EB" w:rsidP="001833C1">
      <w:pPr>
        <w:ind w:firstLine="0"/>
        <w:jc w:val="center"/>
      </w:pPr>
    </w:p>
    <w:p w14:paraId="02E89474" w14:textId="77777777" w:rsidR="004C21EB" w:rsidRDefault="004C21EB" w:rsidP="001833C1">
      <w:pPr>
        <w:ind w:firstLine="0"/>
        <w:jc w:val="center"/>
      </w:pPr>
    </w:p>
    <w:p w14:paraId="54DFA1C8" w14:textId="77777777" w:rsidR="004C21EB" w:rsidRDefault="004C21EB" w:rsidP="001833C1">
      <w:pPr>
        <w:ind w:firstLine="0"/>
        <w:jc w:val="center"/>
      </w:pPr>
    </w:p>
    <w:p w14:paraId="31272E7E" w14:textId="77777777" w:rsidR="004C21EB" w:rsidRDefault="004C21EB" w:rsidP="001833C1">
      <w:pPr>
        <w:ind w:firstLine="0"/>
        <w:jc w:val="center"/>
      </w:pPr>
    </w:p>
    <w:p w14:paraId="7E9CEE71" w14:textId="77777777" w:rsidR="004C21EB" w:rsidRDefault="004C21EB" w:rsidP="001833C1">
      <w:pPr>
        <w:ind w:firstLine="0"/>
        <w:jc w:val="center"/>
      </w:pPr>
    </w:p>
    <w:p w14:paraId="3C5D6BF2" w14:textId="77777777" w:rsidR="004C21EB" w:rsidRDefault="004C21EB" w:rsidP="001833C1">
      <w:pPr>
        <w:ind w:firstLine="0"/>
        <w:jc w:val="center"/>
      </w:pPr>
    </w:p>
    <w:p w14:paraId="7825EF9A" w14:textId="77777777" w:rsidR="004C21EB" w:rsidRDefault="004C21EB" w:rsidP="001833C1">
      <w:pPr>
        <w:ind w:firstLine="0"/>
        <w:jc w:val="center"/>
      </w:pPr>
    </w:p>
    <w:p w14:paraId="795BDA3E" w14:textId="77777777" w:rsidR="004C21EB" w:rsidRDefault="004C21EB" w:rsidP="001833C1">
      <w:pPr>
        <w:ind w:firstLine="0"/>
        <w:jc w:val="center"/>
      </w:pPr>
    </w:p>
    <w:p w14:paraId="7EF1ED09" w14:textId="77777777" w:rsidR="004C21EB" w:rsidRDefault="004C21EB" w:rsidP="001833C1">
      <w:pPr>
        <w:ind w:firstLine="0"/>
        <w:jc w:val="center"/>
      </w:pPr>
    </w:p>
    <w:p w14:paraId="2D79E6A1" w14:textId="77777777" w:rsidR="004C21EB" w:rsidRDefault="004C21EB" w:rsidP="001833C1">
      <w:pPr>
        <w:ind w:firstLine="0"/>
        <w:jc w:val="center"/>
      </w:pPr>
    </w:p>
    <w:p w14:paraId="42DCE80A" w14:textId="77777777" w:rsidR="004C21EB" w:rsidRDefault="004C21EB" w:rsidP="001833C1">
      <w:pPr>
        <w:ind w:firstLine="0"/>
        <w:jc w:val="center"/>
      </w:pPr>
    </w:p>
    <w:p w14:paraId="408A4204" w14:textId="77777777" w:rsidR="004C21EB" w:rsidRDefault="004C21EB" w:rsidP="001833C1">
      <w:pPr>
        <w:ind w:firstLine="0"/>
        <w:jc w:val="center"/>
      </w:pPr>
    </w:p>
    <w:p w14:paraId="6A7751E0" w14:textId="77777777" w:rsidR="004C21EB" w:rsidRDefault="004C21EB" w:rsidP="001833C1">
      <w:pPr>
        <w:ind w:firstLine="0"/>
        <w:jc w:val="center"/>
      </w:pPr>
    </w:p>
    <w:p w14:paraId="7DCDD673" w14:textId="77777777" w:rsidR="004C21EB" w:rsidRDefault="004C21EB" w:rsidP="001833C1">
      <w:pPr>
        <w:ind w:firstLine="0"/>
        <w:jc w:val="center"/>
      </w:pPr>
    </w:p>
    <w:p w14:paraId="57D5F796" w14:textId="77777777" w:rsidR="004C21EB" w:rsidRDefault="004C21EB" w:rsidP="001833C1">
      <w:pPr>
        <w:ind w:firstLine="0"/>
        <w:jc w:val="center"/>
      </w:pPr>
    </w:p>
    <w:p w14:paraId="6F9E0092" w14:textId="77777777" w:rsidR="004C21EB" w:rsidRDefault="004C21EB" w:rsidP="001833C1">
      <w:pPr>
        <w:ind w:firstLine="0"/>
        <w:jc w:val="center"/>
      </w:pPr>
    </w:p>
    <w:p w14:paraId="6AE2D3F7" w14:textId="77777777" w:rsidR="004C21EB" w:rsidRDefault="004C21EB" w:rsidP="001833C1">
      <w:pPr>
        <w:ind w:firstLine="0"/>
        <w:jc w:val="center"/>
      </w:pPr>
    </w:p>
    <w:p w14:paraId="333737FD" w14:textId="77777777" w:rsidR="004C21EB" w:rsidRDefault="004C21EB" w:rsidP="001833C1">
      <w:pPr>
        <w:ind w:firstLine="0"/>
        <w:jc w:val="center"/>
      </w:pPr>
    </w:p>
    <w:p w14:paraId="087EBD8E" w14:textId="77777777" w:rsidR="004C21EB" w:rsidRDefault="004C21EB" w:rsidP="001833C1">
      <w:pPr>
        <w:ind w:firstLine="0"/>
        <w:jc w:val="center"/>
      </w:pPr>
    </w:p>
    <w:p w14:paraId="4241A526" w14:textId="77777777" w:rsidR="004C21EB" w:rsidRDefault="004C21EB" w:rsidP="001833C1">
      <w:pPr>
        <w:ind w:firstLine="0"/>
        <w:jc w:val="center"/>
      </w:pPr>
    </w:p>
    <w:p w14:paraId="474A5550" w14:textId="77777777" w:rsidR="004C21EB" w:rsidRDefault="004C21EB" w:rsidP="001833C1">
      <w:pPr>
        <w:ind w:firstLine="0"/>
        <w:jc w:val="center"/>
      </w:pPr>
    </w:p>
    <w:p w14:paraId="67AF6F3E" w14:textId="77777777" w:rsidR="004C21EB" w:rsidRDefault="004C21EB" w:rsidP="001833C1">
      <w:pPr>
        <w:ind w:firstLine="0"/>
        <w:jc w:val="center"/>
      </w:pPr>
    </w:p>
    <w:p w14:paraId="7F1A03CF" w14:textId="77777777" w:rsidR="004C21EB" w:rsidRDefault="004C21EB" w:rsidP="001833C1">
      <w:pPr>
        <w:ind w:firstLine="0"/>
        <w:jc w:val="center"/>
      </w:pPr>
    </w:p>
    <w:p w14:paraId="3F1F714E" w14:textId="77777777" w:rsidR="004C21EB" w:rsidRDefault="004C21EB" w:rsidP="001833C1">
      <w:pPr>
        <w:ind w:firstLine="0"/>
        <w:jc w:val="center"/>
      </w:pPr>
    </w:p>
    <w:p w14:paraId="2A54A504" w14:textId="77777777" w:rsidR="004C21EB" w:rsidRDefault="004C21EB" w:rsidP="001833C1">
      <w:pPr>
        <w:ind w:firstLine="0"/>
        <w:jc w:val="center"/>
      </w:pPr>
    </w:p>
    <w:p w14:paraId="53E23BDA" w14:textId="344A881E" w:rsidR="001833C1" w:rsidRDefault="001833C1" w:rsidP="001833C1">
      <w:pPr>
        <w:ind w:firstLine="0"/>
        <w:jc w:val="center"/>
      </w:pPr>
      <w:r>
        <w:t>Int. No. 2091</w:t>
      </w:r>
    </w:p>
    <w:p w14:paraId="291F026C" w14:textId="77777777" w:rsidR="001833C1" w:rsidRDefault="001833C1" w:rsidP="001833C1">
      <w:pPr>
        <w:ind w:firstLine="0"/>
        <w:jc w:val="center"/>
      </w:pPr>
    </w:p>
    <w:p w14:paraId="25ACB61D" w14:textId="77777777" w:rsidR="001833C1" w:rsidRDefault="001833C1" w:rsidP="001833C1">
      <w:pPr>
        <w:ind w:firstLine="0"/>
        <w:jc w:val="both"/>
      </w:pPr>
      <w:r>
        <w:t>By Council Members Kallos and Cornegy</w:t>
      </w:r>
    </w:p>
    <w:p w14:paraId="6DD337F2" w14:textId="77777777" w:rsidR="001833C1" w:rsidRDefault="001833C1" w:rsidP="001833C1">
      <w:pPr>
        <w:ind w:firstLine="0"/>
      </w:pPr>
    </w:p>
    <w:p w14:paraId="5B162EB5" w14:textId="77777777" w:rsidR="001833C1" w:rsidRPr="00174477" w:rsidRDefault="001833C1" w:rsidP="001833C1">
      <w:pPr>
        <w:ind w:firstLine="0"/>
        <w:rPr>
          <w:vanish/>
        </w:rPr>
      </w:pPr>
      <w:r w:rsidRPr="00174477">
        <w:rPr>
          <w:vanish/>
        </w:rPr>
        <w:t>..Title</w:t>
      </w:r>
    </w:p>
    <w:p w14:paraId="7D0AAFE4" w14:textId="77777777" w:rsidR="001833C1" w:rsidRDefault="001833C1" w:rsidP="001833C1">
      <w:pPr>
        <w:ind w:firstLine="0"/>
      </w:pPr>
      <w:r>
        <w:t>A Local Law to amend the administrative code of the city of New York, in relation to studying the feasibility of electrifying existing buildings.</w:t>
      </w:r>
    </w:p>
    <w:p w14:paraId="1E0AAB60" w14:textId="77777777" w:rsidR="001833C1" w:rsidRPr="00174477" w:rsidRDefault="001833C1" w:rsidP="001833C1">
      <w:pPr>
        <w:ind w:firstLine="0"/>
        <w:rPr>
          <w:vanish/>
        </w:rPr>
      </w:pPr>
      <w:r w:rsidRPr="00174477">
        <w:rPr>
          <w:vanish/>
        </w:rPr>
        <w:t>..Body</w:t>
      </w:r>
    </w:p>
    <w:p w14:paraId="1A5D4AEF" w14:textId="77777777" w:rsidR="001833C1" w:rsidRDefault="001833C1" w:rsidP="001833C1">
      <w:pPr>
        <w:ind w:firstLine="0"/>
        <w:jc w:val="both"/>
        <w:rPr>
          <w:u w:val="single"/>
        </w:rPr>
      </w:pPr>
    </w:p>
    <w:p w14:paraId="08106A20" w14:textId="77777777" w:rsidR="001833C1" w:rsidRDefault="001833C1" w:rsidP="001833C1">
      <w:pPr>
        <w:ind w:firstLine="0"/>
        <w:jc w:val="both"/>
        <w:rPr>
          <w:u w:val="single"/>
        </w:rPr>
      </w:pPr>
      <w:r>
        <w:rPr>
          <w:u w:val="single"/>
        </w:rPr>
        <w:t>Be it enacted by the Council as follows</w:t>
      </w:r>
      <w:r w:rsidRPr="005B5DE4">
        <w:rPr>
          <w:u w:val="single"/>
        </w:rPr>
        <w:t>:</w:t>
      </w:r>
    </w:p>
    <w:p w14:paraId="78C4030C" w14:textId="77777777" w:rsidR="001833C1" w:rsidRDefault="001833C1" w:rsidP="001833C1">
      <w:pPr>
        <w:ind w:firstLine="0"/>
        <w:jc w:val="both"/>
        <w:rPr>
          <w:u w:val="single"/>
        </w:rPr>
      </w:pPr>
    </w:p>
    <w:p w14:paraId="12B5D0C2" w14:textId="77777777" w:rsidR="001833C1" w:rsidRDefault="001833C1" w:rsidP="001833C1">
      <w:pPr>
        <w:ind w:firstLine="0"/>
        <w:jc w:val="both"/>
        <w:sectPr w:rsidR="001833C1" w:rsidSect="00966F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64165D71" w14:textId="77777777" w:rsidR="001833C1" w:rsidRPr="00AD5BCA" w:rsidRDefault="001833C1" w:rsidP="001833C1">
      <w:pPr>
        <w:suppressLineNumbers/>
        <w:shd w:val="clear" w:color="auto" w:fill="FFFFFF"/>
        <w:ind w:firstLine="0"/>
        <w:jc w:val="both"/>
      </w:pPr>
    </w:p>
    <w:p w14:paraId="490BB661" w14:textId="77777777" w:rsidR="001833C1" w:rsidRPr="00AD5BCA" w:rsidRDefault="001833C1" w:rsidP="001833C1">
      <w:pPr>
        <w:shd w:val="clear" w:color="auto" w:fill="FFFFFF"/>
        <w:spacing w:line="480" w:lineRule="auto"/>
        <w:jc w:val="both"/>
      </w:pPr>
      <w:r w:rsidRPr="00AD5BCA">
        <w:rPr>
          <w:color w:val="000000"/>
        </w:rPr>
        <w:t xml:space="preserve">Section 1. </w:t>
      </w:r>
      <w:r>
        <w:rPr>
          <w:color w:val="000000"/>
        </w:rPr>
        <w:t xml:space="preserve">Subdivision e of section 3-126 of the </w:t>
      </w:r>
      <w:r w:rsidRPr="00AD5BCA">
        <w:rPr>
          <w:color w:val="000000"/>
        </w:rPr>
        <w:t xml:space="preserve">administrative code </w:t>
      </w:r>
      <w:r>
        <w:rPr>
          <w:color w:val="000000"/>
        </w:rPr>
        <w:t xml:space="preserve">of the city of New York </w:t>
      </w:r>
      <w:r w:rsidRPr="00AD5BCA">
        <w:rPr>
          <w:color w:val="000000"/>
        </w:rPr>
        <w:t>is ame</w:t>
      </w:r>
      <w:r>
        <w:rPr>
          <w:color w:val="000000"/>
        </w:rPr>
        <w:t xml:space="preserve">nded </w:t>
      </w:r>
      <w:r w:rsidRPr="00AD5BCA">
        <w:rPr>
          <w:color w:val="000000"/>
        </w:rPr>
        <w:t>to read as follows:</w:t>
      </w:r>
    </w:p>
    <w:p w14:paraId="61608A84" w14:textId="77777777" w:rsidR="001833C1" w:rsidRPr="000F5E0A" w:rsidRDefault="001833C1" w:rsidP="001833C1">
      <w:pPr>
        <w:spacing w:line="480" w:lineRule="auto"/>
        <w:jc w:val="both"/>
        <w:rPr>
          <w:color w:val="000000"/>
        </w:rPr>
      </w:pPr>
      <w:r w:rsidRPr="000F5E0A">
        <w:rPr>
          <w:color w:val="000000"/>
        </w:rPr>
        <w:t xml:space="preserve">e. Where the administering agency has established a long-term energy plan in accordance with this section and in conjunction with the long-term sustainability plan required by subdivision e of section 20 of the </w:t>
      </w:r>
      <w:r>
        <w:rPr>
          <w:color w:val="000000"/>
        </w:rPr>
        <w:t>[</w:t>
      </w:r>
      <w:r w:rsidRPr="000F5E0A">
        <w:rPr>
          <w:color w:val="000000"/>
        </w:rPr>
        <w:t>New York city</w:t>
      </w:r>
      <w:r>
        <w:rPr>
          <w:color w:val="000000"/>
        </w:rPr>
        <w:t>] charter,</w:t>
      </w:r>
      <w:r w:rsidRPr="000F5E0A">
        <w:rPr>
          <w:color w:val="000000"/>
        </w:rPr>
        <w:t xml:space="preserve"> the advisory subcommittee shall provide advice and recommendations with respect to:</w:t>
      </w:r>
    </w:p>
    <w:p w14:paraId="4FAEDDA4" w14:textId="77777777" w:rsidR="001833C1" w:rsidRPr="000F5E0A" w:rsidRDefault="001833C1" w:rsidP="001833C1">
      <w:pPr>
        <w:spacing w:line="480" w:lineRule="auto"/>
        <w:jc w:val="both"/>
        <w:rPr>
          <w:color w:val="000000"/>
        </w:rPr>
      </w:pPr>
      <w:r w:rsidRPr="000F5E0A">
        <w:rPr>
          <w:color w:val="000000"/>
        </w:rPr>
        <w:t>1. Plans for providing information to city residents and other members of the public regarding energy efficiency initiatives and the purchase of renewable energy;</w:t>
      </w:r>
    </w:p>
    <w:p w14:paraId="0279C7CE" w14:textId="77777777" w:rsidR="001833C1" w:rsidRPr="000F5E0A" w:rsidRDefault="001833C1" w:rsidP="001833C1">
      <w:pPr>
        <w:spacing w:line="480" w:lineRule="auto"/>
        <w:jc w:val="both"/>
        <w:rPr>
          <w:color w:val="000000"/>
        </w:rPr>
      </w:pPr>
      <w:r w:rsidRPr="000F5E0A">
        <w:rPr>
          <w:color w:val="000000"/>
        </w:rPr>
        <w:t xml:space="preserve">2. Plans for the dissemination of information to city residents and other members of the public about the benefits of and progress attained through such long-term energy plan; </w:t>
      </w:r>
      <w:r>
        <w:rPr>
          <w:color w:val="000000"/>
        </w:rPr>
        <w:t>[</w:t>
      </w:r>
      <w:r w:rsidRPr="000F5E0A">
        <w:rPr>
          <w:color w:val="000000"/>
        </w:rPr>
        <w:t>and</w:t>
      </w:r>
      <w:r>
        <w:rPr>
          <w:color w:val="000000"/>
        </w:rPr>
        <w:t>]</w:t>
      </w:r>
    </w:p>
    <w:p w14:paraId="14F2DA8B" w14:textId="77777777" w:rsidR="001833C1" w:rsidRDefault="001833C1" w:rsidP="001833C1">
      <w:pPr>
        <w:spacing w:line="480" w:lineRule="auto"/>
        <w:jc w:val="both"/>
        <w:rPr>
          <w:color w:val="000000"/>
          <w:u w:val="single"/>
        </w:rPr>
      </w:pPr>
      <w:r w:rsidRPr="000F5E0A">
        <w:rPr>
          <w:color w:val="000000"/>
        </w:rPr>
        <w:t xml:space="preserve">3. </w:t>
      </w:r>
      <w:r>
        <w:rPr>
          <w:color w:val="000000"/>
          <w:u w:val="single"/>
        </w:rPr>
        <w:t>Plans for providing information to property owners, engineers, electricians, architects and other members of the public on the methods and potential benefits of the electrification of existing buildings; and</w:t>
      </w:r>
    </w:p>
    <w:p w14:paraId="43B6BC86" w14:textId="77777777" w:rsidR="001833C1" w:rsidRPr="000F5E0A" w:rsidRDefault="001833C1" w:rsidP="001833C1">
      <w:pPr>
        <w:spacing w:line="480" w:lineRule="auto"/>
        <w:jc w:val="both"/>
        <w:rPr>
          <w:color w:val="000000"/>
          <w:u w:val="single"/>
        </w:rPr>
      </w:pPr>
      <w:r w:rsidRPr="0091520F">
        <w:rPr>
          <w:color w:val="000000"/>
          <w:u w:val="single"/>
        </w:rPr>
        <w:t>4</w:t>
      </w:r>
      <w:r w:rsidRPr="000F5E0A">
        <w:rPr>
          <w:color w:val="000000"/>
          <w:u w:val="single"/>
        </w:rPr>
        <w:t>.</w:t>
      </w:r>
      <w:r w:rsidRPr="0091520F">
        <w:rPr>
          <w:color w:val="000000"/>
        </w:rPr>
        <w:t xml:space="preserve"> </w:t>
      </w:r>
      <w:r w:rsidRPr="000F5E0A">
        <w:rPr>
          <w:color w:val="000000"/>
        </w:rPr>
        <w:t>For any subsequent long-term energy plan, a review of the city's objectives and recommendations established in the previous long-term energy plan</w:t>
      </w:r>
      <w:r>
        <w:rPr>
          <w:color w:val="000000"/>
        </w:rPr>
        <w:t>.</w:t>
      </w:r>
      <w:r w:rsidRPr="000F5E0A">
        <w:rPr>
          <w:color w:val="000000"/>
          <w:u w:val="single"/>
        </w:rPr>
        <w:t xml:space="preserve"> </w:t>
      </w:r>
    </w:p>
    <w:p w14:paraId="546B29BC" w14:textId="77777777" w:rsidR="001833C1" w:rsidRDefault="001833C1" w:rsidP="001833C1">
      <w:pPr>
        <w:spacing w:line="480" w:lineRule="auto"/>
        <w:jc w:val="both"/>
        <w:rPr>
          <w:color w:val="000000"/>
        </w:rPr>
      </w:pPr>
      <w:r>
        <w:t xml:space="preserve">§ 2. </w:t>
      </w:r>
      <w:r>
        <w:rPr>
          <w:color w:val="000000"/>
        </w:rPr>
        <w:t xml:space="preserve">Subdivision g of section 3-126 of the </w:t>
      </w:r>
      <w:r w:rsidRPr="00AD5BCA">
        <w:rPr>
          <w:color w:val="000000"/>
        </w:rPr>
        <w:t xml:space="preserve">administrative code </w:t>
      </w:r>
      <w:r>
        <w:rPr>
          <w:color w:val="000000"/>
        </w:rPr>
        <w:t xml:space="preserve">of the city of New York </w:t>
      </w:r>
      <w:r w:rsidRPr="00AD5BCA">
        <w:rPr>
          <w:color w:val="000000"/>
        </w:rPr>
        <w:t>is ame</w:t>
      </w:r>
      <w:r>
        <w:rPr>
          <w:color w:val="000000"/>
        </w:rPr>
        <w:t xml:space="preserve">nded </w:t>
      </w:r>
      <w:r w:rsidRPr="00AD5BCA">
        <w:rPr>
          <w:color w:val="000000"/>
        </w:rPr>
        <w:t>to read as follows:</w:t>
      </w:r>
    </w:p>
    <w:p w14:paraId="2E2CEEF5" w14:textId="77777777" w:rsidR="001833C1" w:rsidRPr="006F5CA7" w:rsidRDefault="001833C1" w:rsidP="001833C1">
      <w:pPr>
        <w:spacing w:line="480" w:lineRule="auto"/>
        <w:jc w:val="both"/>
        <w:rPr>
          <w:color w:val="000000"/>
        </w:rPr>
      </w:pPr>
      <w:r w:rsidRPr="006F5CA7">
        <w:rPr>
          <w:color w:val="000000"/>
        </w:rPr>
        <w:t>g. The long-term energy plan developed in accordance with subdivision d of this section shall include the following:</w:t>
      </w:r>
    </w:p>
    <w:p w14:paraId="0CD808CB" w14:textId="77777777" w:rsidR="001833C1" w:rsidRPr="006F5CA7" w:rsidRDefault="001833C1" w:rsidP="001833C1">
      <w:pPr>
        <w:spacing w:line="480" w:lineRule="auto"/>
        <w:jc w:val="both"/>
        <w:rPr>
          <w:color w:val="000000"/>
        </w:rPr>
      </w:pPr>
      <w:r w:rsidRPr="006F5CA7">
        <w:rPr>
          <w:color w:val="000000"/>
        </w:rPr>
        <w:t>1. An assessment of the feasibility of replacing in-city gas-fired power plants associated with the bulk power system with battery storage powered by renewable energy sources in a manner that is consistent with the New York state public service commission energy storage deployment policy developed pursuant to section 74 of the public service law;</w:t>
      </w:r>
    </w:p>
    <w:p w14:paraId="56D61AC7" w14:textId="77777777" w:rsidR="001833C1" w:rsidRPr="006F5CA7" w:rsidRDefault="001833C1" w:rsidP="001833C1">
      <w:pPr>
        <w:spacing w:line="480" w:lineRule="auto"/>
        <w:jc w:val="both"/>
        <w:rPr>
          <w:color w:val="000000"/>
        </w:rPr>
      </w:pPr>
      <w:r w:rsidRPr="006F5CA7">
        <w:rPr>
          <w:color w:val="000000"/>
        </w:rPr>
        <w:t xml:space="preserve">2. An assessment of when such replacement, if feasible, can take place; </w:t>
      </w:r>
      <w:r>
        <w:rPr>
          <w:color w:val="000000"/>
        </w:rPr>
        <w:t>[</w:t>
      </w:r>
      <w:r w:rsidRPr="006F5CA7">
        <w:rPr>
          <w:color w:val="000000"/>
        </w:rPr>
        <w:t>and</w:t>
      </w:r>
      <w:r>
        <w:rPr>
          <w:color w:val="000000"/>
        </w:rPr>
        <w:t>]</w:t>
      </w:r>
    </w:p>
    <w:p w14:paraId="6ECE259F" w14:textId="77777777" w:rsidR="001833C1" w:rsidRDefault="001833C1" w:rsidP="001833C1">
      <w:pPr>
        <w:spacing w:line="480" w:lineRule="auto"/>
        <w:jc w:val="both"/>
        <w:rPr>
          <w:color w:val="000000"/>
        </w:rPr>
      </w:pPr>
      <w:r w:rsidRPr="006F5CA7">
        <w:rPr>
          <w:color w:val="000000"/>
        </w:rPr>
        <w:t>3. A review of potential technologies for battery storage of energy</w:t>
      </w:r>
      <w:r>
        <w:rPr>
          <w:color w:val="000000"/>
        </w:rPr>
        <w:t>[</w:t>
      </w:r>
      <w:r w:rsidRPr="006F5CA7">
        <w:rPr>
          <w:color w:val="000000"/>
        </w:rPr>
        <w:t>.</w:t>
      </w:r>
      <w:r>
        <w:rPr>
          <w:color w:val="000000"/>
        </w:rPr>
        <w:t>]</w:t>
      </w:r>
      <w:r w:rsidRPr="000F5E0A">
        <w:rPr>
          <w:color w:val="000000"/>
          <w:u w:val="single"/>
        </w:rPr>
        <w:t>;</w:t>
      </w:r>
    </w:p>
    <w:p w14:paraId="75864316" w14:textId="77777777" w:rsidR="001833C1" w:rsidRPr="002A1641" w:rsidRDefault="001833C1" w:rsidP="001833C1">
      <w:pPr>
        <w:spacing w:line="480" w:lineRule="auto"/>
        <w:jc w:val="both"/>
        <w:rPr>
          <w:color w:val="000000"/>
          <w:u w:val="single"/>
        </w:rPr>
      </w:pPr>
      <w:r w:rsidRPr="000F5E0A">
        <w:rPr>
          <w:color w:val="000000"/>
          <w:u w:val="single"/>
        </w:rPr>
        <w:t xml:space="preserve">4. </w:t>
      </w:r>
      <w:r>
        <w:rPr>
          <w:color w:val="000000"/>
          <w:u w:val="single"/>
        </w:rPr>
        <w:t>A review of the</w:t>
      </w:r>
      <w:r w:rsidRPr="002A1641">
        <w:rPr>
          <w:color w:val="000000"/>
          <w:u w:val="single"/>
        </w:rPr>
        <w:t xml:space="preserve"> regulatory barriers to </w:t>
      </w:r>
      <w:r>
        <w:rPr>
          <w:color w:val="000000"/>
          <w:u w:val="single"/>
        </w:rPr>
        <w:t xml:space="preserve">the electrification of existing </w:t>
      </w:r>
      <w:r w:rsidRPr="002A1641">
        <w:rPr>
          <w:color w:val="000000"/>
          <w:u w:val="single"/>
        </w:rPr>
        <w:t>building</w:t>
      </w:r>
      <w:r>
        <w:rPr>
          <w:color w:val="000000"/>
          <w:u w:val="single"/>
        </w:rPr>
        <w:t>s and the impacts of energy subsidies,</w:t>
      </w:r>
      <w:r w:rsidRPr="002A1641">
        <w:rPr>
          <w:color w:val="000000"/>
          <w:u w:val="single"/>
        </w:rPr>
        <w:t xml:space="preserve"> including</w:t>
      </w:r>
      <w:r>
        <w:rPr>
          <w:color w:val="000000"/>
          <w:u w:val="single"/>
        </w:rPr>
        <w:t xml:space="preserve"> consideration of the impacts of</w:t>
      </w:r>
      <w:r w:rsidRPr="002A1641">
        <w:rPr>
          <w:color w:val="000000"/>
          <w:u w:val="single"/>
        </w:rPr>
        <w:t xml:space="preserve"> utility</w:t>
      </w:r>
      <w:r>
        <w:rPr>
          <w:color w:val="000000"/>
          <w:u w:val="single"/>
        </w:rPr>
        <w:t xml:space="preserve"> </w:t>
      </w:r>
      <w:r w:rsidRPr="002A1641">
        <w:rPr>
          <w:color w:val="000000"/>
          <w:u w:val="single"/>
        </w:rPr>
        <w:t>franchise agreements, gas subsidies such as</w:t>
      </w:r>
      <w:r>
        <w:rPr>
          <w:color w:val="000000"/>
          <w:u w:val="single"/>
        </w:rPr>
        <w:t xml:space="preserve"> for</w:t>
      </w:r>
      <w:r w:rsidRPr="002A1641">
        <w:rPr>
          <w:color w:val="000000"/>
          <w:u w:val="single"/>
        </w:rPr>
        <w:t xml:space="preserve"> gas line extensions, appliance emission standards</w:t>
      </w:r>
      <w:r>
        <w:rPr>
          <w:color w:val="000000"/>
          <w:u w:val="single"/>
        </w:rPr>
        <w:t>,</w:t>
      </w:r>
      <w:r w:rsidRPr="002A1641">
        <w:rPr>
          <w:color w:val="000000"/>
          <w:u w:val="single"/>
        </w:rPr>
        <w:t xml:space="preserve"> and energy rates;</w:t>
      </w:r>
    </w:p>
    <w:p w14:paraId="3AC8ACC9" w14:textId="77777777" w:rsidR="001833C1" w:rsidRPr="002A1641" w:rsidRDefault="001833C1" w:rsidP="001833C1">
      <w:pPr>
        <w:spacing w:line="480" w:lineRule="auto"/>
        <w:jc w:val="both"/>
        <w:rPr>
          <w:color w:val="000000"/>
          <w:u w:val="single"/>
        </w:rPr>
      </w:pPr>
      <w:r>
        <w:rPr>
          <w:color w:val="000000"/>
          <w:u w:val="single"/>
        </w:rPr>
        <w:t>5. An assessment of the potential c</w:t>
      </w:r>
      <w:r w:rsidRPr="002A1641">
        <w:rPr>
          <w:color w:val="000000"/>
          <w:u w:val="single"/>
        </w:rPr>
        <w:t xml:space="preserve">osts for property owners of </w:t>
      </w:r>
      <w:r>
        <w:rPr>
          <w:color w:val="000000"/>
          <w:u w:val="single"/>
        </w:rPr>
        <w:t xml:space="preserve">the electrification of existing buildings, including consideration of </w:t>
      </w:r>
      <w:r w:rsidRPr="002A1641">
        <w:rPr>
          <w:color w:val="000000"/>
          <w:u w:val="single"/>
        </w:rPr>
        <w:t>buildings</w:t>
      </w:r>
      <w:r>
        <w:rPr>
          <w:color w:val="000000"/>
          <w:u w:val="single"/>
        </w:rPr>
        <w:t xml:space="preserve"> of various types and sizes</w:t>
      </w:r>
      <w:r w:rsidRPr="002A1641">
        <w:rPr>
          <w:color w:val="000000"/>
          <w:u w:val="single"/>
        </w:rPr>
        <w:t>;</w:t>
      </w:r>
    </w:p>
    <w:p w14:paraId="3F99765C" w14:textId="77777777" w:rsidR="001833C1" w:rsidRPr="002A1641" w:rsidRDefault="001833C1" w:rsidP="001833C1">
      <w:pPr>
        <w:spacing w:line="480" w:lineRule="auto"/>
        <w:jc w:val="both"/>
        <w:rPr>
          <w:color w:val="000000"/>
          <w:u w:val="single"/>
        </w:rPr>
      </w:pPr>
      <w:r>
        <w:rPr>
          <w:color w:val="000000"/>
          <w:u w:val="single"/>
        </w:rPr>
        <w:t>6. An assessment of possible t</w:t>
      </w:r>
      <w:r w:rsidRPr="002A1641">
        <w:rPr>
          <w:color w:val="000000"/>
          <w:u w:val="single"/>
        </w:rPr>
        <w:t xml:space="preserve">ime frames for </w:t>
      </w:r>
      <w:r>
        <w:rPr>
          <w:color w:val="000000"/>
          <w:u w:val="single"/>
        </w:rPr>
        <w:t xml:space="preserve">the </w:t>
      </w:r>
      <w:r w:rsidRPr="002A1641">
        <w:rPr>
          <w:color w:val="000000"/>
          <w:u w:val="single"/>
        </w:rPr>
        <w:t>electrification</w:t>
      </w:r>
      <w:r>
        <w:rPr>
          <w:color w:val="000000"/>
          <w:u w:val="single"/>
        </w:rPr>
        <w:t xml:space="preserve"> of existing buildings of various types and sizes, including consideration of both the energy demands required and</w:t>
      </w:r>
      <w:r w:rsidRPr="002A1641">
        <w:rPr>
          <w:color w:val="000000"/>
          <w:u w:val="single"/>
        </w:rPr>
        <w:t xml:space="preserve"> state and local greenhouse gas reduction goals</w:t>
      </w:r>
      <w:r>
        <w:rPr>
          <w:color w:val="000000"/>
          <w:u w:val="single"/>
        </w:rPr>
        <w:t>;</w:t>
      </w:r>
    </w:p>
    <w:p w14:paraId="7D5E6B01" w14:textId="77777777" w:rsidR="001833C1" w:rsidRPr="002A1641" w:rsidRDefault="001833C1" w:rsidP="001833C1">
      <w:pPr>
        <w:spacing w:line="480" w:lineRule="auto"/>
        <w:jc w:val="both"/>
        <w:rPr>
          <w:color w:val="000000"/>
          <w:u w:val="single"/>
        </w:rPr>
      </w:pPr>
      <w:r>
        <w:rPr>
          <w:color w:val="000000"/>
          <w:u w:val="single"/>
        </w:rPr>
        <w:t>7. An assessment of the potential equity impacts of the electrification of existing buildings, including considerations of property owner access to financing, and potential financial impacts on tenants; and</w:t>
      </w:r>
    </w:p>
    <w:p w14:paraId="2A3BFF6C" w14:textId="77777777" w:rsidR="001833C1" w:rsidRDefault="001833C1" w:rsidP="001833C1">
      <w:pPr>
        <w:spacing w:line="480" w:lineRule="auto"/>
        <w:jc w:val="both"/>
        <w:rPr>
          <w:color w:val="000000"/>
          <w:u w:val="single"/>
        </w:rPr>
      </w:pPr>
      <w:r>
        <w:rPr>
          <w:color w:val="000000"/>
          <w:u w:val="single"/>
        </w:rPr>
        <w:t xml:space="preserve">8. An assessment of the </w:t>
      </w:r>
      <w:r w:rsidRPr="002A1641">
        <w:rPr>
          <w:color w:val="000000"/>
          <w:u w:val="single"/>
        </w:rPr>
        <w:t xml:space="preserve">renewable energy </w:t>
      </w:r>
      <w:r>
        <w:rPr>
          <w:color w:val="000000"/>
          <w:u w:val="single"/>
        </w:rPr>
        <w:t xml:space="preserve">sources that would be </w:t>
      </w:r>
      <w:r w:rsidRPr="002A1641">
        <w:rPr>
          <w:color w:val="000000"/>
          <w:u w:val="single"/>
        </w:rPr>
        <w:t>need</w:t>
      </w:r>
      <w:r>
        <w:rPr>
          <w:color w:val="000000"/>
          <w:u w:val="single"/>
        </w:rPr>
        <w:t>ed</w:t>
      </w:r>
      <w:r w:rsidRPr="002A1641">
        <w:rPr>
          <w:color w:val="000000"/>
          <w:u w:val="single"/>
        </w:rPr>
        <w:t xml:space="preserve"> </w:t>
      </w:r>
      <w:r>
        <w:rPr>
          <w:color w:val="000000"/>
          <w:u w:val="single"/>
        </w:rPr>
        <w:t>to meet any increase in demand caused by the electrification of existing buildings</w:t>
      </w:r>
      <w:r w:rsidRPr="002A1641">
        <w:rPr>
          <w:color w:val="000000"/>
          <w:u w:val="single"/>
        </w:rPr>
        <w:t>.</w:t>
      </w:r>
    </w:p>
    <w:p w14:paraId="5AC2A807" w14:textId="77777777" w:rsidR="001833C1" w:rsidRDefault="001833C1" w:rsidP="001833C1">
      <w:pPr>
        <w:autoSpaceDE w:val="0"/>
        <w:autoSpaceDN w:val="0"/>
        <w:adjustRightInd w:val="0"/>
        <w:spacing w:line="480" w:lineRule="auto"/>
        <w:jc w:val="both"/>
      </w:pPr>
      <w:r>
        <w:t>§ 3.</w:t>
      </w:r>
      <w:r w:rsidRPr="008109AB">
        <w:rPr>
          <w:rFonts w:ascii="Arial" w:hAnsi="Arial" w:cs="Arial"/>
        </w:rPr>
        <w:t xml:space="preserve"> </w:t>
      </w:r>
      <w:r w:rsidRPr="000271A0">
        <w:t>This local law shall take effect immediately.</w:t>
      </w:r>
    </w:p>
    <w:p w14:paraId="500A58B2" w14:textId="77777777" w:rsidR="001833C1" w:rsidRDefault="001833C1" w:rsidP="001833C1">
      <w:pPr>
        <w:ind w:firstLine="0"/>
        <w:jc w:val="both"/>
        <w:rPr>
          <w:sz w:val="18"/>
          <w:szCs w:val="18"/>
        </w:rPr>
        <w:sectPr w:rsidR="001833C1" w:rsidSect="00966F3A">
          <w:type w:val="continuous"/>
          <w:pgSz w:w="12240" w:h="15840"/>
          <w:pgMar w:top="1440" w:right="1440" w:bottom="1440" w:left="1440" w:header="720" w:footer="720" w:gutter="0"/>
          <w:cols w:space="720"/>
          <w:titlePg/>
          <w:docGrid w:linePitch="360"/>
        </w:sectPr>
      </w:pPr>
    </w:p>
    <w:p w14:paraId="37F98519" w14:textId="77777777" w:rsidR="001833C1" w:rsidRDefault="001833C1" w:rsidP="001833C1">
      <w:pPr>
        <w:ind w:firstLine="0"/>
        <w:jc w:val="both"/>
        <w:rPr>
          <w:sz w:val="18"/>
          <w:szCs w:val="18"/>
        </w:rPr>
      </w:pPr>
    </w:p>
    <w:p w14:paraId="7A73E127" w14:textId="77777777" w:rsidR="001833C1" w:rsidRDefault="001833C1" w:rsidP="001833C1">
      <w:pPr>
        <w:ind w:firstLine="0"/>
        <w:jc w:val="both"/>
        <w:rPr>
          <w:sz w:val="18"/>
          <w:szCs w:val="18"/>
        </w:rPr>
      </w:pPr>
      <w:r>
        <w:rPr>
          <w:sz w:val="18"/>
          <w:szCs w:val="18"/>
        </w:rPr>
        <w:t>SS LS #13829</w:t>
      </w:r>
    </w:p>
    <w:p w14:paraId="4A918389" w14:textId="77777777" w:rsidR="001833C1" w:rsidRDefault="001833C1" w:rsidP="001833C1">
      <w:pPr>
        <w:ind w:firstLine="0"/>
        <w:rPr>
          <w:sz w:val="18"/>
          <w:szCs w:val="18"/>
        </w:rPr>
      </w:pPr>
      <w:r>
        <w:rPr>
          <w:sz w:val="18"/>
          <w:szCs w:val="18"/>
        </w:rPr>
        <w:t>9/15/20</w:t>
      </w:r>
    </w:p>
    <w:p w14:paraId="4B700E0A" w14:textId="610B2861" w:rsidR="001833C1" w:rsidRDefault="001833C1">
      <w:pPr>
        <w:ind w:firstLine="0"/>
        <w:rPr>
          <w:sz w:val="18"/>
          <w:szCs w:val="18"/>
        </w:rPr>
      </w:pPr>
      <w:r>
        <w:rPr>
          <w:sz w:val="18"/>
          <w:szCs w:val="18"/>
        </w:rPr>
        <w:br w:type="page"/>
      </w:r>
    </w:p>
    <w:p w14:paraId="4D665443" w14:textId="77777777" w:rsidR="001833C1" w:rsidRPr="00DA53E6" w:rsidRDefault="001833C1" w:rsidP="001833C1">
      <w:pPr>
        <w:suppressLineNumbers/>
        <w:ind w:firstLine="0"/>
        <w:jc w:val="center"/>
      </w:pPr>
      <w:r w:rsidRPr="00DA53E6">
        <w:t>Int. No.</w:t>
      </w:r>
      <w:r>
        <w:t xml:space="preserve"> 2196</w:t>
      </w:r>
    </w:p>
    <w:p w14:paraId="69BB682D" w14:textId="77777777" w:rsidR="001833C1" w:rsidRPr="00DA53E6" w:rsidRDefault="001833C1" w:rsidP="001833C1">
      <w:pPr>
        <w:suppressLineNumbers/>
        <w:ind w:firstLine="0"/>
        <w:jc w:val="center"/>
      </w:pPr>
    </w:p>
    <w:p w14:paraId="55987E62" w14:textId="77777777" w:rsidR="001833C1" w:rsidRDefault="001833C1" w:rsidP="001833C1">
      <w:pPr>
        <w:pStyle w:val="BodyText"/>
        <w:suppressLineNumbers/>
        <w:spacing w:line="240" w:lineRule="auto"/>
        <w:ind w:firstLine="0"/>
      </w:pPr>
      <w:r>
        <w:t>By Council Member Louis</w:t>
      </w:r>
    </w:p>
    <w:p w14:paraId="56354EFD" w14:textId="77777777" w:rsidR="001833C1" w:rsidRPr="00DA53E6" w:rsidRDefault="001833C1" w:rsidP="001833C1">
      <w:pPr>
        <w:pStyle w:val="BodyText"/>
        <w:suppressLineNumbers/>
        <w:spacing w:line="240" w:lineRule="auto"/>
        <w:ind w:firstLine="0"/>
      </w:pPr>
    </w:p>
    <w:p w14:paraId="5624347F" w14:textId="77777777" w:rsidR="001833C1" w:rsidRPr="00FF4C2C" w:rsidRDefault="001833C1" w:rsidP="001833C1">
      <w:pPr>
        <w:pStyle w:val="BodyText"/>
        <w:suppressLineNumbers/>
        <w:spacing w:line="240" w:lineRule="auto"/>
        <w:ind w:firstLine="0"/>
        <w:rPr>
          <w:vanish/>
        </w:rPr>
      </w:pPr>
      <w:r w:rsidRPr="00FF4C2C">
        <w:rPr>
          <w:vanish/>
        </w:rPr>
        <w:t>..Title</w:t>
      </w:r>
    </w:p>
    <w:p w14:paraId="45FEDE41" w14:textId="77777777" w:rsidR="001833C1" w:rsidRDefault="001833C1" w:rsidP="001833C1">
      <w:pPr>
        <w:pStyle w:val="BodyText"/>
        <w:suppressLineNumbers/>
        <w:spacing w:line="240" w:lineRule="auto"/>
        <w:ind w:firstLine="0"/>
      </w:pPr>
      <w:r>
        <w:t xml:space="preserve">A Local Law in </w:t>
      </w:r>
      <w:r w:rsidRPr="00DA53E6">
        <w:t xml:space="preserve">relation to a study of the health impacts </w:t>
      </w:r>
      <w:r>
        <w:t>from</w:t>
      </w:r>
      <w:r w:rsidRPr="00DA53E6">
        <w:t xml:space="preserve"> gas stoves</w:t>
      </w:r>
    </w:p>
    <w:p w14:paraId="5DA12F97" w14:textId="77777777" w:rsidR="001833C1" w:rsidRPr="00FF4C2C" w:rsidRDefault="001833C1" w:rsidP="001833C1">
      <w:pPr>
        <w:pStyle w:val="BodyText"/>
        <w:suppressLineNumbers/>
        <w:spacing w:line="240" w:lineRule="auto"/>
        <w:ind w:firstLine="0"/>
        <w:rPr>
          <w:vanish/>
        </w:rPr>
      </w:pPr>
      <w:r w:rsidRPr="00FF4C2C">
        <w:rPr>
          <w:vanish/>
        </w:rPr>
        <w:t>..Body</w:t>
      </w:r>
    </w:p>
    <w:p w14:paraId="0BAB94BE" w14:textId="77777777" w:rsidR="001833C1" w:rsidRPr="00DA53E6" w:rsidRDefault="001833C1" w:rsidP="001833C1">
      <w:pPr>
        <w:pStyle w:val="BodyText"/>
        <w:suppressLineNumbers/>
        <w:spacing w:line="240" w:lineRule="auto"/>
        <w:ind w:firstLine="0"/>
        <w:rPr>
          <w:u w:val="single"/>
        </w:rPr>
      </w:pPr>
    </w:p>
    <w:p w14:paraId="5075EB2E" w14:textId="77777777" w:rsidR="001833C1" w:rsidRDefault="001833C1" w:rsidP="001833C1">
      <w:pPr>
        <w:suppressLineNumbers/>
        <w:ind w:firstLine="0"/>
        <w:jc w:val="both"/>
        <w:rPr>
          <w:u w:val="single"/>
        </w:rPr>
      </w:pPr>
      <w:r>
        <w:rPr>
          <w:u w:val="single"/>
        </w:rPr>
        <w:t>Be it enacted by the Council as follows</w:t>
      </w:r>
      <w:r w:rsidRPr="005B5DE4">
        <w:rPr>
          <w:u w:val="single"/>
        </w:rPr>
        <w:t>:</w:t>
      </w:r>
    </w:p>
    <w:p w14:paraId="56CC195A" w14:textId="77777777" w:rsidR="001833C1" w:rsidRPr="000D6550" w:rsidRDefault="001833C1" w:rsidP="001833C1">
      <w:pPr>
        <w:suppressLineNumbers/>
        <w:ind w:firstLine="0"/>
        <w:jc w:val="both"/>
        <w:rPr>
          <w:u w:val="single"/>
        </w:rPr>
      </w:pPr>
    </w:p>
    <w:p w14:paraId="6EF58322" w14:textId="77777777" w:rsidR="001833C1" w:rsidRPr="00466AB6" w:rsidRDefault="001833C1" w:rsidP="001833C1">
      <w:pPr>
        <w:shd w:val="clear" w:color="auto" w:fill="FFFFFF"/>
        <w:spacing w:line="480" w:lineRule="auto"/>
        <w:jc w:val="both"/>
        <w:textAlignment w:val="baseline"/>
        <w:rPr>
          <w:color w:val="000000"/>
          <w:u w:val="single"/>
        </w:rPr>
      </w:pPr>
      <w:r>
        <w:t>Section 1.</w:t>
      </w:r>
      <w:r w:rsidRPr="00466AB6">
        <w:rPr>
          <w:color w:val="000000"/>
          <w:u w:val="single"/>
        </w:rPr>
        <w:t xml:space="preserve"> </w:t>
      </w:r>
      <w:r>
        <w:rPr>
          <w:color w:val="000000"/>
          <w:u w:val="single"/>
        </w:rPr>
        <w:t xml:space="preserve">An agency or office designated by the mayor </w:t>
      </w:r>
      <w:r w:rsidRPr="00466AB6">
        <w:rPr>
          <w:color w:val="000000"/>
          <w:u w:val="single"/>
        </w:rPr>
        <w:t xml:space="preserve">shall conduct a study </w:t>
      </w:r>
      <w:r>
        <w:rPr>
          <w:color w:val="000000"/>
          <w:u w:val="single"/>
        </w:rPr>
        <w:t>to determine whether there are</w:t>
      </w:r>
      <w:r w:rsidRPr="00466AB6">
        <w:rPr>
          <w:color w:val="000000"/>
          <w:u w:val="single"/>
        </w:rPr>
        <w:t xml:space="preserve"> health impacts </w:t>
      </w:r>
      <w:r>
        <w:rPr>
          <w:color w:val="000000"/>
          <w:u w:val="single"/>
        </w:rPr>
        <w:t>associated with the residential and the commercial uses of</w:t>
      </w:r>
      <w:r w:rsidRPr="00466AB6">
        <w:rPr>
          <w:color w:val="000000"/>
          <w:u w:val="single"/>
        </w:rPr>
        <w:t xml:space="preserve"> gas stoves</w:t>
      </w:r>
      <w:r>
        <w:rPr>
          <w:color w:val="000000"/>
          <w:u w:val="single"/>
        </w:rPr>
        <w:t xml:space="preserve">. Such agency shall submit to the mayor and the speaker of the council the results of such study within one year of the effective date of the enactment of this legislation along with a recommendation of </w:t>
      </w:r>
      <w:r w:rsidRPr="00466AB6">
        <w:rPr>
          <w:color w:val="000000"/>
          <w:u w:val="single"/>
        </w:rPr>
        <w:t>whether it would be appropriate to create a phase-out policy of gas stoves.</w:t>
      </w:r>
    </w:p>
    <w:p w14:paraId="696D3190" w14:textId="77777777" w:rsidR="001833C1" w:rsidRDefault="001833C1" w:rsidP="001833C1">
      <w:pPr>
        <w:widowControl w:val="0"/>
        <w:autoSpaceDE w:val="0"/>
        <w:autoSpaceDN w:val="0"/>
        <w:adjustRightInd w:val="0"/>
        <w:spacing w:line="480" w:lineRule="auto"/>
        <w:ind w:left="720" w:firstLine="0"/>
        <w:jc w:val="both"/>
      </w:pPr>
      <w:r w:rsidRPr="00DA53E6">
        <w:t>§ 2. This local law takes effect immediately.</w:t>
      </w:r>
    </w:p>
    <w:p w14:paraId="08F8D481" w14:textId="77777777" w:rsidR="001833C1" w:rsidRDefault="001833C1" w:rsidP="001833C1">
      <w:pPr>
        <w:widowControl w:val="0"/>
        <w:autoSpaceDE w:val="0"/>
        <w:autoSpaceDN w:val="0"/>
        <w:adjustRightInd w:val="0"/>
        <w:spacing w:line="480" w:lineRule="auto"/>
        <w:ind w:left="720" w:firstLine="0"/>
        <w:jc w:val="both"/>
      </w:pPr>
    </w:p>
    <w:p w14:paraId="3A808170" w14:textId="77777777" w:rsidR="001833C1" w:rsidRPr="001833C1" w:rsidRDefault="001833C1" w:rsidP="001833C1">
      <w:pPr>
        <w:ind w:firstLine="0"/>
        <w:jc w:val="both"/>
        <w:rPr>
          <w:sz w:val="20"/>
          <w:szCs w:val="20"/>
        </w:rPr>
      </w:pPr>
    </w:p>
    <w:p w14:paraId="6EF28871" w14:textId="77777777" w:rsidR="001833C1" w:rsidRPr="001833C1" w:rsidRDefault="001833C1" w:rsidP="001833C1">
      <w:pPr>
        <w:ind w:firstLine="0"/>
        <w:jc w:val="both"/>
        <w:rPr>
          <w:sz w:val="20"/>
          <w:szCs w:val="20"/>
        </w:rPr>
      </w:pPr>
      <w:r w:rsidRPr="001833C1">
        <w:rPr>
          <w:sz w:val="20"/>
          <w:szCs w:val="20"/>
        </w:rPr>
        <w:t>SS</w:t>
      </w:r>
    </w:p>
    <w:p w14:paraId="69694053" w14:textId="77777777" w:rsidR="001833C1" w:rsidRPr="001833C1" w:rsidRDefault="001833C1" w:rsidP="001833C1">
      <w:pPr>
        <w:ind w:firstLine="0"/>
        <w:jc w:val="both"/>
        <w:rPr>
          <w:sz w:val="20"/>
          <w:szCs w:val="20"/>
        </w:rPr>
      </w:pPr>
      <w:r w:rsidRPr="001833C1">
        <w:rPr>
          <w:sz w:val="20"/>
          <w:szCs w:val="20"/>
        </w:rPr>
        <w:t xml:space="preserve">LS #11678 </w:t>
      </w:r>
    </w:p>
    <w:p w14:paraId="05D591F0" w14:textId="77777777" w:rsidR="001833C1" w:rsidRPr="001833C1" w:rsidRDefault="001833C1" w:rsidP="001833C1">
      <w:pPr>
        <w:ind w:firstLine="0"/>
        <w:jc w:val="both"/>
        <w:rPr>
          <w:sz w:val="20"/>
          <w:szCs w:val="20"/>
        </w:rPr>
      </w:pPr>
      <w:r w:rsidRPr="001833C1">
        <w:rPr>
          <w:sz w:val="20"/>
          <w:szCs w:val="20"/>
        </w:rPr>
        <w:t>12/15/20</w:t>
      </w:r>
    </w:p>
    <w:p w14:paraId="5BB4AFB4" w14:textId="4CFD04C5" w:rsidR="001833C1" w:rsidRPr="00DA53E6" w:rsidRDefault="001833C1" w:rsidP="001833C1">
      <w:pPr>
        <w:widowControl w:val="0"/>
        <w:autoSpaceDE w:val="0"/>
        <w:autoSpaceDN w:val="0"/>
        <w:adjustRightInd w:val="0"/>
        <w:spacing w:line="480" w:lineRule="auto"/>
        <w:ind w:firstLine="0"/>
        <w:jc w:val="both"/>
        <w:sectPr w:rsidR="001833C1" w:rsidRPr="00DA53E6" w:rsidSect="001833C1">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14:paraId="10D07D78" w14:textId="77777777" w:rsidR="00694393" w:rsidRDefault="00694393" w:rsidP="00694393">
      <w:pPr>
        <w:ind w:firstLine="0"/>
        <w:jc w:val="center"/>
      </w:pPr>
      <w:r>
        <w:t>Int. No. 2317</w:t>
      </w:r>
    </w:p>
    <w:p w14:paraId="296A2C9A" w14:textId="77777777" w:rsidR="00694393" w:rsidRDefault="00694393" w:rsidP="00694393">
      <w:pPr>
        <w:ind w:firstLine="0"/>
        <w:jc w:val="center"/>
      </w:pPr>
    </w:p>
    <w:p w14:paraId="693DD8C6" w14:textId="77777777" w:rsidR="00694393" w:rsidRDefault="00694393" w:rsidP="00694393">
      <w:pPr>
        <w:autoSpaceDE w:val="0"/>
        <w:autoSpaceDN w:val="0"/>
        <w:adjustRightInd w:val="0"/>
        <w:ind w:firstLine="0"/>
        <w:jc w:val="both"/>
        <w:rPr>
          <w:rFonts w:eastAsia="Calibri"/>
        </w:rPr>
      </w:pPr>
      <w:r>
        <w:rPr>
          <w:rFonts w:eastAsia="Calibri"/>
        </w:rPr>
        <w:t xml:space="preserve">By Council Members </w:t>
      </w:r>
      <w:r>
        <w:rPr>
          <w:rFonts w:eastAsia="Calibri"/>
          <w:color w:val="000000"/>
        </w:rPr>
        <w:t>Ampry-Samuel, Rivera, the Public Advocate (Mr. Williams), Van Bramer, Reynoso, Lander, Rosenthal, Kallos, Levin, Dromm, D. Diaz, Ayala, Menchaca, Adams, Barron, Chin, Cornegy, Rodriguez, Levine, Riley, Cumbo, Koslowitz, Dinowitz and Louis</w:t>
      </w:r>
    </w:p>
    <w:p w14:paraId="04B2130D" w14:textId="77777777" w:rsidR="00694393" w:rsidRDefault="00694393" w:rsidP="00694393">
      <w:pPr>
        <w:pStyle w:val="BodyText"/>
        <w:spacing w:line="240" w:lineRule="auto"/>
        <w:ind w:firstLine="0"/>
      </w:pPr>
    </w:p>
    <w:p w14:paraId="3E919B83" w14:textId="77777777" w:rsidR="00694393" w:rsidRPr="00336406" w:rsidRDefault="00694393" w:rsidP="00694393">
      <w:pPr>
        <w:pStyle w:val="BodyText"/>
        <w:spacing w:line="240" w:lineRule="auto"/>
        <w:ind w:firstLine="0"/>
        <w:rPr>
          <w:vanish/>
        </w:rPr>
      </w:pPr>
      <w:r w:rsidRPr="00336406">
        <w:rPr>
          <w:vanish/>
        </w:rPr>
        <w:t>..Title</w:t>
      </w:r>
    </w:p>
    <w:p w14:paraId="7307B67F" w14:textId="77777777" w:rsidR="00694393" w:rsidRDefault="00694393" w:rsidP="00694393">
      <w:pPr>
        <w:pStyle w:val="BodyText"/>
        <w:spacing w:line="240" w:lineRule="auto"/>
        <w:ind w:firstLine="0"/>
      </w:pPr>
      <w:r>
        <w:t>A Local Law to amend the administrative code of the city of New York, in relation to the use of substances with certain emissions profiles</w:t>
      </w:r>
    </w:p>
    <w:p w14:paraId="09F11209" w14:textId="77777777" w:rsidR="00694393" w:rsidRPr="00336406" w:rsidRDefault="00694393" w:rsidP="00694393">
      <w:pPr>
        <w:pStyle w:val="BodyText"/>
        <w:spacing w:line="240" w:lineRule="auto"/>
        <w:ind w:firstLine="0"/>
        <w:rPr>
          <w:vanish/>
        </w:rPr>
      </w:pPr>
      <w:r w:rsidRPr="00336406">
        <w:rPr>
          <w:vanish/>
        </w:rPr>
        <w:t>..Body</w:t>
      </w:r>
    </w:p>
    <w:p w14:paraId="004DAC54" w14:textId="77777777" w:rsidR="00694393" w:rsidRDefault="00694393" w:rsidP="00694393">
      <w:pPr>
        <w:pStyle w:val="BodyText"/>
        <w:spacing w:line="240" w:lineRule="auto"/>
        <w:ind w:firstLine="0"/>
        <w:rPr>
          <w:u w:val="single"/>
        </w:rPr>
      </w:pPr>
    </w:p>
    <w:p w14:paraId="3ED8C9D0" w14:textId="77777777" w:rsidR="00694393" w:rsidRDefault="00694393" w:rsidP="00694393">
      <w:pPr>
        <w:ind w:firstLine="0"/>
        <w:jc w:val="both"/>
      </w:pPr>
      <w:r>
        <w:rPr>
          <w:u w:val="single"/>
        </w:rPr>
        <w:t>Be it enacted by the Council as follows</w:t>
      </w:r>
      <w:r w:rsidRPr="005B5DE4">
        <w:rPr>
          <w:u w:val="single"/>
        </w:rPr>
        <w:t>:</w:t>
      </w:r>
    </w:p>
    <w:p w14:paraId="18C4A3AC" w14:textId="1B71C70A" w:rsidR="001833C1" w:rsidRDefault="001833C1" w:rsidP="001833C1">
      <w:pPr>
        <w:ind w:firstLine="0"/>
        <w:jc w:val="both"/>
      </w:pPr>
    </w:p>
    <w:p w14:paraId="2C32DC8F" w14:textId="77777777" w:rsidR="00694393" w:rsidRDefault="00694393" w:rsidP="00694393">
      <w:pPr>
        <w:spacing w:line="480" w:lineRule="auto"/>
        <w:jc w:val="both"/>
      </w:pPr>
      <w:r>
        <w:t>Section 1. Subchapter 8 of chapter 1 of title 24 of the administrative code of the city of New York is amended by adding a new section 24-177.1 to read as follows:</w:t>
      </w:r>
    </w:p>
    <w:p w14:paraId="36442EFE" w14:textId="77777777" w:rsidR="00694393" w:rsidRPr="00793235" w:rsidRDefault="00694393" w:rsidP="00694393">
      <w:pPr>
        <w:spacing w:line="480" w:lineRule="auto"/>
        <w:jc w:val="both"/>
        <w:rPr>
          <w:u w:val="single"/>
        </w:rPr>
      </w:pPr>
      <w:r w:rsidRPr="006821DC">
        <w:rPr>
          <w:u w:val="single"/>
        </w:rPr>
        <w:t>§ 24-17</w:t>
      </w:r>
      <w:r>
        <w:rPr>
          <w:u w:val="single"/>
        </w:rPr>
        <w:t>7.1 Prohibited emissions</w:t>
      </w:r>
      <w:r w:rsidRPr="006821DC">
        <w:rPr>
          <w:u w:val="single"/>
        </w:rPr>
        <w:t xml:space="preserve"> a</w:t>
      </w:r>
      <w:r>
        <w:rPr>
          <w:u w:val="single"/>
        </w:rPr>
        <w:t>. Where required by article 506 of title 28, no</w:t>
      </w:r>
      <w:r w:rsidRPr="006821DC">
        <w:rPr>
          <w:u w:val="single"/>
        </w:rPr>
        <w:t xml:space="preserve"> person shall permit the </w:t>
      </w:r>
      <w:r>
        <w:rPr>
          <w:u w:val="single"/>
        </w:rPr>
        <w:t xml:space="preserve">combustion of any substance that emits 50 kilograms or more of carbon dioxide per </w:t>
      </w:r>
      <w:r w:rsidRPr="001B3C53">
        <w:rPr>
          <w:u w:val="single"/>
        </w:rPr>
        <w:t>million British thermal units of energy</w:t>
      </w:r>
      <w:r>
        <w:rPr>
          <w:u w:val="single"/>
        </w:rPr>
        <w:t xml:space="preserve"> within a building within the </w:t>
      </w:r>
      <w:r w:rsidRPr="00793235">
        <w:rPr>
          <w:u w:val="single"/>
        </w:rPr>
        <w:t>city as determined by the United States energy information administration.</w:t>
      </w:r>
    </w:p>
    <w:p w14:paraId="70CBA654" w14:textId="77777777" w:rsidR="00694393" w:rsidRDefault="00694393" w:rsidP="00694393">
      <w:pPr>
        <w:spacing w:line="480" w:lineRule="auto"/>
        <w:jc w:val="both"/>
        <w:rPr>
          <w:u w:val="single"/>
        </w:rPr>
      </w:pPr>
      <w:r>
        <w:rPr>
          <w:u w:val="single"/>
        </w:rPr>
        <w:t xml:space="preserve">b. Notwithstanding the prohibition in subdivision a, combustion of a substance that emits 50 kilograms of carbon dioxide per </w:t>
      </w:r>
      <w:r w:rsidRPr="001B3C53">
        <w:rPr>
          <w:u w:val="single"/>
        </w:rPr>
        <w:t>million British thermal units of energy</w:t>
      </w:r>
      <w:r>
        <w:rPr>
          <w:u w:val="single"/>
        </w:rPr>
        <w:t xml:space="preserve"> or more shall be permitted for use within a building:</w:t>
      </w:r>
    </w:p>
    <w:p w14:paraId="4FB8DF79" w14:textId="77777777" w:rsidR="00694393" w:rsidRDefault="00694393" w:rsidP="00694393">
      <w:pPr>
        <w:spacing w:line="480" w:lineRule="auto"/>
        <w:jc w:val="both"/>
        <w:rPr>
          <w:u w:val="single"/>
        </w:rPr>
      </w:pPr>
      <w:r>
        <w:rPr>
          <w:u w:val="single"/>
        </w:rPr>
        <w:t>1. Where required for emergency standby power;</w:t>
      </w:r>
    </w:p>
    <w:p w14:paraId="026201A6" w14:textId="77777777" w:rsidR="00694393" w:rsidRDefault="00694393" w:rsidP="00694393">
      <w:pPr>
        <w:spacing w:line="480" w:lineRule="auto"/>
        <w:jc w:val="both"/>
        <w:rPr>
          <w:u w:val="single"/>
        </w:rPr>
      </w:pPr>
      <w:r>
        <w:rPr>
          <w:u w:val="single"/>
        </w:rPr>
        <w:t xml:space="preserve">2. Where the owner of such building can demonstrate to the commissioner of buildings that complying with subdivision a would create an undue hardship; </w:t>
      </w:r>
    </w:p>
    <w:p w14:paraId="04E5E4DF" w14:textId="77777777" w:rsidR="00694393" w:rsidRDefault="00694393" w:rsidP="00694393">
      <w:pPr>
        <w:spacing w:line="480" w:lineRule="auto"/>
        <w:jc w:val="both"/>
        <w:rPr>
          <w:u w:val="single"/>
        </w:rPr>
      </w:pPr>
      <w:r>
        <w:rPr>
          <w:u w:val="single"/>
        </w:rPr>
        <w:t>3. Where the combustion of such substance is required for manufacturing, or for the operation of a laboratory, a laundromat, a hospital or a commercial kitchen; or</w:t>
      </w:r>
    </w:p>
    <w:p w14:paraId="0289EEE6" w14:textId="77777777" w:rsidR="00694393" w:rsidRDefault="00694393" w:rsidP="00694393">
      <w:pPr>
        <w:spacing w:line="480" w:lineRule="auto"/>
        <w:jc w:val="both"/>
        <w:rPr>
          <w:u w:val="single"/>
        </w:rPr>
      </w:pPr>
      <w:r>
        <w:rPr>
          <w:u w:val="single"/>
        </w:rPr>
        <w:t>4. Where the combustion of such substance occurs in connection with a device that contains no connection to a building’s gas supply line and is used on an intermittent basis.</w:t>
      </w:r>
    </w:p>
    <w:p w14:paraId="009E944A" w14:textId="77777777" w:rsidR="00694393" w:rsidRDefault="00694393" w:rsidP="00694393">
      <w:pPr>
        <w:spacing w:line="480" w:lineRule="auto"/>
        <w:jc w:val="both"/>
        <w:rPr>
          <w:u w:val="single"/>
        </w:rPr>
      </w:pPr>
      <w:r>
        <w:rPr>
          <w:u w:val="single"/>
        </w:rPr>
        <w:t>c. The department, in conjunction with the department of buildings, shall enforce this section of the code.</w:t>
      </w:r>
    </w:p>
    <w:p w14:paraId="5EAB7B95" w14:textId="77777777" w:rsidR="00694393" w:rsidRDefault="00694393" w:rsidP="00694393">
      <w:pPr>
        <w:rPr>
          <w:rFonts w:ascii="Calibri" w:hAnsi="Calibri" w:cs="Calibri"/>
          <w:color w:val="1F497D"/>
          <w:sz w:val="22"/>
          <w:szCs w:val="22"/>
        </w:rPr>
      </w:pPr>
    </w:p>
    <w:p w14:paraId="73B0DC80" w14:textId="77777777" w:rsidR="00694393" w:rsidRDefault="00694393" w:rsidP="00694393">
      <w:pPr>
        <w:spacing w:line="480" w:lineRule="auto"/>
        <w:jc w:val="both"/>
      </w:pPr>
      <w:r>
        <w:t xml:space="preserve">§ 2. Chapter 5 of title 28 of the administrative code of the city of New York is amended by adding a new article 506 to read as follows: </w:t>
      </w:r>
    </w:p>
    <w:p w14:paraId="70236C21" w14:textId="77777777" w:rsidR="00694393" w:rsidRPr="005449DA" w:rsidRDefault="00694393" w:rsidP="00694393">
      <w:pPr>
        <w:jc w:val="center"/>
        <w:rPr>
          <w:u w:val="single"/>
        </w:rPr>
      </w:pPr>
      <w:r w:rsidRPr="005449DA">
        <w:rPr>
          <w:u w:val="single"/>
        </w:rPr>
        <w:t>ARTICLE 506</w:t>
      </w:r>
    </w:p>
    <w:p w14:paraId="19F8195D" w14:textId="77777777" w:rsidR="00694393" w:rsidRPr="005449DA" w:rsidRDefault="00694393" w:rsidP="00694393">
      <w:pPr>
        <w:jc w:val="center"/>
        <w:rPr>
          <w:u w:val="single"/>
        </w:rPr>
      </w:pPr>
      <w:r>
        <w:rPr>
          <w:u w:val="single"/>
        </w:rPr>
        <w:t>EMISSION PROFILE</w:t>
      </w:r>
    </w:p>
    <w:p w14:paraId="5DF1C380" w14:textId="77777777" w:rsidR="00694393" w:rsidRDefault="00694393" w:rsidP="00694393">
      <w:pPr>
        <w:jc w:val="center"/>
      </w:pPr>
    </w:p>
    <w:p w14:paraId="1EE5E09D" w14:textId="77777777" w:rsidR="00694393" w:rsidRDefault="00694393" w:rsidP="00694393">
      <w:pPr>
        <w:jc w:val="both"/>
        <w:rPr>
          <w:u w:val="single"/>
        </w:rPr>
      </w:pPr>
      <w:r w:rsidRPr="009C06BB">
        <w:rPr>
          <w:b/>
          <w:bCs/>
          <w:color w:val="000000" w:themeColor="text1"/>
          <w:u w:val="single"/>
          <w:shd w:val="clear" w:color="auto" w:fill="FFFFFF"/>
        </w:rPr>
        <w:t xml:space="preserve">§ 28-506.1 General. </w:t>
      </w:r>
      <w:r w:rsidRPr="009C06BB">
        <w:rPr>
          <w:bCs/>
          <w:color w:val="000000" w:themeColor="text1"/>
          <w:u w:val="single"/>
          <w:shd w:val="clear" w:color="auto" w:fill="FFFFFF"/>
        </w:rPr>
        <w:t xml:space="preserve">Buildings covered by this code must comply with </w:t>
      </w:r>
      <w:r w:rsidRPr="009C06BB">
        <w:rPr>
          <w:u w:val="single"/>
        </w:rPr>
        <w:t>section 24-17</w:t>
      </w:r>
      <w:r>
        <w:rPr>
          <w:u w:val="single"/>
        </w:rPr>
        <w:t>7.1</w:t>
      </w:r>
      <w:r w:rsidRPr="009C06BB">
        <w:rPr>
          <w:u w:val="single"/>
        </w:rPr>
        <w:t>.</w:t>
      </w:r>
    </w:p>
    <w:p w14:paraId="76ED8CCB" w14:textId="67ECE3E5" w:rsidR="00694393" w:rsidRDefault="00694393" w:rsidP="001833C1">
      <w:pPr>
        <w:ind w:firstLine="0"/>
        <w:jc w:val="both"/>
      </w:pPr>
    </w:p>
    <w:p w14:paraId="34335D7F" w14:textId="77777777" w:rsidR="00694393" w:rsidRPr="008603A1" w:rsidRDefault="00694393" w:rsidP="00694393">
      <w:pPr>
        <w:spacing w:line="480" w:lineRule="auto"/>
        <w:jc w:val="both"/>
      </w:pPr>
      <w:r>
        <w:t xml:space="preserve">§ 3. </w:t>
      </w:r>
      <w:r w:rsidRPr="008603A1">
        <w:t xml:space="preserve"> This local law takes effect </w:t>
      </w:r>
      <w:r>
        <w:t>two</w:t>
      </w:r>
      <w:r w:rsidRPr="008603A1">
        <w:t xml:space="preserve"> year</w:t>
      </w:r>
      <w:r>
        <w:t>s</w:t>
      </w:r>
      <w:r w:rsidRPr="008603A1">
        <w:t xml:space="preserve"> after it becomes law</w:t>
      </w:r>
      <w:r>
        <w:t>, except that this local law</w:t>
      </w:r>
      <w:r w:rsidRPr="008603A1">
        <w:t xml:space="preserve"> shall not apply to </w:t>
      </w:r>
      <w:r>
        <w:t xml:space="preserve">construction work related </w:t>
      </w:r>
      <w:r w:rsidRPr="008603A1">
        <w:t>applications for construction document approval filed prior to such effective date.</w:t>
      </w:r>
    </w:p>
    <w:p w14:paraId="227C55C4" w14:textId="77777777" w:rsidR="00694393" w:rsidRDefault="00694393" w:rsidP="00694393">
      <w:pPr>
        <w:suppressLineNumbers/>
        <w:ind w:firstLine="0"/>
        <w:jc w:val="both"/>
        <w:rPr>
          <w:sz w:val="18"/>
          <w:szCs w:val="18"/>
        </w:rPr>
      </w:pPr>
    </w:p>
    <w:p w14:paraId="03C2B1A2" w14:textId="77777777" w:rsidR="00694393" w:rsidRDefault="00694393" w:rsidP="00694393">
      <w:pPr>
        <w:suppressLineNumbers/>
        <w:ind w:firstLine="0"/>
        <w:jc w:val="both"/>
        <w:rPr>
          <w:sz w:val="18"/>
          <w:szCs w:val="18"/>
        </w:rPr>
      </w:pPr>
    </w:p>
    <w:p w14:paraId="35398729" w14:textId="77777777" w:rsidR="00694393" w:rsidRDefault="00694393" w:rsidP="00694393">
      <w:pPr>
        <w:suppressLineNumbers/>
        <w:ind w:firstLine="0"/>
        <w:jc w:val="both"/>
        <w:rPr>
          <w:sz w:val="18"/>
          <w:szCs w:val="18"/>
        </w:rPr>
      </w:pPr>
    </w:p>
    <w:p w14:paraId="3E966319" w14:textId="77777777" w:rsidR="00694393" w:rsidRDefault="00694393" w:rsidP="00694393">
      <w:pPr>
        <w:suppressLineNumbers/>
        <w:ind w:firstLine="0"/>
        <w:jc w:val="both"/>
        <w:rPr>
          <w:sz w:val="18"/>
          <w:szCs w:val="18"/>
        </w:rPr>
      </w:pPr>
    </w:p>
    <w:p w14:paraId="0D9E6927" w14:textId="7B0309A8" w:rsidR="00694393" w:rsidRDefault="00694393" w:rsidP="00694393">
      <w:pPr>
        <w:suppressLineNumbers/>
        <w:ind w:firstLine="0"/>
        <w:jc w:val="both"/>
        <w:rPr>
          <w:sz w:val="18"/>
          <w:szCs w:val="18"/>
        </w:rPr>
      </w:pPr>
      <w:r>
        <w:rPr>
          <w:sz w:val="18"/>
          <w:szCs w:val="18"/>
        </w:rPr>
        <w:t>GZ</w:t>
      </w:r>
    </w:p>
    <w:p w14:paraId="1134A63B" w14:textId="77777777" w:rsidR="00694393" w:rsidRDefault="00694393" w:rsidP="00694393">
      <w:pPr>
        <w:suppressLineNumbers/>
        <w:ind w:firstLine="0"/>
        <w:jc w:val="both"/>
        <w:rPr>
          <w:sz w:val="18"/>
          <w:szCs w:val="18"/>
        </w:rPr>
      </w:pPr>
      <w:r>
        <w:rPr>
          <w:sz w:val="18"/>
          <w:szCs w:val="18"/>
        </w:rPr>
        <w:t>LS #11740</w:t>
      </w:r>
    </w:p>
    <w:p w14:paraId="2BD9ED97" w14:textId="77777777" w:rsidR="00694393" w:rsidRDefault="00694393" w:rsidP="00694393">
      <w:pPr>
        <w:suppressLineNumbers/>
        <w:ind w:firstLine="0"/>
        <w:rPr>
          <w:sz w:val="18"/>
          <w:szCs w:val="18"/>
        </w:rPr>
      </w:pPr>
      <w:r>
        <w:rPr>
          <w:sz w:val="18"/>
          <w:szCs w:val="18"/>
        </w:rPr>
        <w:t>5.24.21</w:t>
      </w:r>
    </w:p>
    <w:p w14:paraId="05EFB2D1" w14:textId="57ABC19C" w:rsidR="00694393" w:rsidRDefault="00694393" w:rsidP="001833C1">
      <w:pPr>
        <w:ind w:firstLine="0"/>
        <w:jc w:val="both"/>
      </w:pPr>
    </w:p>
    <w:p w14:paraId="732F54A9" w14:textId="79CFD32C" w:rsidR="00694393" w:rsidRDefault="00694393" w:rsidP="001833C1">
      <w:pPr>
        <w:ind w:firstLine="0"/>
        <w:jc w:val="both"/>
      </w:pPr>
    </w:p>
    <w:p w14:paraId="34E541E3" w14:textId="77777777" w:rsidR="00694393" w:rsidRDefault="00694393" w:rsidP="001833C1">
      <w:pPr>
        <w:ind w:firstLine="0"/>
        <w:jc w:val="both"/>
      </w:pPr>
    </w:p>
    <w:p w14:paraId="5B568E36" w14:textId="229AA3EE" w:rsidR="00694393" w:rsidRDefault="00694393" w:rsidP="001833C1">
      <w:pPr>
        <w:ind w:firstLine="0"/>
        <w:jc w:val="both"/>
      </w:pPr>
    </w:p>
    <w:p w14:paraId="218FB409" w14:textId="77777777" w:rsidR="00694393" w:rsidRDefault="00694393" w:rsidP="001833C1">
      <w:pPr>
        <w:ind w:firstLine="0"/>
        <w:jc w:val="both"/>
      </w:pPr>
    </w:p>
    <w:p w14:paraId="4AC7C291" w14:textId="77777777" w:rsidR="001833C1" w:rsidRDefault="001833C1" w:rsidP="001833C1">
      <w:pPr>
        <w:ind w:firstLine="0"/>
        <w:jc w:val="both"/>
      </w:pPr>
    </w:p>
    <w:p w14:paraId="7142DBC2" w14:textId="77777777" w:rsidR="001833C1" w:rsidRPr="00DA53E6" w:rsidRDefault="001833C1" w:rsidP="001833C1">
      <w:pPr>
        <w:ind w:firstLine="0"/>
      </w:pPr>
    </w:p>
    <w:p w14:paraId="0418FB1E" w14:textId="77777777" w:rsidR="001833C1" w:rsidRDefault="001833C1" w:rsidP="001833C1">
      <w:pPr>
        <w:ind w:firstLine="0"/>
        <w:rPr>
          <w:sz w:val="18"/>
          <w:szCs w:val="18"/>
        </w:rPr>
      </w:pPr>
    </w:p>
    <w:p w14:paraId="5DA5A1EE" w14:textId="12E820A6" w:rsidR="008B3B5C" w:rsidRPr="008B3B5C" w:rsidRDefault="008B3B5C" w:rsidP="008B3B5C">
      <w:pPr>
        <w:autoSpaceDE w:val="0"/>
        <w:autoSpaceDN w:val="0"/>
        <w:adjustRightInd w:val="0"/>
        <w:spacing w:before="120" w:after="120" w:line="480" w:lineRule="auto"/>
        <w:ind w:firstLine="0"/>
        <w:jc w:val="both"/>
        <w:rPr>
          <w:b/>
          <w:u w:val="single"/>
        </w:rPr>
      </w:pPr>
    </w:p>
    <w:sectPr w:rsidR="008B3B5C" w:rsidRPr="008B3B5C" w:rsidSect="00D73658">
      <w:headerReference w:type="even" r:id="rId20"/>
      <w:headerReference w:type="default" r:id="rId21"/>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B4771" w14:textId="77777777" w:rsidR="005E0CA3" w:rsidRDefault="005E0CA3" w:rsidP="00A9609A">
      <w:r>
        <w:separator/>
      </w:r>
    </w:p>
  </w:endnote>
  <w:endnote w:type="continuationSeparator" w:id="0">
    <w:p w14:paraId="250C33CC" w14:textId="77777777" w:rsidR="005E0CA3" w:rsidRDefault="005E0CA3" w:rsidP="00A9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Roman">
    <w:altName w:val="Times New Roman"/>
    <w:charset w:val="00"/>
    <w:family w:val="auto"/>
    <w:pitch w:val="variable"/>
    <w:sig w:usb0="E00002FF" w:usb1="5000205A" w:usb2="00000000" w:usb3="00000000" w:csb0="0000019F" w:csb1="00000000"/>
  </w:font>
  <w:font w:name="MyriadPro-Regular">
    <w:altName w:val="MS Gothic"/>
    <w:panose1 w:val="00000000000000000000"/>
    <w:charset w:val="8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F989A" w14:textId="77777777" w:rsidR="00565E66" w:rsidRDefault="00565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605578"/>
      <w:docPartObj>
        <w:docPartGallery w:val="Page Numbers (Bottom of Page)"/>
        <w:docPartUnique/>
      </w:docPartObj>
    </w:sdtPr>
    <w:sdtEndPr>
      <w:rPr>
        <w:noProof/>
      </w:rPr>
    </w:sdtEndPr>
    <w:sdtContent>
      <w:p w14:paraId="24D7655C" w14:textId="30DE0D48" w:rsidR="001833C1" w:rsidRDefault="001833C1">
        <w:pPr>
          <w:pStyle w:val="Footer"/>
          <w:jc w:val="center"/>
        </w:pPr>
        <w:r>
          <w:fldChar w:fldCharType="begin"/>
        </w:r>
        <w:r>
          <w:instrText xml:space="preserve"> PAGE   \* MERGEFORMAT </w:instrText>
        </w:r>
        <w:r>
          <w:fldChar w:fldCharType="separate"/>
        </w:r>
        <w:r w:rsidR="00376287">
          <w:rPr>
            <w:noProof/>
          </w:rPr>
          <w:t>1</w:t>
        </w:r>
        <w:r>
          <w:rPr>
            <w:noProof/>
          </w:rPr>
          <w:fldChar w:fldCharType="end"/>
        </w:r>
      </w:p>
    </w:sdtContent>
  </w:sdt>
  <w:p w14:paraId="76583816" w14:textId="77777777" w:rsidR="001833C1" w:rsidRDefault="001833C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496702"/>
      <w:docPartObj>
        <w:docPartGallery w:val="Page Numbers (Bottom of Page)"/>
        <w:docPartUnique/>
      </w:docPartObj>
    </w:sdtPr>
    <w:sdtEndPr>
      <w:rPr>
        <w:noProof/>
      </w:rPr>
    </w:sdtEndPr>
    <w:sdtContent>
      <w:p w14:paraId="2CF5A5BE" w14:textId="77777777" w:rsidR="001833C1" w:rsidRDefault="001833C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6E42C68" w14:textId="77777777" w:rsidR="001833C1" w:rsidRDefault="001833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CF59491" w14:textId="1865F5C3" w:rsidR="001833C1" w:rsidRDefault="001833C1">
        <w:pPr>
          <w:pStyle w:val="Footer"/>
          <w:jc w:val="center"/>
        </w:pPr>
        <w:r>
          <w:fldChar w:fldCharType="begin"/>
        </w:r>
        <w:r>
          <w:instrText xml:space="preserve"> PAGE   \* MERGEFORMAT </w:instrText>
        </w:r>
        <w:r>
          <w:fldChar w:fldCharType="separate"/>
        </w:r>
        <w:r w:rsidR="00376287">
          <w:rPr>
            <w:noProof/>
          </w:rPr>
          <w:t>16</w:t>
        </w:r>
        <w:r>
          <w:rPr>
            <w:noProof/>
          </w:rPr>
          <w:fldChar w:fldCharType="end"/>
        </w:r>
      </w:p>
    </w:sdtContent>
  </w:sdt>
  <w:p w14:paraId="64515883" w14:textId="77777777" w:rsidR="001833C1" w:rsidRDefault="001833C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6888084" w14:textId="6AF6B1D9" w:rsidR="001833C1" w:rsidRDefault="001833C1">
        <w:pPr>
          <w:pStyle w:val="Footer"/>
          <w:jc w:val="center"/>
        </w:pPr>
        <w:r>
          <w:fldChar w:fldCharType="begin"/>
        </w:r>
        <w:r>
          <w:instrText xml:space="preserve"> PAGE   \* MERGEFORMAT </w:instrText>
        </w:r>
        <w:r>
          <w:fldChar w:fldCharType="separate"/>
        </w:r>
        <w:r w:rsidR="00376287">
          <w:rPr>
            <w:noProof/>
          </w:rPr>
          <w:t>17</w:t>
        </w:r>
        <w:r>
          <w:rPr>
            <w:noProof/>
          </w:rPr>
          <w:fldChar w:fldCharType="end"/>
        </w:r>
      </w:p>
    </w:sdtContent>
  </w:sdt>
  <w:p w14:paraId="7DB7162D" w14:textId="77777777" w:rsidR="001833C1" w:rsidRDefault="001833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175952"/>
      <w:docPartObj>
        <w:docPartGallery w:val="Page Numbers (Bottom of Page)"/>
        <w:docPartUnique/>
      </w:docPartObj>
    </w:sdtPr>
    <w:sdtEndPr>
      <w:rPr>
        <w:noProof/>
      </w:rPr>
    </w:sdtEndPr>
    <w:sdtContent>
      <w:p w14:paraId="47FB42DC" w14:textId="4B3490B5" w:rsidR="00B74842" w:rsidRDefault="00B74842">
        <w:pPr>
          <w:pStyle w:val="Footer"/>
          <w:jc w:val="center"/>
        </w:pPr>
        <w:r>
          <w:fldChar w:fldCharType="begin"/>
        </w:r>
        <w:r>
          <w:instrText xml:space="preserve"> PAGE   \* MERGEFORMAT </w:instrText>
        </w:r>
        <w:r>
          <w:fldChar w:fldCharType="separate"/>
        </w:r>
        <w:r w:rsidR="00376287">
          <w:rPr>
            <w:noProof/>
          </w:rPr>
          <w:t>18</w:t>
        </w:r>
        <w:r>
          <w:rPr>
            <w:noProof/>
          </w:rPr>
          <w:fldChar w:fldCharType="end"/>
        </w:r>
      </w:p>
    </w:sdtContent>
  </w:sdt>
  <w:p w14:paraId="66903C72" w14:textId="77777777" w:rsidR="00B74842" w:rsidRDefault="00B74842">
    <w:pPr>
      <w:pStyle w:val="Footer"/>
    </w:pPr>
  </w:p>
  <w:p w14:paraId="2D9A22FE" w14:textId="77777777" w:rsidR="00B74842" w:rsidRDefault="00B74842"/>
  <w:p w14:paraId="531F3A9B" w14:textId="77777777" w:rsidR="00B74842" w:rsidRDefault="00B74842"/>
  <w:p w14:paraId="0A29A11A" w14:textId="77777777" w:rsidR="00B74842" w:rsidRDefault="00B74842"/>
  <w:p w14:paraId="0FB0D5C3" w14:textId="77777777" w:rsidR="00B74842" w:rsidRDefault="00B74842"/>
  <w:p w14:paraId="0E697514" w14:textId="77777777" w:rsidR="00B74842" w:rsidRDefault="00B74842"/>
  <w:p w14:paraId="24DE3298" w14:textId="77777777" w:rsidR="00B74842" w:rsidRDefault="00B74842"/>
  <w:p w14:paraId="3D8E4C7B" w14:textId="77777777" w:rsidR="006D0DED" w:rsidRDefault="006D0DED"/>
  <w:p w14:paraId="50BA432B" w14:textId="77777777" w:rsidR="000117B0" w:rsidRDefault="000117B0"/>
  <w:p w14:paraId="0A04EDC9" w14:textId="77777777" w:rsidR="000117B0" w:rsidRDefault="000117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8D65C" w14:textId="77777777" w:rsidR="005E0CA3" w:rsidRDefault="005E0CA3" w:rsidP="00A9609A">
      <w:r>
        <w:separator/>
      </w:r>
    </w:p>
  </w:footnote>
  <w:footnote w:type="continuationSeparator" w:id="0">
    <w:p w14:paraId="5D5CE0ED" w14:textId="77777777" w:rsidR="005E0CA3" w:rsidRDefault="005E0CA3" w:rsidP="00A9609A">
      <w:r>
        <w:continuationSeparator/>
      </w:r>
    </w:p>
  </w:footnote>
  <w:footnote w:id="1">
    <w:p w14:paraId="178826A6" w14:textId="77777777" w:rsidR="003B0F01" w:rsidRPr="00C23C8D" w:rsidRDefault="003B0F01" w:rsidP="003B0F01">
      <w:pPr>
        <w:pStyle w:val="FootnoteText"/>
        <w:ind w:firstLine="0"/>
      </w:pPr>
      <w:r w:rsidRPr="00C23C8D">
        <w:rPr>
          <w:rStyle w:val="FootnoteReference"/>
        </w:rPr>
        <w:footnoteRef/>
      </w:r>
      <w:r w:rsidRPr="00C23C8D">
        <w:t xml:space="preserve"> International Panel on Climate Change. Special Report on Global Warming of 1.5 C. </w:t>
      </w:r>
      <w:hyperlink r:id="rId1" w:history="1">
        <w:r w:rsidRPr="00C23C8D">
          <w:rPr>
            <w:rStyle w:val="Hyperlink"/>
          </w:rPr>
          <w:t>https://www.ipcc.ch/2018/10/08/summary-for-policymakers-of-ipcc-special-report-on-global-warming-of-1-5c-approved-by-governments/</w:t>
        </w:r>
      </w:hyperlink>
      <w:r w:rsidRPr="00C23C8D">
        <w:rPr>
          <w:rStyle w:val="Hyperlink"/>
        </w:rPr>
        <w:t xml:space="preserve">  (last accessed 3/29/21)</w:t>
      </w:r>
    </w:p>
  </w:footnote>
  <w:footnote w:id="2">
    <w:p w14:paraId="5D3F59FD" w14:textId="77777777" w:rsidR="003B0F01" w:rsidRPr="00C23C8D" w:rsidRDefault="003B0F01" w:rsidP="003B0F01">
      <w:pPr>
        <w:pStyle w:val="FootnoteText"/>
        <w:ind w:firstLine="0"/>
      </w:pPr>
      <w:r w:rsidRPr="00C23C8D">
        <w:rPr>
          <w:rStyle w:val="FootnoteReference"/>
        </w:rPr>
        <w:footnoteRef/>
      </w:r>
      <w:r w:rsidRPr="00C23C8D">
        <w:t xml:space="preserve"> Reidmiller et al. United States Global Change Research Program, 2018. Impacts, Risks, and Adaptation in the United States: Fourth National Climate Assessment, Volume II. </w:t>
      </w:r>
      <w:hyperlink r:id="rId2" w:history="1">
        <w:r w:rsidRPr="00C23C8D">
          <w:rPr>
            <w:rStyle w:val="Hyperlink"/>
          </w:rPr>
          <w:t>https://nca2018.globalchange.gov/</w:t>
        </w:r>
      </w:hyperlink>
      <w:r w:rsidRPr="00C23C8D">
        <w:t xml:space="preserve"> (last accessed 3/29/21)</w:t>
      </w:r>
    </w:p>
  </w:footnote>
  <w:footnote w:id="3">
    <w:p w14:paraId="626C14C7" w14:textId="77777777" w:rsidR="003B0F01" w:rsidRPr="00C23C8D" w:rsidRDefault="003B0F01" w:rsidP="003B0F01">
      <w:pPr>
        <w:pStyle w:val="FootnoteText"/>
        <w:ind w:firstLine="0"/>
      </w:pPr>
      <w:r w:rsidRPr="00C23C8D">
        <w:rPr>
          <w:rStyle w:val="FootnoteReference"/>
        </w:rPr>
        <w:footnoteRef/>
      </w:r>
      <w:r w:rsidRPr="00C23C8D">
        <w:t xml:space="preserve"> The Mauna Loa Observatory in Hawaii has compiled daily atmospheric CO</w:t>
      </w:r>
      <w:r w:rsidRPr="00C23C8D">
        <w:rPr>
          <w:vertAlign w:val="subscript"/>
        </w:rPr>
        <w:t xml:space="preserve">2 </w:t>
      </w:r>
      <w:r w:rsidRPr="00C23C8D">
        <w:t xml:space="preserve">data since March, 1958. </w:t>
      </w:r>
      <w:hyperlink r:id="rId3" w:history="1">
        <w:r w:rsidRPr="00C23C8D">
          <w:rPr>
            <w:rStyle w:val="Hyperlink"/>
          </w:rPr>
          <w:t>https://www.esrl.noaa.gov/gmd/ccgg/trends/</w:t>
        </w:r>
      </w:hyperlink>
      <w:r w:rsidRPr="00C23C8D">
        <w:t xml:space="preserve"> (last accessed 3/29/21)</w:t>
      </w:r>
    </w:p>
  </w:footnote>
  <w:footnote w:id="4">
    <w:p w14:paraId="6765F646" w14:textId="77777777" w:rsidR="003B0F01" w:rsidRPr="00C23C8D" w:rsidRDefault="003B0F01" w:rsidP="003B0F01">
      <w:pPr>
        <w:pStyle w:val="FootnoteText"/>
        <w:ind w:firstLine="0"/>
      </w:pPr>
      <w:r w:rsidRPr="00C23C8D">
        <w:rPr>
          <w:rStyle w:val="FootnoteReference"/>
        </w:rPr>
        <w:footnoteRef/>
      </w:r>
      <w:r w:rsidRPr="00C23C8D">
        <w:t xml:space="preserve"> Patrick Galey. 415.26 parts per million: CO2 levels hit historic high. Phys.Org. </w:t>
      </w:r>
      <w:hyperlink r:id="rId4" w:history="1">
        <w:r w:rsidRPr="00C23C8D">
          <w:rPr>
            <w:rStyle w:val="Hyperlink"/>
          </w:rPr>
          <w:t>https://phys.org/news/2019-05-million-co2-historic-high.html</w:t>
        </w:r>
      </w:hyperlink>
      <w:r w:rsidRPr="00C23C8D">
        <w:t xml:space="preserve"> (last accessed 3/29/21)</w:t>
      </w:r>
    </w:p>
  </w:footnote>
  <w:footnote w:id="5">
    <w:p w14:paraId="4DA5CF6B" w14:textId="77777777" w:rsidR="003B0F01" w:rsidRPr="00C23C8D" w:rsidRDefault="003B0F01" w:rsidP="003B0F01">
      <w:pPr>
        <w:pStyle w:val="FootnoteText"/>
        <w:ind w:firstLine="0"/>
      </w:pPr>
      <w:r w:rsidRPr="00C23C8D">
        <w:rPr>
          <w:rStyle w:val="FootnoteReference"/>
        </w:rPr>
        <w:footnoteRef/>
      </w:r>
      <w:r w:rsidRPr="00C23C8D">
        <w:t xml:space="preserve"> National Aeronautics and Space Administration. Global Climate Change. Graphic: The Relentless Rise of Carbon Dioxide. </w:t>
      </w:r>
      <w:hyperlink r:id="rId5" w:history="1">
        <w:r w:rsidRPr="00C23C8D">
          <w:rPr>
            <w:rStyle w:val="Hyperlink"/>
          </w:rPr>
          <w:t>https://climate.nasa.gov/climate_resources/24/graphic-the-relentless-rise-of-carbon-dioxide/</w:t>
        </w:r>
      </w:hyperlink>
      <w:r w:rsidRPr="00C23C8D">
        <w:t xml:space="preserve">  (last accessed, 3/29/21)</w:t>
      </w:r>
    </w:p>
  </w:footnote>
  <w:footnote w:id="6">
    <w:p w14:paraId="6D131C9A" w14:textId="77777777" w:rsidR="003B0F01" w:rsidRPr="00C23C8D" w:rsidRDefault="003B0F01" w:rsidP="003B0F01">
      <w:pPr>
        <w:pStyle w:val="FootnoteText"/>
        <w:ind w:firstLine="0"/>
      </w:pPr>
      <w:r w:rsidRPr="00C23C8D">
        <w:rPr>
          <w:rStyle w:val="FootnoteReference"/>
        </w:rPr>
        <w:footnoteRef/>
      </w:r>
      <w:r w:rsidRPr="00C23C8D">
        <w:t xml:space="preserve"> Owen Gaffney and Will Steffen. The Anthropocene equation. The Anthropocene Review. 2017, volume 4. </w:t>
      </w:r>
      <w:hyperlink r:id="rId6" w:history="1">
        <w:r w:rsidRPr="00C23C8D">
          <w:rPr>
            <w:rStyle w:val="Hyperlink"/>
          </w:rPr>
          <w:t>https://journals.sagepub.com/doi/pdf/10.1177/2053019616688022</w:t>
        </w:r>
      </w:hyperlink>
      <w:r w:rsidRPr="00C23C8D">
        <w:t xml:space="preserve"> (Last accessed 3/29/21)</w:t>
      </w:r>
    </w:p>
  </w:footnote>
  <w:footnote w:id="7">
    <w:p w14:paraId="113D2CE5" w14:textId="77777777" w:rsidR="003B0F01" w:rsidRPr="00C23C8D" w:rsidRDefault="003B0F01" w:rsidP="003B0F01">
      <w:pPr>
        <w:pStyle w:val="FootnoteText"/>
        <w:ind w:firstLine="0"/>
      </w:pPr>
      <w:r w:rsidRPr="00C23C8D">
        <w:rPr>
          <w:rStyle w:val="FootnoteReference"/>
        </w:rPr>
        <w:footnoteRef/>
      </w:r>
      <w:r w:rsidRPr="00C23C8D">
        <w:t xml:space="preserve"> Jay, A., D.R. Reidmiller, et al. 2018: Overview. In Impacts, Risks, and Adaptation in the United States: Fourth National Climate Assessment, Volume IIII U.S. Global Change Research Program, Washington, DC, USA, pp. 33–71</w:t>
      </w:r>
    </w:p>
  </w:footnote>
  <w:footnote w:id="8">
    <w:p w14:paraId="72F004DC" w14:textId="77777777" w:rsidR="003B0F01" w:rsidRPr="00C23C8D" w:rsidRDefault="003B0F01" w:rsidP="003B0F01">
      <w:pPr>
        <w:pStyle w:val="FootnoteText"/>
        <w:ind w:firstLine="0"/>
      </w:pPr>
      <w:r w:rsidRPr="00C23C8D">
        <w:rPr>
          <w:rStyle w:val="FootnoteReference"/>
        </w:rPr>
        <w:footnoteRef/>
      </w:r>
      <w:r w:rsidRPr="00C23C8D">
        <w:t xml:space="preserve"> Id.</w:t>
      </w:r>
    </w:p>
  </w:footnote>
  <w:footnote w:id="9">
    <w:p w14:paraId="7CF76A8C" w14:textId="77777777" w:rsidR="003B0F01" w:rsidRPr="00C23C8D" w:rsidRDefault="003B0F01" w:rsidP="003B0F01">
      <w:pPr>
        <w:pStyle w:val="FootnoteText"/>
        <w:ind w:firstLine="0"/>
      </w:pPr>
      <w:r w:rsidRPr="00C23C8D">
        <w:rPr>
          <w:rStyle w:val="FootnoteReference"/>
        </w:rPr>
        <w:footnoteRef/>
      </w:r>
      <w:r w:rsidRPr="00C23C8D">
        <w:t xml:space="preserve"> Id.</w:t>
      </w:r>
    </w:p>
  </w:footnote>
  <w:footnote w:id="10">
    <w:p w14:paraId="3ABF7C2A" w14:textId="545F75E2" w:rsidR="003B0F01" w:rsidRPr="00C23C8D" w:rsidRDefault="003B0F01" w:rsidP="003B0F01">
      <w:pPr>
        <w:pStyle w:val="FootnoteText"/>
        <w:ind w:firstLine="0"/>
      </w:pPr>
      <w:r w:rsidRPr="00C23C8D">
        <w:rPr>
          <w:rStyle w:val="FootnoteReference"/>
        </w:rPr>
        <w:footnoteRef/>
      </w:r>
      <w:r w:rsidRPr="00C23C8D">
        <w:t xml:space="preserve"> International Panel on Climate Change. Special Report on Global Warming of 1.5 C. </w:t>
      </w:r>
      <w:hyperlink r:id="rId7" w:history="1">
        <w:r w:rsidRPr="00C23C8D">
          <w:rPr>
            <w:rStyle w:val="Hyperlink"/>
          </w:rPr>
          <w:t>https://www.ipcc.ch/2018/10/08/summary-for-policymakers-of-ipcc-special-report-on-global-warming-of-1-5c-approved-by-governments/</w:t>
        </w:r>
      </w:hyperlink>
      <w:r w:rsidRPr="00C23C8D">
        <w:rPr>
          <w:rStyle w:val="Hyperlink"/>
        </w:rPr>
        <w:t xml:space="preserve">  (last accessed </w:t>
      </w:r>
      <w:r w:rsidR="004C21EB">
        <w:rPr>
          <w:rStyle w:val="Hyperlink"/>
        </w:rPr>
        <w:t>11/15</w:t>
      </w:r>
      <w:r w:rsidRPr="00C23C8D">
        <w:rPr>
          <w:rStyle w:val="Hyperlink"/>
        </w:rPr>
        <w:t>/21)</w:t>
      </w:r>
    </w:p>
  </w:footnote>
  <w:footnote w:id="11">
    <w:p w14:paraId="637C77EA" w14:textId="3D9498F7" w:rsidR="004C21EB" w:rsidRDefault="004C21EB" w:rsidP="004C21EB">
      <w:pPr>
        <w:pStyle w:val="FootnoteText"/>
        <w:ind w:firstLine="0"/>
      </w:pPr>
      <w:r>
        <w:rPr>
          <w:rStyle w:val="FootnoteReference"/>
        </w:rPr>
        <w:footnoteRef/>
      </w:r>
      <w:r>
        <w:t xml:space="preserve"> Calculated using rate of 56 million tons of carbon dioxide equivalent figure obtained from NYC 2019 GHG inventory, and 33 billion metric tons global carbon emissions in 2019 figure from Global Carbon Project</w:t>
      </w:r>
    </w:p>
  </w:footnote>
  <w:footnote w:id="12">
    <w:p w14:paraId="5F0B221C" w14:textId="77777777" w:rsidR="003B0F01" w:rsidRPr="00C23C8D" w:rsidRDefault="003B0F01" w:rsidP="003B0F01">
      <w:pPr>
        <w:pStyle w:val="FootnoteText"/>
        <w:ind w:firstLine="0"/>
      </w:pPr>
      <w:r w:rsidRPr="00C23C8D">
        <w:rPr>
          <w:rStyle w:val="FootnoteReference"/>
        </w:rPr>
        <w:footnoteRef/>
      </w:r>
      <w:r w:rsidRPr="00C23C8D">
        <w:t xml:space="preserve"> Local Law 66 of 2014 calls for a 30% reduction in citywide emissions by 2030, and an 80% reduction in citywide emissions by 2050, relative to such emissions for the base year for citywide emissions.</w:t>
      </w:r>
    </w:p>
  </w:footnote>
  <w:footnote w:id="13">
    <w:p w14:paraId="4928779E" w14:textId="77777777" w:rsidR="003B0F01" w:rsidRPr="00C23C8D" w:rsidRDefault="003B0F01" w:rsidP="003B0F01">
      <w:pPr>
        <w:pStyle w:val="FootnoteText"/>
        <w:ind w:firstLine="0"/>
      </w:pPr>
      <w:r w:rsidRPr="00C23C8D">
        <w:rPr>
          <w:rStyle w:val="FootnoteReference"/>
        </w:rPr>
        <w:footnoteRef/>
      </w:r>
      <w:r w:rsidRPr="00C23C8D">
        <w:t xml:space="preserve"> </w:t>
      </w:r>
      <w:r w:rsidRPr="00C23C8D">
        <w:rPr>
          <w:color w:val="000000"/>
        </w:rPr>
        <w:t xml:space="preserve">Urban Green Council. Blueprint for Efficiency: 80x50 Buildings Partnership. August 2018. </w:t>
      </w:r>
      <w:hyperlink r:id="rId8" w:history="1">
        <w:r w:rsidRPr="00C23C8D">
          <w:rPr>
            <w:color w:val="0000FF"/>
            <w:u w:val="single" w:color="0000FF"/>
          </w:rPr>
          <w:t>https://www.urbangreencouncil.org/sites/default/files/blueprint_for_efficiency_80x50_bp.pdf</w:t>
        </w:r>
      </w:hyperlink>
      <w:r w:rsidRPr="00C23C8D">
        <w:rPr>
          <w:color w:val="000000"/>
        </w:rPr>
        <w:t>.</w:t>
      </w:r>
    </w:p>
  </w:footnote>
  <w:footnote w:id="14">
    <w:p w14:paraId="3081D45F" w14:textId="0AE8334C" w:rsidR="003B0F01" w:rsidRPr="00F03675" w:rsidRDefault="003B0F01" w:rsidP="003B0F01">
      <w:pPr>
        <w:pStyle w:val="FootnoteText"/>
        <w:ind w:firstLine="0"/>
      </w:pPr>
      <w:r w:rsidRPr="00C23C8D">
        <w:rPr>
          <w:rStyle w:val="FootnoteReference"/>
        </w:rPr>
        <w:footnoteRef/>
      </w:r>
      <w:r w:rsidRPr="00C23C8D">
        <w:t xml:space="preserve"> New York City Mayor’s Office of Sustainability. Citywide Energy Benchmarking. </w:t>
      </w:r>
      <w:hyperlink r:id="rId9" w:history="1">
        <w:r w:rsidRPr="00F03675">
          <w:rPr>
            <w:rStyle w:val="Hyperlink"/>
          </w:rPr>
          <w:t>https://www1.nyc.gov/site/sustainability/codes/energy-benchmarking.page</w:t>
        </w:r>
      </w:hyperlink>
      <w:r w:rsidRPr="00F03675">
        <w:t xml:space="preserve"> (last accessed </w:t>
      </w:r>
      <w:r w:rsidR="004C21EB">
        <w:t>11/15</w:t>
      </w:r>
      <w:r w:rsidRPr="00F03675">
        <w:t>/21)</w:t>
      </w:r>
    </w:p>
  </w:footnote>
  <w:footnote w:id="15">
    <w:p w14:paraId="7450C8E6" w14:textId="499A6FBA" w:rsidR="004C21EB" w:rsidRDefault="004C21EB" w:rsidP="004C21EB">
      <w:pPr>
        <w:pStyle w:val="FootnoteText"/>
        <w:ind w:firstLine="0"/>
      </w:pPr>
      <w:r>
        <w:rPr>
          <w:rStyle w:val="FootnoteReference"/>
        </w:rPr>
        <w:footnoteRef/>
      </w:r>
      <w:r>
        <w:t xml:space="preserve">Renee Cho. Heating Buildings Leaves a Huge Carbon Footprint, but There’s a Fix for it. Columbia Climate School.  January 15, 2019. </w:t>
      </w:r>
      <w:hyperlink r:id="rId10" w:history="1">
        <w:r w:rsidRPr="008D1561">
          <w:rPr>
            <w:rStyle w:val="Hyperlink"/>
          </w:rPr>
          <w:t>https://news.climate.columbia.edu/2019/01/15/heat-pumps-home-heating/</w:t>
        </w:r>
      </w:hyperlink>
      <w:r>
        <w:t xml:space="preserve">  (last accessed 11/15/21)</w:t>
      </w:r>
    </w:p>
  </w:footnote>
  <w:footnote w:id="16">
    <w:p w14:paraId="0ED4B497" w14:textId="21621AB0" w:rsidR="004C21EB" w:rsidRDefault="004C21EB" w:rsidP="004C21EB">
      <w:pPr>
        <w:pStyle w:val="FootnoteText"/>
        <w:ind w:firstLine="0"/>
      </w:pPr>
      <w:r>
        <w:rPr>
          <w:rStyle w:val="FootnoteReference"/>
        </w:rPr>
        <w:footnoteRef/>
      </w:r>
      <w:r>
        <w:t xml:space="preserve"> </w:t>
      </w:r>
      <w:r w:rsidRPr="00C23C8D">
        <w:t xml:space="preserve">New York City Mayor’s Office of Sustainability. Citywide Energy Benchmarking. </w:t>
      </w:r>
      <w:hyperlink r:id="rId11" w:history="1">
        <w:r w:rsidRPr="00F03675">
          <w:rPr>
            <w:rStyle w:val="Hyperlink"/>
          </w:rPr>
          <w:t>https://www1.nyc.gov/site/sustainability/codes/energy-benchmarking.page</w:t>
        </w:r>
      </w:hyperlink>
      <w:r w:rsidRPr="00F03675">
        <w:t xml:space="preserve"> (last accessed </w:t>
      </w:r>
      <w:r>
        <w:t>11/15</w:t>
      </w:r>
      <w:r w:rsidRPr="00F03675">
        <w:t>/21)</w:t>
      </w:r>
    </w:p>
  </w:footnote>
  <w:footnote w:id="17">
    <w:p w14:paraId="1F2C0380" w14:textId="304C6875" w:rsidR="004C21EB" w:rsidRPr="008B7C10" w:rsidRDefault="004C21EB" w:rsidP="004C21EB">
      <w:pPr>
        <w:pStyle w:val="FootnoteText"/>
        <w:ind w:firstLine="0"/>
      </w:pPr>
      <w:r w:rsidRPr="008B7C10">
        <w:rPr>
          <w:rStyle w:val="FootnoteReference"/>
        </w:rPr>
        <w:footnoteRef/>
      </w:r>
      <w:r w:rsidRPr="008B7C10">
        <w:t xml:space="preserve"> Greenhouse Gas Protocol “Global Warming Potential Values” </w:t>
      </w:r>
      <w:hyperlink r:id="rId12" w:history="1">
        <w:r w:rsidRPr="008B7C10">
          <w:rPr>
            <w:rStyle w:val="Hyperlink"/>
          </w:rPr>
          <w:t>https://www.ghgprotocol.org/sites/default/files/ghgp/Global-Warming-Potential-</w:t>
        </w:r>
      </w:hyperlink>
      <w:r w:rsidRPr="008B7C10">
        <w:t xml:space="preserve">Values%20%28Feb%2016%202016%29_1.pdf  (last accessed </w:t>
      </w:r>
      <w:r>
        <w:t>11/15/21</w:t>
      </w:r>
      <w:r w:rsidRPr="008B7C10">
        <w:t>)</w:t>
      </w:r>
    </w:p>
  </w:footnote>
  <w:footnote w:id="18">
    <w:p w14:paraId="1E4D7E22" w14:textId="77777777" w:rsidR="004C21EB" w:rsidRPr="006E60B0" w:rsidRDefault="004C21EB" w:rsidP="004C21EB">
      <w:pPr>
        <w:pStyle w:val="FootnoteText"/>
        <w:ind w:firstLine="0"/>
      </w:pPr>
      <w:r>
        <w:rPr>
          <w:rStyle w:val="FootnoteReference"/>
        </w:rPr>
        <w:footnoteRef/>
      </w:r>
      <w:r>
        <w:t xml:space="preserve"> </w:t>
      </w:r>
      <w:r w:rsidRPr="006E60B0">
        <w:t xml:space="preserve">  </w:t>
      </w:r>
      <w:r>
        <w:t xml:space="preserve">Id. </w:t>
      </w:r>
    </w:p>
  </w:footnote>
  <w:footnote w:id="19">
    <w:p w14:paraId="37BF5992" w14:textId="77777777" w:rsidR="004C21EB" w:rsidRDefault="004C21EB" w:rsidP="004C21EB">
      <w:pPr>
        <w:pStyle w:val="FootnoteText"/>
        <w:ind w:firstLine="0"/>
      </w:pPr>
      <w:r>
        <w:rPr>
          <w:rStyle w:val="FootnoteReference"/>
        </w:rPr>
        <w:footnoteRef/>
      </w:r>
      <w:r>
        <w:t xml:space="preserve"> DeVynne Farquharson, et al. </w:t>
      </w:r>
      <w:r w:rsidRPr="00225462">
        <w:t>Beyond Global Warming Potential: A Comparative Application of Climate Impact Metrics for the Life Cycle Assessment of Coal and Natural Gas Based Electricity</w:t>
      </w:r>
      <w:r>
        <w:t>. Journal of Industrial Ecology. August, 2016.</w:t>
      </w:r>
    </w:p>
  </w:footnote>
  <w:footnote w:id="20">
    <w:p w14:paraId="1F9D62AB" w14:textId="0E801164" w:rsidR="004C21EB" w:rsidRDefault="004C21EB" w:rsidP="004C21EB">
      <w:pPr>
        <w:pStyle w:val="FootnoteText"/>
        <w:ind w:firstLine="0"/>
      </w:pPr>
      <w:r>
        <w:rPr>
          <w:rStyle w:val="FootnoteReference"/>
        </w:rPr>
        <w:footnoteRef/>
      </w:r>
      <w:r>
        <w:t xml:space="preserve"> Don Hofstrand. Natural Gas and Coal Measurements and Conversions. Iowa State University  </w:t>
      </w:r>
      <w:hyperlink r:id="rId13" w:history="1">
        <w:r w:rsidRPr="007C2545">
          <w:rPr>
            <w:rStyle w:val="Hyperlink"/>
          </w:rPr>
          <w:t>https://www.extension.iastate.edu/agdm/wholefarm/html/c6-89.html</w:t>
        </w:r>
      </w:hyperlink>
      <w:r>
        <w:t>(last accessed 11/15/21)</w:t>
      </w:r>
    </w:p>
  </w:footnote>
  <w:footnote w:id="21">
    <w:p w14:paraId="73DEEE91" w14:textId="514B82F7" w:rsidR="004C21EB" w:rsidRDefault="004C21EB" w:rsidP="004C21EB">
      <w:pPr>
        <w:pStyle w:val="FootnoteText"/>
        <w:ind w:firstLine="0"/>
      </w:pPr>
      <w:r>
        <w:rPr>
          <w:rStyle w:val="FootnoteReference"/>
        </w:rPr>
        <w:footnoteRef/>
      </w:r>
      <w:r>
        <w:t xml:space="preserve"> Bryce F. Payne Jr, Robert Ackley. A Proposed Rapid Method For Measuring Area Methane Emissions: An Exploratory Application in Manhattan, New York, USA. European Scientific Journal. November 2015. </w:t>
      </w:r>
      <w:r w:rsidRPr="008D5CAF">
        <w:t xml:space="preserve">https://pdfs.semanticscholar.org/b20d/2a0f1f222f3cfd911440aa6e3a786ba424e6.pdf (last accessed </w:t>
      </w:r>
      <w:r>
        <w:t>11/15/21</w:t>
      </w:r>
      <w:r w:rsidRPr="008D5CAF">
        <w:t>)</w:t>
      </w:r>
    </w:p>
  </w:footnote>
  <w:footnote w:id="22">
    <w:p w14:paraId="4A733693" w14:textId="558CEB63" w:rsidR="004C21EB" w:rsidRDefault="004C21EB" w:rsidP="004C21EB">
      <w:pPr>
        <w:pStyle w:val="FootnoteText"/>
        <w:ind w:firstLine="0"/>
      </w:pPr>
      <w:r>
        <w:rPr>
          <w:rStyle w:val="FootnoteReference"/>
        </w:rPr>
        <w:footnoteRef/>
      </w:r>
      <w:r>
        <w:t xml:space="preserve"> Justin Mikulka. Defying Climate Goals, New York Approves Rate Hike to Pay for New Natural Gas Infrastructure. DeSmog Blog. January 25, 2020.  </w:t>
      </w:r>
      <w:hyperlink r:id="rId14" w:history="1">
        <w:r w:rsidRPr="00394567">
          <w:rPr>
            <w:rStyle w:val="Hyperlink"/>
          </w:rPr>
          <w:t>https://www.desmogblog.com/2020/01/25/climate-goals-new-york-approves-rate-hike-natural-gas</w:t>
        </w:r>
      </w:hyperlink>
      <w:r>
        <w:t xml:space="preserve"> (last accessed 11/15/21)</w:t>
      </w:r>
    </w:p>
  </w:footnote>
  <w:footnote w:id="23">
    <w:p w14:paraId="41016FA8" w14:textId="77777777" w:rsidR="004C21EB" w:rsidRDefault="004C21EB" w:rsidP="004C21EB">
      <w:pPr>
        <w:pStyle w:val="FootnoteText"/>
        <w:ind w:firstLine="0"/>
      </w:pPr>
      <w:r>
        <w:rPr>
          <w:rStyle w:val="FootnoteReference"/>
        </w:rPr>
        <w:footnoteRef/>
      </w:r>
      <w:r>
        <w:t xml:space="preserve"> Id. </w:t>
      </w:r>
    </w:p>
  </w:footnote>
  <w:footnote w:id="24">
    <w:p w14:paraId="06FE314D" w14:textId="1564BB33" w:rsidR="004C21EB" w:rsidRDefault="004C21EB" w:rsidP="004C21EB">
      <w:pPr>
        <w:pStyle w:val="FootnoteText"/>
        <w:ind w:firstLine="0"/>
      </w:pPr>
      <w:r>
        <w:rPr>
          <w:rStyle w:val="FootnoteReference"/>
        </w:rPr>
        <w:footnoteRef/>
      </w:r>
      <w:r>
        <w:t xml:space="preserve"> New York City Mayor’s Office of Sustainability. Geothermal Systems and their Application in New York City. </w:t>
      </w:r>
      <w:hyperlink r:id="rId15" w:history="1">
        <w:r w:rsidRPr="002C1CBF">
          <w:rPr>
            <w:rStyle w:val="Hyperlink"/>
          </w:rPr>
          <w:t>http://www.nyc.gov/html/planyc/downloads/pdf/publications/2015_Geothermal.pdf</w:t>
        </w:r>
      </w:hyperlink>
      <w:r>
        <w:t xml:space="preserve"> (last accessed 11/15/21)</w:t>
      </w:r>
    </w:p>
  </w:footnote>
  <w:footnote w:id="25">
    <w:p w14:paraId="60B5FDB5" w14:textId="768EAAFA" w:rsidR="004C21EB" w:rsidRDefault="004C21EB" w:rsidP="004C21EB">
      <w:pPr>
        <w:pStyle w:val="FootnoteText"/>
        <w:ind w:firstLine="0"/>
      </w:pPr>
      <w:r>
        <w:rPr>
          <w:rStyle w:val="FootnoteReference"/>
        </w:rPr>
        <w:footnoteRef/>
      </w:r>
      <w:r>
        <w:t xml:space="preserve"> United States Department of Energy. Choosing and Installing Geothermal Heat Pumps. </w:t>
      </w:r>
      <w:hyperlink r:id="rId16" w:history="1">
        <w:r w:rsidRPr="002C1CBF">
          <w:rPr>
            <w:rStyle w:val="Hyperlink"/>
          </w:rPr>
          <w:t>https://www.energy.gov/energysaver/choosing-and-installing-geothermal-heat-pumps</w:t>
        </w:r>
      </w:hyperlink>
      <w:r>
        <w:t xml:space="preserve"> (last accessed 11/15/21)</w:t>
      </w:r>
    </w:p>
  </w:footnote>
  <w:footnote w:id="26">
    <w:p w14:paraId="212C60F6" w14:textId="241FB293" w:rsidR="004C21EB" w:rsidRDefault="004C21EB" w:rsidP="004C21EB">
      <w:pPr>
        <w:pStyle w:val="FootnoteText"/>
        <w:ind w:firstLine="0"/>
      </w:pPr>
      <w:r>
        <w:rPr>
          <w:rStyle w:val="FootnoteReference"/>
        </w:rPr>
        <w:footnoteRef/>
      </w:r>
      <w:r>
        <w:t xml:space="preserve">Billimoria et al. The Economics of Electrifying Buildings. Rocky Mountain Institue. 2018.  </w:t>
      </w:r>
      <w:hyperlink r:id="rId17" w:history="1">
        <w:r w:rsidRPr="008D1561">
          <w:rPr>
            <w:rStyle w:val="Hyperlink"/>
          </w:rPr>
          <w:t>https://rmi.org/insight/the-economics-of-electrifying-buildings/</w:t>
        </w:r>
      </w:hyperlink>
      <w:r>
        <w:t xml:space="preserve"> (last accessed 11/15/21)</w:t>
      </w:r>
    </w:p>
  </w:footnote>
  <w:footnote w:id="27">
    <w:p w14:paraId="2E94B774" w14:textId="0CE0B8D6" w:rsidR="004C21EB" w:rsidRDefault="004C21EB" w:rsidP="004C21EB">
      <w:pPr>
        <w:pStyle w:val="FootnoteText"/>
        <w:ind w:firstLine="0"/>
      </w:pPr>
      <w:r>
        <w:rPr>
          <w:rStyle w:val="FootnoteReference"/>
        </w:rPr>
        <w:footnoteRef/>
      </w:r>
      <w:r>
        <w:t xml:space="preserve">Id. </w:t>
      </w:r>
    </w:p>
  </w:footnote>
  <w:footnote w:id="28">
    <w:p w14:paraId="7FBD1088" w14:textId="307746F4" w:rsidR="003B0F01" w:rsidRPr="00F03675" w:rsidRDefault="003B0F01" w:rsidP="003B0F01">
      <w:pPr>
        <w:pStyle w:val="FootnoteText"/>
        <w:ind w:firstLine="0"/>
      </w:pPr>
      <w:r w:rsidRPr="00F03675">
        <w:rPr>
          <w:rStyle w:val="FootnoteReference"/>
        </w:rPr>
        <w:footnoteRef/>
      </w:r>
      <w:r w:rsidRPr="00F03675">
        <w:t xml:space="preserve"> New York City’s Roadmap to 80x50. </w:t>
      </w:r>
      <w:hyperlink r:id="rId18" w:history="1">
        <w:r w:rsidRPr="00F03675">
          <w:rPr>
            <w:rStyle w:val="Hyperlink"/>
          </w:rPr>
          <w:t>https://www1.nyc.gov/assets/sustainability/downloads/pdf/publications/New%20York%20City%27s%20Roadmap%20to%2080%20x%2050.pdf</w:t>
        </w:r>
      </w:hyperlink>
      <w:r w:rsidRPr="00F03675">
        <w:t xml:space="preserve"> (last accessed </w:t>
      </w:r>
      <w:r w:rsidR="004C21EB">
        <w:t>11</w:t>
      </w:r>
      <w:r w:rsidRPr="00F03675">
        <w:t>/</w:t>
      </w:r>
      <w:r w:rsidR="004C21EB">
        <w:t>15</w:t>
      </w:r>
      <w:r w:rsidRPr="00F03675">
        <w:t>/21)</w:t>
      </w:r>
    </w:p>
  </w:footnote>
  <w:footnote w:id="29">
    <w:p w14:paraId="48235882" w14:textId="1E19F9EE" w:rsidR="004C21EB" w:rsidRDefault="004C21EB" w:rsidP="004C21EB">
      <w:pPr>
        <w:pStyle w:val="FootnoteText"/>
        <w:ind w:firstLine="0"/>
      </w:pPr>
      <w:r>
        <w:rPr>
          <w:rStyle w:val="FootnoteReference"/>
        </w:rPr>
        <w:footnoteRef/>
      </w:r>
      <w:r>
        <w:t xml:space="preserve"> Cullen Howe. New York Gives Big Boost to Renewable Energy. October, 2020. NRDC. </w:t>
      </w:r>
      <w:hyperlink r:id="rId19" w:history="1">
        <w:r w:rsidRPr="008D1561">
          <w:rPr>
            <w:rStyle w:val="Hyperlink"/>
          </w:rPr>
          <w:t>https://www.nrdc.org/experts/cullen-howe/new-york-lays-down-gauntlet-renewable-energy</w:t>
        </w:r>
      </w:hyperlink>
      <w:r>
        <w:t xml:space="preserve"> (last accessed 11/15/21)</w:t>
      </w:r>
    </w:p>
  </w:footnote>
  <w:footnote w:id="30">
    <w:p w14:paraId="2631DD53" w14:textId="144A86DA" w:rsidR="004C21EB" w:rsidRDefault="004C21EB" w:rsidP="004C21EB">
      <w:pPr>
        <w:pStyle w:val="FootnoteText"/>
        <w:ind w:firstLine="0"/>
      </w:pPr>
      <w:r>
        <w:rPr>
          <w:rStyle w:val="FootnoteReference"/>
        </w:rPr>
        <w:footnoteRef/>
      </w:r>
      <w:r>
        <w:t xml:space="preserve"> New York State Profile and Energy Estimates. US Energy Information Administration. </w:t>
      </w:r>
      <w:hyperlink r:id="rId20" w:history="1">
        <w:r w:rsidRPr="008D1561">
          <w:rPr>
            <w:rStyle w:val="Hyperlink"/>
          </w:rPr>
          <w:t>https://www.eia.gov/state/?sid=NY</w:t>
        </w:r>
      </w:hyperlink>
      <w:r>
        <w:t xml:space="preserve"> (last accessed 11/15/21)</w:t>
      </w:r>
    </w:p>
  </w:footnote>
  <w:footnote w:id="31">
    <w:p w14:paraId="189699FE" w14:textId="4F7B582A" w:rsidR="004C21EB" w:rsidRDefault="004C21EB" w:rsidP="004C21EB">
      <w:pPr>
        <w:pStyle w:val="FootnoteText"/>
        <w:ind w:firstLine="0"/>
      </w:pPr>
      <w:r>
        <w:rPr>
          <w:rStyle w:val="FootnoteReference"/>
        </w:rPr>
        <w:footnoteRef/>
      </w:r>
      <w:r>
        <w:t xml:space="preserve"> New York’s Climate Leadership and Community Protection Act. </w:t>
      </w:r>
      <w:hyperlink r:id="rId21" w:history="1">
        <w:r w:rsidR="001B6559" w:rsidRPr="008D1561">
          <w:rPr>
            <w:rStyle w:val="Hyperlink"/>
          </w:rPr>
          <w:t>https://nyassembly.gov/leg/?default_fld=&amp;leg_video=&amp;bn=A08429&amp;term=2019&amp;Summary=Y&amp;Actions=Y&amp;Text=Y</w:t>
        </w:r>
      </w:hyperlink>
      <w:r w:rsidR="001B6559">
        <w:t xml:space="preserve"> </w:t>
      </w:r>
      <w:r>
        <w:t>(last accessed 11/16/20)</w:t>
      </w:r>
    </w:p>
  </w:footnote>
  <w:footnote w:id="32">
    <w:p w14:paraId="649E7645" w14:textId="77777777" w:rsidR="004C21EB" w:rsidRDefault="004C21EB" w:rsidP="004C21EB">
      <w:pPr>
        <w:pStyle w:val="FootnoteText"/>
        <w:ind w:firstLine="0"/>
      </w:pPr>
      <w:r>
        <w:rPr>
          <w:rStyle w:val="FootnoteReference"/>
        </w:rPr>
        <w:footnoteRef/>
      </w:r>
      <w:r>
        <w:t xml:space="preserve"> New York State Climate Act. </w:t>
      </w:r>
      <w:hyperlink r:id="rId22" w:history="1">
        <w:r w:rsidRPr="008A0725">
          <w:rPr>
            <w:rStyle w:val="Hyperlink"/>
          </w:rPr>
          <w:t>https://climate.ny.gov/</w:t>
        </w:r>
      </w:hyperlink>
      <w:r>
        <w:t xml:space="preserve"> (last accessed 11/16/20)</w:t>
      </w:r>
    </w:p>
  </w:footnote>
  <w:footnote w:id="33">
    <w:p w14:paraId="2E2C1C78" w14:textId="54977906" w:rsidR="004C21EB" w:rsidRDefault="004C21EB" w:rsidP="004C21EB">
      <w:pPr>
        <w:pStyle w:val="FootnoteText"/>
        <w:ind w:firstLine="0"/>
      </w:pPr>
      <w:r>
        <w:rPr>
          <w:rStyle w:val="FootnoteReference"/>
        </w:rPr>
        <w:footnoteRef/>
      </w:r>
      <w:r>
        <w:t xml:space="preserve"> New York State Energy Research and Development Authority. Offshore Wind Projects. </w:t>
      </w:r>
      <w:hyperlink r:id="rId23" w:anchor="SouthForkWindFarm" w:history="1">
        <w:r w:rsidRPr="007B7BFB">
          <w:rPr>
            <w:rStyle w:val="Hyperlink"/>
          </w:rPr>
          <w:t>https://www.nyserda.ny.gov/All-Programs/Programs/Offshore-Wind/Focus-Areas/NY-Offshore-Wind-Projects#SouthForkWindFarm</w:t>
        </w:r>
      </w:hyperlink>
      <w:r>
        <w:t xml:space="preserve"> (last accessed 11/15/21)</w:t>
      </w:r>
    </w:p>
  </w:footnote>
  <w:footnote w:id="34">
    <w:p w14:paraId="6D4CF48B" w14:textId="77777777" w:rsidR="004C21EB" w:rsidRDefault="004C21EB" w:rsidP="004C21EB">
      <w:pPr>
        <w:pStyle w:val="FootnoteText"/>
        <w:ind w:firstLine="0"/>
      </w:pPr>
      <w:r>
        <w:rPr>
          <w:rStyle w:val="FootnoteReference"/>
        </w:rPr>
        <w:footnoteRef/>
      </w:r>
      <w:r>
        <w:t xml:space="preserve"> Id.</w:t>
      </w:r>
    </w:p>
  </w:footnote>
  <w:footnote w:id="35">
    <w:p w14:paraId="26DB7AFC" w14:textId="77777777" w:rsidR="004C21EB" w:rsidRDefault="004C21EB" w:rsidP="004C21EB">
      <w:pPr>
        <w:pStyle w:val="FootnoteText"/>
        <w:ind w:firstLine="0"/>
      </w:pPr>
      <w:r>
        <w:rPr>
          <w:rStyle w:val="FootnoteReference"/>
        </w:rPr>
        <w:footnoteRef/>
      </w:r>
      <w:r>
        <w:t xml:space="preserve"> Id.</w:t>
      </w:r>
    </w:p>
  </w:footnote>
  <w:footnote w:id="36">
    <w:p w14:paraId="4D09D7A2" w14:textId="6D28FF31" w:rsidR="004C21EB" w:rsidRDefault="004C21EB" w:rsidP="004C21EB">
      <w:pPr>
        <w:pStyle w:val="FootnoteText"/>
        <w:ind w:firstLine="0"/>
      </w:pPr>
      <w:r>
        <w:rPr>
          <w:rStyle w:val="FootnoteReference"/>
        </w:rPr>
        <w:footnoteRef/>
      </w:r>
      <w:r>
        <w:t xml:space="preserve"> EnergyWatch. 1,700 MW of Offshore Wind Capacity Approved for Construction. July, 2019. </w:t>
      </w:r>
      <w:hyperlink r:id="rId24" w:history="1">
        <w:r w:rsidRPr="005D6678">
          <w:rPr>
            <w:rStyle w:val="Hyperlink"/>
          </w:rPr>
          <w:t>https://energywatch-inc.com/1700-mw-of-offshore-wind-capacity-approved-for-construction/</w:t>
        </w:r>
      </w:hyperlink>
      <w:r>
        <w:t xml:space="preserve"> (last accessed 11/15/21)</w:t>
      </w:r>
    </w:p>
  </w:footnote>
  <w:footnote w:id="37">
    <w:p w14:paraId="25097944" w14:textId="77777777" w:rsidR="004C21EB" w:rsidRDefault="004C21EB" w:rsidP="004C21EB">
      <w:pPr>
        <w:pStyle w:val="FootnoteText"/>
        <w:ind w:firstLine="0"/>
      </w:pPr>
      <w:r>
        <w:rPr>
          <w:rStyle w:val="FootnoteReference"/>
        </w:rPr>
        <w:footnoteRef/>
      </w:r>
      <w:r>
        <w:t xml:space="preserve"> Id. </w:t>
      </w:r>
    </w:p>
  </w:footnote>
  <w:footnote w:id="38">
    <w:p w14:paraId="777DF041" w14:textId="77777777" w:rsidR="004C21EB" w:rsidRDefault="004C21EB" w:rsidP="004C21EB">
      <w:pPr>
        <w:pStyle w:val="FootnoteText"/>
        <w:ind w:firstLine="0"/>
      </w:pPr>
      <w:r>
        <w:rPr>
          <w:rStyle w:val="FootnoteReference"/>
        </w:rPr>
        <w:footnoteRef/>
      </w:r>
      <w:r>
        <w:t xml:space="preserve"> Id.</w:t>
      </w:r>
    </w:p>
  </w:footnote>
  <w:footnote w:id="39">
    <w:p w14:paraId="3576E38D" w14:textId="77777777" w:rsidR="004C21EB" w:rsidRDefault="004C21EB" w:rsidP="004C21EB">
      <w:pPr>
        <w:pStyle w:val="FootnoteText"/>
        <w:ind w:firstLine="0"/>
      </w:pPr>
      <w:r>
        <w:rPr>
          <w:rStyle w:val="FootnoteReference"/>
        </w:rPr>
        <w:footnoteRef/>
      </w:r>
      <w:r>
        <w:t xml:space="preserve"> Id. </w:t>
      </w:r>
    </w:p>
  </w:footnote>
  <w:footnote w:id="40">
    <w:p w14:paraId="1E0EA7B2" w14:textId="77777777" w:rsidR="004C21EB" w:rsidRDefault="004C21EB" w:rsidP="004C21EB">
      <w:pPr>
        <w:pStyle w:val="FootnoteText"/>
        <w:ind w:firstLine="0"/>
      </w:pPr>
      <w:r>
        <w:rPr>
          <w:rStyle w:val="FootnoteReference"/>
        </w:rPr>
        <w:footnoteRef/>
      </w:r>
      <w:r>
        <w:t xml:space="preserve"> Long Island Power Authority. South Fork Wind Farm Fact Sheet. </w:t>
      </w:r>
      <w:hyperlink r:id="rId25" w:history="1">
        <w:r w:rsidRPr="00E92BEB">
          <w:rPr>
            <w:rStyle w:val="Hyperlink"/>
          </w:rPr>
          <w:t>https://www.lipower.org/wp-content/uploads/2019/10/LIPA-First-Offshore-Wind-Farm-Doc-V19_102819-FINAL.pdf</w:t>
        </w:r>
      </w:hyperlink>
      <w:r>
        <w:t xml:space="preserve"> (last accessed 11/16/20)</w:t>
      </w:r>
    </w:p>
  </w:footnote>
  <w:footnote w:id="41">
    <w:p w14:paraId="334410B0" w14:textId="32A88474" w:rsidR="004C21EB" w:rsidRDefault="004C21EB" w:rsidP="004C21EB">
      <w:pPr>
        <w:pStyle w:val="FootnoteText"/>
        <w:ind w:firstLine="0"/>
      </w:pPr>
      <w:r>
        <w:rPr>
          <w:rStyle w:val="FootnoteReference"/>
        </w:rPr>
        <w:footnoteRef/>
      </w:r>
      <w:r>
        <w:t xml:space="preserve"> Bureau of Ocean Energy Management. South Fork Area Map. </w:t>
      </w:r>
      <w:hyperlink r:id="rId26" w:history="1">
        <w:r w:rsidRPr="005D6678">
          <w:rPr>
            <w:rStyle w:val="Hyperlink"/>
          </w:rPr>
          <w:t>https://www.boem.gov/sites/default/files/documents/renewable-energy/state-activities/DW-South-Fork-Area-Map.pdf</w:t>
        </w:r>
      </w:hyperlink>
      <w:r>
        <w:t xml:space="preserve">  (last accessed 11/15/21)</w:t>
      </w:r>
    </w:p>
  </w:footnote>
  <w:footnote w:id="42">
    <w:p w14:paraId="5540EC2E" w14:textId="3E85BCE9" w:rsidR="004C21EB" w:rsidRDefault="004C21EB" w:rsidP="004C21EB">
      <w:pPr>
        <w:pStyle w:val="FootnoteText"/>
        <w:ind w:firstLine="0"/>
      </w:pPr>
      <w:r>
        <w:rPr>
          <w:rStyle w:val="FootnoteReference"/>
        </w:rPr>
        <w:footnoteRef/>
      </w:r>
      <w:r>
        <w:t xml:space="preserve"> New York State Energy Research and Development Authority. Offshore Wind Projects. </w:t>
      </w:r>
      <w:hyperlink r:id="rId27" w:anchor="SouthForkWindFarm" w:history="1">
        <w:r w:rsidRPr="007B7BFB">
          <w:rPr>
            <w:rStyle w:val="Hyperlink"/>
          </w:rPr>
          <w:t>https://www.nyserda.ny.gov/All-Programs/Programs/Offshore-Wind/Focus-Areas/NY-Offshore-Wind-Projects#SouthForkWindFarm</w:t>
        </w:r>
      </w:hyperlink>
      <w:r>
        <w:t xml:space="preserve"> (last accessed 11/15/21)</w:t>
      </w:r>
    </w:p>
  </w:footnote>
  <w:footnote w:id="43">
    <w:p w14:paraId="36B17C0D" w14:textId="77777777" w:rsidR="004C21EB" w:rsidRDefault="004C21EB" w:rsidP="004C21EB">
      <w:pPr>
        <w:pStyle w:val="FootnoteText"/>
        <w:ind w:firstLine="0"/>
      </w:pPr>
      <w:r>
        <w:rPr>
          <w:rStyle w:val="FootnoteReference"/>
        </w:rPr>
        <w:footnoteRef/>
      </w:r>
      <w:r>
        <w:t xml:space="preserve"> New York State Energy Research and Development Authority. Governor Cuomo Announces Largest Combined Solicitations for Renewable Energy Ever Issued in the U.S. to Combat Climate Change. </w:t>
      </w:r>
      <w:hyperlink r:id="rId28" w:history="1">
        <w:r w:rsidRPr="00AA6055">
          <w:rPr>
            <w:rStyle w:val="Hyperlink"/>
          </w:rPr>
          <w:t>https://www.nyserda.ny.gov/About/Newsroom/2020-Announcements/2020-07-21-Governor-cuomo-announces-largest-combined-solicitations-for-renewable-energy-ever-issued-in-the-us-to-combat-climate-change</w:t>
        </w:r>
      </w:hyperlink>
      <w:r>
        <w:t xml:space="preserve"> (last accessed 11/17/20)</w:t>
      </w:r>
    </w:p>
  </w:footnote>
  <w:footnote w:id="44">
    <w:p w14:paraId="24F32568" w14:textId="268A668F" w:rsidR="004C21EB" w:rsidRDefault="004C21EB" w:rsidP="004C21EB">
      <w:pPr>
        <w:pStyle w:val="FootnoteText"/>
        <w:ind w:firstLine="0"/>
      </w:pPr>
      <w:r>
        <w:rPr>
          <w:rStyle w:val="FootnoteReference"/>
        </w:rPr>
        <w:footnoteRef/>
      </w:r>
      <w:r>
        <w:t xml:space="preserve"> Clean Path New York. </w:t>
      </w:r>
      <w:hyperlink r:id="rId29" w:anchor="overview" w:history="1">
        <w:r w:rsidRPr="008D1561">
          <w:rPr>
            <w:rStyle w:val="Hyperlink"/>
          </w:rPr>
          <w:t>https://www.cleanpathny.com/#overview</w:t>
        </w:r>
      </w:hyperlink>
      <w:r>
        <w:t xml:space="preserve"> (last accessed 11/15/21)</w:t>
      </w:r>
    </w:p>
  </w:footnote>
  <w:footnote w:id="45">
    <w:p w14:paraId="0A3D728C" w14:textId="051DBFE1" w:rsidR="004C21EB" w:rsidRDefault="004C21EB" w:rsidP="004C21EB">
      <w:pPr>
        <w:pStyle w:val="FootnoteText"/>
        <w:ind w:firstLine="0"/>
      </w:pPr>
      <w:r>
        <w:rPr>
          <w:rStyle w:val="FootnoteReference"/>
        </w:rPr>
        <w:footnoteRef/>
      </w:r>
      <w:r>
        <w:t xml:space="preserve"> Id. </w:t>
      </w:r>
    </w:p>
  </w:footnote>
  <w:footnote w:id="46">
    <w:p w14:paraId="4FEC33D9" w14:textId="3CF674FF" w:rsidR="004C21EB" w:rsidRDefault="004C21EB" w:rsidP="004C21EB">
      <w:pPr>
        <w:pStyle w:val="FootnoteText"/>
        <w:ind w:firstLine="0"/>
      </w:pPr>
      <w:r>
        <w:rPr>
          <w:rStyle w:val="FootnoteReference"/>
        </w:rPr>
        <w:footnoteRef/>
      </w:r>
      <w:r>
        <w:t xml:space="preserve"> Id. </w:t>
      </w:r>
    </w:p>
  </w:footnote>
  <w:footnote w:id="47">
    <w:p w14:paraId="790EE689" w14:textId="547B2725" w:rsidR="004C21EB" w:rsidRDefault="004C21EB" w:rsidP="004C21EB">
      <w:pPr>
        <w:pStyle w:val="FootnoteText"/>
        <w:ind w:firstLine="0"/>
      </w:pPr>
      <w:r>
        <w:rPr>
          <w:rStyle w:val="FootnoteReference"/>
        </w:rPr>
        <w:footnoteRef/>
      </w:r>
      <w:r>
        <w:t xml:space="preserve"> Id. </w:t>
      </w:r>
    </w:p>
  </w:footnote>
  <w:footnote w:id="48">
    <w:p w14:paraId="276DA7B5" w14:textId="2A52A86D" w:rsidR="004C21EB" w:rsidRDefault="004C21EB" w:rsidP="004C21EB">
      <w:pPr>
        <w:pStyle w:val="FootnoteText"/>
        <w:ind w:firstLine="0"/>
      </w:pPr>
      <w:r>
        <w:rPr>
          <w:rStyle w:val="FootnoteReference"/>
        </w:rPr>
        <w:footnoteRef/>
      </w:r>
      <w:r>
        <w:t xml:space="preserve"> Id.</w:t>
      </w:r>
    </w:p>
  </w:footnote>
  <w:footnote w:id="49">
    <w:p w14:paraId="48DDED3E" w14:textId="41C26B86" w:rsidR="004C21EB" w:rsidRDefault="004C21EB" w:rsidP="004C21EB">
      <w:pPr>
        <w:pStyle w:val="FootnoteText"/>
        <w:ind w:firstLine="0"/>
      </w:pPr>
      <w:r>
        <w:rPr>
          <w:rStyle w:val="FootnoteReference"/>
        </w:rPr>
        <w:footnoteRef/>
      </w:r>
      <w:r>
        <w:t xml:space="preserve"> Id</w:t>
      </w:r>
    </w:p>
  </w:footnote>
  <w:footnote w:id="50">
    <w:p w14:paraId="128AF00E" w14:textId="5316A015" w:rsidR="004C21EB" w:rsidRDefault="004C21EB" w:rsidP="004C21EB">
      <w:pPr>
        <w:pStyle w:val="FootnoteText"/>
        <w:ind w:firstLine="0"/>
      </w:pPr>
      <w:r>
        <w:rPr>
          <w:rStyle w:val="FootnoteReference"/>
        </w:rPr>
        <w:footnoteRef/>
      </w:r>
      <w:r>
        <w:t xml:space="preserve"> Champlain Hudson Power Express Overview. </w:t>
      </w:r>
      <w:hyperlink r:id="rId30" w:history="1">
        <w:r w:rsidRPr="008D1561">
          <w:rPr>
            <w:rStyle w:val="Hyperlink"/>
          </w:rPr>
          <w:t>https://chpexpress.com/project-overview/</w:t>
        </w:r>
      </w:hyperlink>
      <w:r>
        <w:t xml:space="preserve"> (last accessed 11/15/21)</w:t>
      </w:r>
    </w:p>
  </w:footnote>
  <w:footnote w:id="51">
    <w:p w14:paraId="6537A91A" w14:textId="2F8CBBCD" w:rsidR="004C21EB" w:rsidRDefault="004C21EB" w:rsidP="004C21EB">
      <w:pPr>
        <w:pStyle w:val="FootnoteText"/>
        <w:ind w:firstLine="0"/>
      </w:pPr>
      <w:r>
        <w:rPr>
          <w:rStyle w:val="FootnoteReference"/>
        </w:rPr>
        <w:footnoteRef/>
      </w:r>
      <w:r>
        <w:t xml:space="preserve"> Id. </w:t>
      </w:r>
    </w:p>
  </w:footnote>
  <w:footnote w:id="52">
    <w:p w14:paraId="4440D8BB" w14:textId="33029C19" w:rsidR="004C21EB" w:rsidRPr="004C21EB" w:rsidRDefault="004C21EB" w:rsidP="004C21EB">
      <w:pPr>
        <w:pStyle w:val="FootnoteText"/>
        <w:ind w:firstLine="0"/>
      </w:pPr>
      <w:r>
        <w:rPr>
          <w:rStyle w:val="FootnoteReference"/>
        </w:rPr>
        <w:footnoteRef/>
      </w:r>
      <w:r>
        <w:t xml:space="preserve"> 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BB8A" w14:textId="7DB7463F" w:rsidR="0078697A" w:rsidRDefault="00786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0139" w14:textId="7B0EDE1D" w:rsidR="0078697A" w:rsidRDefault="00786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16C29" w14:textId="0FB3BF1C" w:rsidR="0078697A" w:rsidRDefault="007869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3ECE5" w14:textId="3AD1102C" w:rsidR="0078697A" w:rsidRDefault="007869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FCD5B" w14:textId="01663012" w:rsidR="0078697A" w:rsidRDefault="007869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8EA9" w14:textId="046BE8DD" w:rsidR="0078697A" w:rsidRDefault="007869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CACC" w14:textId="11F3FA75" w:rsidR="0078697A" w:rsidRDefault="007869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4821" w14:textId="57DC2821" w:rsidR="0078697A" w:rsidRDefault="007869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0EC6" w14:textId="484ECBF9" w:rsidR="0078697A" w:rsidRDefault="00786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7B4D"/>
    <w:multiLevelType w:val="hybridMultilevel"/>
    <w:tmpl w:val="197E61B8"/>
    <w:lvl w:ilvl="0" w:tplc="04090001">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004F"/>
    <w:multiLevelType w:val="hybridMultilevel"/>
    <w:tmpl w:val="25C45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E65E8"/>
    <w:multiLevelType w:val="hybridMultilevel"/>
    <w:tmpl w:val="5F8CE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7B523F"/>
    <w:multiLevelType w:val="hybridMultilevel"/>
    <w:tmpl w:val="0C465C64"/>
    <w:lvl w:ilvl="0" w:tplc="395CE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40A56"/>
    <w:multiLevelType w:val="hybridMultilevel"/>
    <w:tmpl w:val="75D6FD44"/>
    <w:lvl w:ilvl="0" w:tplc="08282AAC">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620E67"/>
    <w:multiLevelType w:val="hybridMultilevel"/>
    <w:tmpl w:val="282A5BD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Times New Roman"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Times New Roman" w:hint="default"/>
      </w:rPr>
    </w:lvl>
    <w:lvl w:ilvl="8" w:tplc="04090005">
      <w:start w:val="1"/>
      <w:numFmt w:val="bullet"/>
      <w:lvlText w:val=""/>
      <w:lvlJc w:val="left"/>
      <w:pPr>
        <w:ind w:left="6536" w:hanging="360"/>
      </w:pPr>
      <w:rPr>
        <w:rFonts w:ascii="Wingdings" w:hAnsi="Wingdings" w:hint="default"/>
      </w:rPr>
    </w:lvl>
  </w:abstractNum>
  <w:abstractNum w:abstractNumId="6" w15:restartNumberingAfterBreak="0">
    <w:nsid w:val="6D85488B"/>
    <w:multiLevelType w:val="hybridMultilevel"/>
    <w:tmpl w:val="78EA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9A"/>
    <w:rsid w:val="00002731"/>
    <w:rsid w:val="00003046"/>
    <w:rsid w:val="000117B0"/>
    <w:rsid w:val="00016EED"/>
    <w:rsid w:val="0002240C"/>
    <w:rsid w:val="000226BC"/>
    <w:rsid w:val="000251E1"/>
    <w:rsid w:val="00030B86"/>
    <w:rsid w:val="0005385A"/>
    <w:rsid w:val="00056A46"/>
    <w:rsid w:val="00070500"/>
    <w:rsid w:val="000710D0"/>
    <w:rsid w:val="00080218"/>
    <w:rsid w:val="000850B9"/>
    <w:rsid w:val="00090B47"/>
    <w:rsid w:val="00096F94"/>
    <w:rsid w:val="000B5274"/>
    <w:rsid w:val="000B6134"/>
    <w:rsid w:val="000C4F9E"/>
    <w:rsid w:val="000D4F3D"/>
    <w:rsid w:val="000F168B"/>
    <w:rsid w:val="00102AA0"/>
    <w:rsid w:val="001131A1"/>
    <w:rsid w:val="0012220F"/>
    <w:rsid w:val="00136EC5"/>
    <w:rsid w:val="001379FE"/>
    <w:rsid w:val="00143D2F"/>
    <w:rsid w:val="0014782A"/>
    <w:rsid w:val="00151904"/>
    <w:rsid w:val="00161900"/>
    <w:rsid w:val="00170626"/>
    <w:rsid w:val="0017713F"/>
    <w:rsid w:val="00177985"/>
    <w:rsid w:val="00180EE2"/>
    <w:rsid w:val="001833C1"/>
    <w:rsid w:val="00184685"/>
    <w:rsid w:val="00190F48"/>
    <w:rsid w:val="00191C14"/>
    <w:rsid w:val="001930DB"/>
    <w:rsid w:val="00195880"/>
    <w:rsid w:val="00195AF8"/>
    <w:rsid w:val="001B1997"/>
    <w:rsid w:val="001B1AD7"/>
    <w:rsid w:val="001B4D95"/>
    <w:rsid w:val="001B6559"/>
    <w:rsid w:val="001C26F6"/>
    <w:rsid w:val="001C377F"/>
    <w:rsid w:val="001C3B43"/>
    <w:rsid w:val="001C4DFE"/>
    <w:rsid w:val="001D7BD2"/>
    <w:rsid w:val="001E2250"/>
    <w:rsid w:val="001E5D19"/>
    <w:rsid w:val="001E6347"/>
    <w:rsid w:val="001F06B5"/>
    <w:rsid w:val="001F358C"/>
    <w:rsid w:val="00204223"/>
    <w:rsid w:val="00221B28"/>
    <w:rsid w:val="0022489B"/>
    <w:rsid w:val="00225421"/>
    <w:rsid w:val="002503FA"/>
    <w:rsid w:val="00256707"/>
    <w:rsid w:val="00257150"/>
    <w:rsid w:val="002617C0"/>
    <w:rsid w:val="00265CC9"/>
    <w:rsid w:val="00274345"/>
    <w:rsid w:val="002A1F5C"/>
    <w:rsid w:val="002D3F36"/>
    <w:rsid w:val="002E1F1F"/>
    <w:rsid w:val="002E260B"/>
    <w:rsid w:val="002E3BD2"/>
    <w:rsid w:val="003154EA"/>
    <w:rsid w:val="00315964"/>
    <w:rsid w:val="00316E7A"/>
    <w:rsid w:val="00317D3D"/>
    <w:rsid w:val="00324100"/>
    <w:rsid w:val="00331F18"/>
    <w:rsid w:val="0034341C"/>
    <w:rsid w:val="00344D0B"/>
    <w:rsid w:val="00344E53"/>
    <w:rsid w:val="003547EC"/>
    <w:rsid w:val="00355F51"/>
    <w:rsid w:val="00367D4C"/>
    <w:rsid w:val="00376287"/>
    <w:rsid w:val="00390645"/>
    <w:rsid w:val="003B0F01"/>
    <w:rsid w:val="003B59E4"/>
    <w:rsid w:val="003C4C28"/>
    <w:rsid w:val="003D18E1"/>
    <w:rsid w:val="003D6598"/>
    <w:rsid w:val="003E77CA"/>
    <w:rsid w:val="003F0FB4"/>
    <w:rsid w:val="003F2D83"/>
    <w:rsid w:val="003F4EF2"/>
    <w:rsid w:val="003F7F6D"/>
    <w:rsid w:val="00401E11"/>
    <w:rsid w:val="0040383D"/>
    <w:rsid w:val="00410E41"/>
    <w:rsid w:val="0042488E"/>
    <w:rsid w:val="00432FAE"/>
    <w:rsid w:val="0045141A"/>
    <w:rsid w:val="0045400A"/>
    <w:rsid w:val="00454F07"/>
    <w:rsid w:val="0046395D"/>
    <w:rsid w:val="00463AD1"/>
    <w:rsid w:val="0046624C"/>
    <w:rsid w:val="00467F0C"/>
    <w:rsid w:val="00490039"/>
    <w:rsid w:val="0049490B"/>
    <w:rsid w:val="004949C7"/>
    <w:rsid w:val="004959F1"/>
    <w:rsid w:val="00497B2D"/>
    <w:rsid w:val="004B1E64"/>
    <w:rsid w:val="004B309D"/>
    <w:rsid w:val="004B3DC0"/>
    <w:rsid w:val="004C1FA4"/>
    <w:rsid w:val="004C21EB"/>
    <w:rsid w:val="004C6873"/>
    <w:rsid w:val="004C68AF"/>
    <w:rsid w:val="004D6EC7"/>
    <w:rsid w:val="004F0171"/>
    <w:rsid w:val="004F20A0"/>
    <w:rsid w:val="004F7592"/>
    <w:rsid w:val="00504154"/>
    <w:rsid w:val="00504375"/>
    <w:rsid w:val="005203C2"/>
    <w:rsid w:val="0052521E"/>
    <w:rsid w:val="00532419"/>
    <w:rsid w:val="005367E0"/>
    <w:rsid w:val="00565C12"/>
    <w:rsid w:val="00565E66"/>
    <w:rsid w:val="00566524"/>
    <w:rsid w:val="005747D9"/>
    <w:rsid w:val="00576A90"/>
    <w:rsid w:val="00591495"/>
    <w:rsid w:val="00593C2C"/>
    <w:rsid w:val="005A6A1B"/>
    <w:rsid w:val="005B3CB6"/>
    <w:rsid w:val="005B4170"/>
    <w:rsid w:val="005B6227"/>
    <w:rsid w:val="005C59E8"/>
    <w:rsid w:val="005D1D5D"/>
    <w:rsid w:val="005D4D8A"/>
    <w:rsid w:val="005E0CA3"/>
    <w:rsid w:val="005E2233"/>
    <w:rsid w:val="005E30B3"/>
    <w:rsid w:val="005E3119"/>
    <w:rsid w:val="005E70B6"/>
    <w:rsid w:val="005F126C"/>
    <w:rsid w:val="005F2230"/>
    <w:rsid w:val="005F7BEC"/>
    <w:rsid w:val="00661308"/>
    <w:rsid w:val="00665A7A"/>
    <w:rsid w:val="006666F7"/>
    <w:rsid w:val="006753B8"/>
    <w:rsid w:val="00683914"/>
    <w:rsid w:val="00684869"/>
    <w:rsid w:val="00685241"/>
    <w:rsid w:val="00691A1D"/>
    <w:rsid w:val="00693068"/>
    <w:rsid w:val="00693684"/>
    <w:rsid w:val="00694393"/>
    <w:rsid w:val="00696451"/>
    <w:rsid w:val="006A0D01"/>
    <w:rsid w:val="006A0E60"/>
    <w:rsid w:val="006B56BD"/>
    <w:rsid w:val="006C68B4"/>
    <w:rsid w:val="006C6B13"/>
    <w:rsid w:val="006D0D07"/>
    <w:rsid w:val="006D0DED"/>
    <w:rsid w:val="006D6A23"/>
    <w:rsid w:val="006E31D7"/>
    <w:rsid w:val="00702284"/>
    <w:rsid w:val="00736696"/>
    <w:rsid w:val="0073697B"/>
    <w:rsid w:val="00746415"/>
    <w:rsid w:val="007818C4"/>
    <w:rsid w:val="007851F8"/>
    <w:rsid w:val="0078697A"/>
    <w:rsid w:val="0078718F"/>
    <w:rsid w:val="007902AD"/>
    <w:rsid w:val="00790474"/>
    <w:rsid w:val="00791790"/>
    <w:rsid w:val="00796E0C"/>
    <w:rsid w:val="007B2DEB"/>
    <w:rsid w:val="007C4047"/>
    <w:rsid w:val="007D165E"/>
    <w:rsid w:val="007F5952"/>
    <w:rsid w:val="007F7071"/>
    <w:rsid w:val="007F7725"/>
    <w:rsid w:val="008111B3"/>
    <w:rsid w:val="00826C06"/>
    <w:rsid w:val="00840E35"/>
    <w:rsid w:val="00844CB4"/>
    <w:rsid w:val="00845458"/>
    <w:rsid w:val="00846B38"/>
    <w:rsid w:val="008638B6"/>
    <w:rsid w:val="008836B6"/>
    <w:rsid w:val="00884C1D"/>
    <w:rsid w:val="00887DF0"/>
    <w:rsid w:val="00896609"/>
    <w:rsid w:val="008B3B5C"/>
    <w:rsid w:val="008C0E78"/>
    <w:rsid w:val="008D6C10"/>
    <w:rsid w:val="008E6756"/>
    <w:rsid w:val="009053B1"/>
    <w:rsid w:val="00912C6F"/>
    <w:rsid w:val="00914103"/>
    <w:rsid w:val="009152B8"/>
    <w:rsid w:val="0093105A"/>
    <w:rsid w:val="00933689"/>
    <w:rsid w:val="00933886"/>
    <w:rsid w:val="00937B0A"/>
    <w:rsid w:val="00941A21"/>
    <w:rsid w:val="0095156E"/>
    <w:rsid w:val="00966F3A"/>
    <w:rsid w:val="009801A1"/>
    <w:rsid w:val="00981D6C"/>
    <w:rsid w:val="009836B7"/>
    <w:rsid w:val="00995C5F"/>
    <w:rsid w:val="009A0D94"/>
    <w:rsid w:val="009A3D2A"/>
    <w:rsid w:val="009A757D"/>
    <w:rsid w:val="009C44E3"/>
    <w:rsid w:val="00A05A00"/>
    <w:rsid w:val="00A15A8F"/>
    <w:rsid w:val="00A1639C"/>
    <w:rsid w:val="00A221F8"/>
    <w:rsid w:val="00A404D6"/>
    <w:rsid w:val="00A44430"/>
    <w:rsid w:val="00A57515"/>
    <w:rsid w:val="00A76DDA"/>
    <w:rsid w:val="00A82B9E"/>
    <w:rsid w:val="00A84698"/>
    <w:rsid w:val="00A9076D"/>
    <w:rsid w:val="00A9609A"/>
    <w:rsid w:val="00AA1AFB"/>
    <w:rsid w:val="00AA6416"/>
    <w:rsid w:val="00AA7929"/>
    <w:rsid w:val="00AB304D"/>
    <w:rsid w:val="00AB405B"/>
    <w:rsid w:val="00AB40CB"/>
    <w:rsid w:val="00AB7367"/>
    <w:rsid w:val="00AC2544"/>
    <w:rsid w:val="00AC49D3"/>
    <w:rsid w:val="00AC4F19"/>
    <w:rsid w:val="00AC75A2"/>
    <w:rsid w:val="00AD1072"/>
    <w:rsid w:val="00AD1183"/>
    <w:rsid w:val="00AD55D8"/>
    <w:rsid w:val="00AE255E"/>
    <w:rsid w:val="00B01161"/>
    <w:rsid w:val="00B02AF8"/>
    <w:rsid w:val="00B031F8"/>
    <w:rsid w:val="00B03672"/>
    <w:rsid w:val="00B06DF4"/>
    <w:rsid w:val="00B10CAF"/>
    <w:rsid w:val="00B13F29"/>
    <w:rsid w:val="00B2451E"/>
    <w:rsid w:val="00B320D3"/>
    <w:rsid w:val="00B3614B"/>
    <w:rsid w:val="00B43438"/>
    <w:rsid w:val="00B5089E"/>
    <w:rsid w:val="00B542FC"/>
    <w:rsid w:val="00B61438"/>
    <w:rsid w:val="00B67BE6"/>
    <w:rsid w:val="00B74842"/>
    <w:rsid w:val="00B77454"/>
    <w:rsid w:val="00B85759"/>
    <w:rsid w:val="00B860E8"/>
    <w:rsid w:val="00B9173C"/>
    <w:rsid w:val="00B9353E"/>
    <w:rsid w:val="00B95A36"/>
    <w:rsid w:val="00BA648C"/>
    <w:rsid w:val="00BA7290"/>
    <w:rsid w:val="00BB2905"/>
    <w:rsid w:val="00BC4063"/>
    <w:rsid w:val="00BD3820"/>
    <w:rsid w:val="00BD79F9"/>
    <w:rsid w:val="00BE4436"/>
    <w:rsid w:val="00BE59D9"/>
    <w:rsid w:val="00BF176B"/>
    <w:rsid w:val="00BF3B25"/>
    <w:rsid w:val="00BF7562"/>
    <w:rsid w:val="00C04305"/>
    <w:rsid w:val="00C27790"/>
    <w:rsid w:val="00C34B50"/>
    <w:rsid w:val="00C35508"/>
    <w:rsid w:val="00C4082D"/>
    <w:rsid w:val="00C43B13"/>
    <w:rsid w:val="00C45F5F"/>
    <w:rsid w:val="00C50051"/>
    <w:rsid w:val="00C6018C"/>
    <w:rsid w:val="00C61C51"/>
    <w:rsid w:val="00C65764"/>
    <w:rsid w:val="00C712E8"/>
    <w:rsid w:val="00C76F1B"/>
    <w:rsid w:val="00C829D7"/>
    <w:rsid w:val="00C93EA6"/>
    <w:rsid w:val="00CB316D"/>
    <w:rsid w:val="00CB7416"/>
    <w:rsid w:val="00CD3F78"/>
    <w:rsid w:val="00CD5899"/>
    <w:rsid w:val="00CD6D0C"/>
    <w:rsid w:val="00CE4AB4"/>
    <w:rsid w:val="00CF2151"/>
    <w:rsid w:val="00D00960"/>
    <w:rsid w:val="00D02FCB"/>
    <w:rsid w:val="00D100B9"/>
    <w:rsid w:val="00D10D52"/>
    <w:rsid w:val="00D15045"/>
    <w:rsid w:val="00D24076"/>
    <w:rsid w:val="00D26DFC"/>
    <w:rsid w:val="00D5312A"/>
    <w:rsid w:val="00D5426E"/>
    <w:rsid w:val="00D70315"/>
    <w:rsid w:val="00D73658"/>
    <w:rsid w:val="00D77753"/>
    <w:rsid w:val="00D81D34"/>
    <w:rsid w:val="00D87034"/>
    <w:rsid w:val="00D903DD"/>
    <w:rsid w:val="00D93C29"/>
    <w:rsid w:val="00DA35DA"/>
    <w:rsid w:val="00DA62A9"/>
    <w:rsid w:val="00DB0822"/>
    <w:rsid w:val="00DC08F8"/>
    <w:rsid w:val="00DC51D6"/>
    <w:rsid w:val="00DE4FEC"/>
    <w:rsid w:val="00DE77F2"/>
    <w:rsid w:val="00E072D7"/>
    <w:rsid w:val="00E26489"/>
    <w:rsid w:val="00E32244"/>
    <w:rsid w:val="00E378EC"/>
    <w:rsid w:val="00E47069"/>
    <w:rsid w:val="00E51D9F"/>
    <w:rsid w:val="00E647D9"/>
    <w:rsid w:val="00E663D9"/>
    <w:rsid w:val="00E73D0F"/>
    <w:rsid w:val="00EA7524"/>
    <w:rsid w:val="00EA7C51"/>
    <w:rsid w:val="00EC450B"/>
    <w:rsid w:val="00EE262C"/>
    <w:rsid w:val="00EF689A"/>
    <w:rsid w:val="00EF7F05"/>
    <w:rsid w:val="00F0022A"/>
    <w:rsid w:val="00F02E88"/>
    <w:rsid w:val="00F03459"/>
    <w:rsid w:val="00F063BC"/>
    <w:rsid w:val="00F118D5"/>
    <w:rsid w:val="00F12371"/>
    <w:rsid w:val="00F161A1"/>
    <w:rsid w:val="00F17A23"/>
    <w:rsid w:val="00F2069F"/>
    <w:rsid w:val="00F22554"/>
    <w:rsid w:val="00F26CC0"/>
    <w:rsid w:val="00F30805"/>
    <w:rsid w:val="00F4710F"/>
    <w:rsid w:val="00F5171E"/>
    <w:rsid w:val="00F64A01"/>
    <w:rsid w:val="00F7751E"/>
    <w:rsid w:val="00F8422D"/>
    <w:rsid w:val="00F93F37"/>
    <w:rsid w:val="00F97AAE"/>
    <w:rsid w:val="00FB4E13"/>
    <w:rsid w:val="00FC31AE"/>
    <w:rsid w:val="00FC524D"/>
    <w:rsid w:val="00FD04DE"/>
    <w:rsid w:val="00FE3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58060"/>
  <w15:chartTrackingRefBased/>
  <w15:docId w15:val="{9CBB3C6B-3A27-E34E-AD1A-E9D701B7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09A"/>
    <w:pPr>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A9609A"/>
    <w:rPr>
      <w:sz w:val="20"/>
      <w:szCs w:val="20"/>
    </w:rPr>
  </w:style>
  <w:style w:type="character" w:customStyle="1" w:styleId="FootnoteTextChar">
    <w:name w:val="Footnote Text Char"/>
    <w:aliases w:val="FT Char"/>
    <w:basedOn w:val="DefaultParagraphFont"/>
    <w:link w:val="FootnoteText"/>
    <w:uiPriority w:val="99"/>
    <w:rsid w:val="00A9609A"/>
    <w:rPr>
      <w:rFonts w:ascii="Times New Roman" w:eastAsia="Times New Roman" w:hAnsi="Times New Roman" w:cs="Times New Roman"/>
      <w:sz w:val="20"/>
      <w:szCs w:val="20"/>
    </w:rPr>
  </w:style>
  <w:style w:type="character" w:styleId="FootnoteReference">
    <w:name w:val="footnote reference"/>
    <w:uiPriority w:val="99"/>
    <w:unhideWhenUsed/>
    <w:rsid w:val="00A9609A"/>
    <w:rPr>
      <w:vertAlign w:val="superscript"/>
    </w:rPr>
  </w:style>
  <w:style w:type="character" w:styleId="Hyperlink">
    <w:name w:val="Hyperlink"/>
    <w:rsid w:val="00A9609A"/>
    <w:rPr>
      <w:u w:val="single"/>
    </w:rPr>
  </w:style>
  <w:style w:type="paragraph" w:styleId="ListParagraph">
    <w:name w:val="List Paragraph"/>
    <w:basedOn w:val="Normal"/>
    <w:uiPriority w:val="34"/>
    <w:qFormat/>
    <w:rsid w:val="00B67BE6"/>
    <w:pPr>
      <w:ind w:left="720"/>
      <w:contextualSpacing/>
    </w:pPr>
  </w:style>
  <w:style w:type="character" w:customStyle="1" w:styleId="A5">
    <w:name w:val="A5"/>
    <w:uiPriority w:val="99"/>
    <w:rsid w:val="00B67BE6"/>
    <w:rPr>
      <w:rFonts w:cs="HelveticaNeueLT Std Lt"/>
      <w:color w:val="000000"/>
      <w:sz w:val="14"/>
      <w:szCs w:val="14"/>
    </w:rPr>
  </w:style>
  <w:style w:type="character" w:styleId="CommentReference">
    <w:name w:val="annotation reference"/>
    <w:basedOn w:val="DefaultParagraphFont"/>
    <w:uiPriority w:val="99"/>
    <w:semiHidden/>
    <w:unhideWhenUsed/>
    <w:rsid w:val="00DC51D6"/>
    <w:rPr>
      <w:sz w:val="16"/>
      <w:szCs w:val="16"/>
    </w:rPr>
  </w:style>
  <w:style w:type="paragraph" w:styleId="CommentText">
    <w:name w:val="annotation text"/>
    <w:basedOn w:val="Normal"/>
    <w:link w:val="CommentTextChar"/>
    <w:uiPriority w:val="99"/>
    <w:semiHidden/>
    <w:unhideWhenUsed/>
    <w:rsid w:val="00DC51D6"/>
    <w:rPr>
      <w:sz w:val="20"/>
      <w:szCs w:val="20"/>
    </w:rPr>
  </w:style>
  <w:style w:type="character" w:customStyle="1" w:styleId="CommentTextChar">
    <w:name w:val="Comment Text Char"/>
    <w:basedOn w:val="DefaultParagraphFont"/>
    <w:link w:val="CommentText"/>
    <w:uiPriority w:val="99"/>
    <w:semiHidden/>
    <w:rsid w:val="00DC51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51D6"/>
    <w:rPr>
      <w:b/>
      <w:bCs/>
    </w:rPr>
  </w:style>
  <w:style w:type="character" w:customStyle="1" w:styleId="CommentSubjectChar">
    <w:name w:val="Comment Subject Char"/>
    <w:basedOn w:val="CommentTextChar"/>
    <w:link w:val="CommentSubject"/>
    <w:uiPriority w:val="99"/>
    <w:semiHidden/>
    <w:rsid w:val="00DC51D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5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D6"/>
    <w:rPr>
      <w:rFonts w:ascii="Segoe UI" w:eastAsia="Times New Roman" w:hAnsi="Segoe UI" w:cs="Segoe UI"/>
      <w:sz w:val="18"/>
      <w:szCs w:val="18"/>
    </w:rPr>
  </w:style>
  <w:style w:type="paragraph" w:styleId="Header">
    <w:name w:val="header"/>
    <w:basedOn w:val="Normal"/>
    <w:link w:val="HeaderChar"/>
    <w:uiPriority w:val="99"/>
    <w:unhideWhenUsed/>
    <w:rsid w:val="00D73658"/>
    <w:pPr>
      <w:tabs>
        <w:tab w:val="center" w:pos="4680"/>
        <w:tab w:val="right" w:pos="9360"/>
      </w:tabs>
    </w:pPr>
  </w:style>
  <w:style w:type="character" w:customStyle="1" w:styleId="HeaderChar">
    <w:name w:val="Header Char"/>
    <w:basedOn w:val="DefaultParagraphFont"/>
    <w:link w:val="Header"/>
    <w:uiPriority w:val="99"/>
    <w:rsid w:val="00D736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3658"/>
    <w:pPr>
      <w:tabs>
        <w:tab w:val="center" w:pos="4680"/>
        <w:tab w:val="right" w:pos="9360"/>
      </w:tabs>
    </w:pPr>
  </w:style>
  <w:style w:type="character" w:customStyle="1" w:styleId="FooterChar">
    <w:name w:val="Footer Char"/>
    <w:basedOn w:val="DefaultParagraphFont"/>
    <w:link w:val="Footer"/>
    <w:uiPriority w:val="99"/>
    <w:rsid w:val="00D73658"/>
    <w:rPr>
      <w:rFonts w:ascii="Times New Roman" w:eastAsia="Times New Roman" w:hAnsi="Times New Roman" w:cs="Times New Roman"/>
      <w:sz w:val="24"/>
      <w:szCs w:val="24"/>
    </w:rPr>
  </w:style>
  <w:style w:type="paragraph" w:customStyle="1" w:styleId="Body">
    <w:name w:val="Body"/>
    <w:rsid w:val="00D00960"/>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Spacing">
    <w:name w:val="No Spacing"/>
    <w:uiPriority w:val="1"/>
    <w:qFormat/>
    <w:rsid w:val="00D00960"/>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link w:val="BodyTextChar"/>
    <w:rsid w:val="00D00960"/>
    <w:pPr>
      <w:pBdr>
        <w:top w:val="nil"/>
        <w:left w:val="nil"/>
        <w:bottom w:val="nil"/>
        <w:right w:val="nil"/>
        <w:between w:val="nil"/>
        <w:bar w:val="nil"/>
      </w:pBdr>
      <w:spacing w:line="480" w:lineRule="auto"/>
      <w:ind w:firstLine="720"/>
      <w:jc w:val="both"/>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D00960"/>
    <w:rPr>
      <w:rFonts w:ascii="Times New Roman" w:eastAsia="Arial Unicode MS" w:hAnsi="Times New Roman" w:cs="Arial Unicode MS"/>
      <w:color w:val="000000"/>
      <w:sz w:val="24"/>
      <w:szCs w:val="24"/>
      <w:u w:color="000000"/>
      <w:bdr w:val="nil"/>
    </w:rPr>
  </w:style>
  <w:style w:type="paragraph" w:styleId="NormalWeb">
    <w:name w:val="Normal (Web)"/>
    <w:basedOn w:val="Normal"/>
    <w:uiPriority w:val="99"/>
    <w:semiHidden/>
    <w:unhideWhenUsed/>
    <w:rsid w:val="004B1E64"/>
    <w:pPr>
      <w:ind w:firstLine="0"/>
    </w:pPr>
    <w:rPr>
      <w:rFonts w:eastAsiaTheme="minorHAnsi"/>
    </w:rPr>
  </w:style>
  <w:style w:type="character" w:styleId="FollowedHyperlink">
    <w:name w:val="FollowedHyperlink"/>
    <w:basedOn w:val="DefaultParagraphFont"/>
    <w:uiPriority w:val="99"/>
    <w:semiHidden/>
    <w:unhideWhenUsed/>
    <w:rsid w:val="003F2D83"/>
    <w:rPr>
      <w:color w:val="954F72" w:themeColor="followedHyperlink"/>
      <w:u w:val="single"/>
    </w:rPr>
  </w:style>
  <w:style w:type="character" w:customStyle="1" w:styleId="UnresolvedMention1">
    <w:name w:val="Unresolved Mention1"/>
    <w:basedOn w:val="DefaultParagraphFont"/>
    <w:uiPriority w:val="99"/>
    <w:semiHidden/>
    <w:unhideWhenUsed/>
    <w:rsid w:val="004C21EB"/>
    <w:rPr>
      <w:color w:val="605E5C"/>
      <w:shd w:val="clear" w:color="auto" w:fill="E1DFDD"/>
    </w:rPr>
  </w:style>
  <w:style w:type="character" w:customStyle="1" w:styleId="UnresolvedMention">
    <w:name w:val="Unresolved Mention"/>
    <w:basedOn w:val="DefaultParagraphFont"/>
    <w:uiPriority w:val="99"/>
    <w:semiHidden/>
    <w:unhideWhenUsed/>
    <w:rsid w:val="001B6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798">
      <w:bodyDiv w:val="1"/>
      <w:marLeft w:val="0"/>
      <w:marRight w:val="0"/>
      <w:marTop w:val="0"/>
      <w:marBottom w:val="0"/>
      <w:divBdr>
        <w:top w:val="none" w:sz="0" w:space="0" w:color="auto"/>
        <w:left w:val="none" w:sz="0" w:space="0" w:color="auto"/>
        <w:bottom w:val="none" w:sz="0" w:space="0" w:color="auto"/>
        <w:right w:val="none" w:sz="0" w:space="0" w:color="auto"/>
      </w:divBdr>
    </w:div>
    <w:div w:id="759107022">
      <w:bodyDiv w:val="1"/>
      <w:marLeft w:val="0"/>
      <w:marRight w:val="0"/>
      <w:marTop w:val="0"/>
      <w:marBottom w:val="0"/>
      <w:divBdr>
        <w:top w:val="none" w:sz="0" w:space="0" w:color="auto"/>
        <w:left w:val="none" w:sz="0" w:space="0" w:color="auto"/>
        <w:bottom w:val="none" w:sz="0" w:space="0" w:color="auto"/>
        <w:right w:val="none" w:sz="0" w:space="0" w:color="auto"/>
      </w:divBdr>
    </w:div>
    <w:div w:id="1220167266">
      <w:bodyDiv w:val="1"/>
      <w:marLeft w:val="0"/>
      <w:marRight w:val="0"/>
      <w:marTop w:val="0"/>
      <w:marBottom w:val="0"/>
      <w:divBdr>
        <w:top w:val="none" w:sz="0" w:space="0" w:color="auto"/>
        <w:left w:val="none" w:sz="0" w:space="0" w:color="auto"/>
        <w:bottom w:val="none" w:sz="0" w:space="0" w:color="auto"/>
        <w:right w:val="none" w:sz="0" w:space="0" w:color="auto"/>
      </w:divBdr>
    </w:div>
    <w:div w:id="1509906787">
      <w:bodyDiv w:val="1"/>
      <w:marLeft w:val="0"/>
      <w:marRight w:val="0"/>
      <w:marTop w:val="0"/>
      <w:marBottom w:val="0"/>
      <w:divBdr>
        <w:top w:val="none" w:sz="0" w:space="0" w:color="auto"/>
        <w:left w:val="none" w:sz="0" w:space="0" w:color="auto"/>
        <w:bottom w:val="none" w:sz="0" w:space="0" w:color="auto"/>
        <w:right w:val="none" w:sz="0" w:space="0" w:color="auto"/>
      </w:divBdr>
    </w:div>
    <w:div w:id="21178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urbangreencouncil.org/sites/default/files/blueprint_for_efficiency_80x50_bp.pdf" TargetMode="External"/><Relationship Id="rId13" Type="http://schemas.openxmlformats.org/officeDocument/2006/relationships/hyperlink" Target="https://www.extension.iastate.edu/agdm/wholefarm/html/c6-89.html" TargetMode="External"/><Relationship Id="rId18" Type="http://schemas.openxmlformats.org/officeDocument/2006/relationships/hyperlink" Target="https://www1.nyc.gov/assets/sustainability/downloads/pdf/publications/New%20York%20City%27s%20Roadmap%20to%2080%20x%2050.pdf" TargetMode="External"/><Relationship Id="rId26" Type="http://schemas.openxmlformats.org/officeDocument/2006/relationships/hyperlink" Target="https://www.boem.gov/sites/default/files/documents/renewable-energy/state-activities/DW-South-Fork-Area-Map.pdf" TargetMode="External"/><Relationship Id="rId3" Type="http://schemas.openxmlformats.org/officeDocument/2006/relationships/hyperlink" Target="https://www.esrl.noaa.gov/gmd/ccgg/trends/" TargetMode="External"/><Relationship Id="rId21" Type="http://schemas.openxmlformats.org/officeDocument/2006/relationships/hyperlink" Target="https://nyassembly.gov/leg/?default_fld=&amp;leg_video=&amp;bn=A08429&amp;term=2019&amp;Summary=Y&amp;Actions=Y&amp;Text=Y" TargetMode="External"/><Relationship Id="rId7" Type="http://schemas.openxmlformats.org/officeDocument/2006/relationships/hyperlink" Target="https://www.ipcc.ch/2018/10/08/summary-for-policymakers-of-ipcc-special-report-on-global-warming-of-1-5c-approved-by-governments/" TargetMode="External"/><Relationship Id="rId12" Type="http://schemas.openxmlformats.org/officeDocument/2006/relationships/hyperlink" Target="https://www.ghgprotocol.org/sites/default/files/ghgp/Global-Warming-Potential-" TargetMode="External"/><Relationship Id="rId17" Type="http://schemas.openxmlformats.org/officeDocument/2006/relationships/hyperlink" Target="https://rmi.org/insight/the-economics-of-electrifying-buildings/" TargetMode="External"/><Relationship Id="rId25" Type="http://schemas.openxmlformats.org/officeDocument/2006/relationships/hyperlink" Target="https://www.lipower.org/wp-content/uploads/2019/10/LIPA-First-Offshore-Wind-Farm-Doc-V19_102819-FINAL.pdf" TargetMode="External"/><Relationship Id="rId2" Type="http://schemas.openxmlformats.org/officeDocument/2006/relationships/hyperlink" Target="https://nca2018.globalchange.gov/" TargetMode="External"/><Relationship Id="rId16" Type="http://schemas.openxmlformats.org/officeDocument/2006/relationships/hyperlink" Target="https://www.energy.gov/energysaver/choosing-and-installing-geothermal-heat-pumps" TargetMode="External"/><Relationship Id="rId20" Type="http://schemas.openxmlformats.org/officeDocument/2006/relationships/hyperlink" Target="https://www.eia.gov/state/?sid=NY" TargetMode="External"/><Relationship Id="rId29" Type="http://schemas.openxmlformats.org/officeDocument/2006/relationships/hyperlink" Target="https://www.cleanpathny.com/" TargetMode="External"/><Relationship Id="rId1" Type="http://schemas.openxmlformats.org/officeDocument/2006/relationships/hyperlink" Target="https://www.ipcc.ch/2018/10/08/summary-for-policymakers-of-ipcc-special-report-on-global-warming-of-1-5c-approved-by-governments/" TargetMode="External"/><Relationship Id="rId6" Type="http://schemas.openxmlformats.org/officeDocument/2006/relationships/hyperlink" Target="https://journals.sagepub.com/doi/pdf/10.1177/2053019616688022" TargetMode="External"/><Relationship Id="rId11" Type="http://schemas.openxmlformats.org/officeDocument/2006/relationships/hyperlink" Target="https://www1.nyc.gov/site/sustainability/codes/energy-benchmarking.page" TargetMode="External"/><Relationship Id="rId24" Type="http://schemas.openxmlformats.org/officeDocument/2006/relationships/hyperlink" Target="https://energywatch-inc.com/1700-mw-of-offshore-wind-capacity-approved-for-construction/" TargetMode="External"/><Relationship Id="rId5" Type="http://schemas.openxmlformats.org/officeDocument/2006/relationships/hyperlink" Target="https://climate.nasa.gov/climate_resources/24/graphic-the-relentless-rise-of-carbon-dioxide/" TargetMode="External"/><Relationship Id="rId15" Type="http://schemas.openxmlformats.org/officeDocument/2006/relationships/hyperlink" Target="http://www.nyc.gov/html/planyc/downloads/pdf/publications/2015_Geothermal.pdf" TargetMode="External"/><Relationship Id="rId23" Type="http://schemas.openxmlformats.org/officeDocument/2006/relationships/hyperlink" Target="https://www.nyserda.ny.gov/All-Programs/Programs/Offshore-Wind/Focus-Areas/NY-Offshore-Wind-Projects" TargetMode="External"/><Relationship Id="rId28" Type="http://schemas.openxmlformats.org/officeDocument/2006/relationships/hyperlink" Target="https://www.nyserda.ny.gov/About/Newsroom/2020-Announcements/2020-07-21-Governor-cuomo-announces-largest-combined-solicitations-for-renewable-energy-ever-issued-in-the-us-to-combat-climate-change" TargetMode="External"/><Relationship Id="rId10" Type="http://schemas.openxmlformats.org/officeDocument/2006/relationships/hyperlink" Target="https://news.climate.columbia.edu/2019/01/15/heat-pumps-home-heating/" TargetMode="External"/><Relationship Id="rId19" Type="http://schemas.openxmlformats.org/officeDocument/2006/relationships/hyperlink" Target="https://www.nrdc.org/experts/cullen-howe/new-york-lays-down-gauntlet-renewable-energy" TargetMode="External"/><Relationship Id="rId4" Type="http://schemas.openxmlformats.org/officeDocument/2006/relationships/hyperlink" Target="https://phys.org/news/2019-05-million-co2-historic-high.html" TargetMode="External"/><Relationship Id="rId9" Type="http://schemas.openxmlformats.org/officeDocument/2006/relationships/hyperlink" Target="https://www1.nyc.gov/site/sustainability/codes/energy-benchmarking.page" TargetMode="External"/><Relationship Id="rId14" Type="http://schemas.openxmlformats.org/officeDocument/2006/relationships/hyperlink" Target="https://www.desmogblog.com/2020/01/25/climate-goals-new-york-approves-rate-hike-natural-gas" TargetMode="External"/><Relationship Id="rId22" Type="http://schemas.openxmlformats.org/officeDocument/2006/relationships/hyperlink" Target="https://climate.ny.gov/" TargetMode="External"/><Relationship Id="rId27" Type="http://schemas.openxmlformats.org/officeDocument/2006/relationships/hyperlink" Target="https://www.nyserda.ny.gov/All-Programs/Programs/Offshore-Wind/Focus-Areas/NY-Offshore-Wind-Projects" TargetMode="External"/><Relationship Id="rId30" Type="http://schemas.openxmlformats.org/officeDocument/2006/relationships/hyperlink" Target="https://chpexpress.com/project-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28940-6AB2-49FE-B112-05F156AB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3125</Words>
  <Characters>17817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Albin</dc:creator>
  <cp:keywords/>
  <dc:description/>
  <cp:lastModifiedBy>DelFranco, Ruthie</cp:lastModifiedBy>
  <cp:revision>2</cp:revision>
  <cp:lastPrinted>2021-09-14T13:27:00Z</cp:lastPrinted>
  <dcterms:created xsi:type="dcterms:W3CDTF">2021-11-17T16:50:00Z</dcterms:created>
  <dcterms:modified xsi:type="dcterms:W3CDTF">2021-11-17T16:50:00Z</dcterms:modified>
</cp:coreProperties>
</file>