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E644" w14:textId="77777777" w:rsidR="004E1CF2" w:rsidRDefault="00284F52" w:rsidP="00E97376">
      <w:pPr>
        <w:ind w:firstLine="0"/>
        <w:jc w:val="center"/>
      </w:pPr>
      <w:r>
        <w:t xml:space="preserve">Proposed </w:t>
      </w:r>
      <w:r w:rsidR="004E1CF2">
        <w:t>Int. No.</w:t>
      </w:r>
      <w:r w:rsidR="00BF354E">
        <w:t xml:space="preserve"> </w:t>
      </w:r>
      <w:r w:rsidR="0083643D">
        <w:t>1233</w:t>
      </w:r>
      <w:r>
        <w:t>-A</w:t>
      </w:r>
    </w:p>
    <w:p w14:paraId="4E77A787" w14:textId="77777777" w:rsidR="00E97376" w:rsidRDefault="00E97376" w:rsidP="00E97376">
      <w:pPr>
        <w:ind w:firstLine="0"/>
        <w:jc w:val="center"/>
      </w:pPr>
    </w:p>
    <w:p w14:paraId="00AD2F49" w14:textId="77777777" w:rsidR="009F3F70" w:rsidRDefault="009F3F70" w:rsidP="009F3F70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Levin, Ampry-Samuel, Salamanca, Gibson, Yeger, Rodriguez, Vallone, Maisel, Menchaca, Moya, Adams, Rivera, Reynoso, Dromm, Koo, Ayala, Rose, Holden, Gennaro, Riley, Lander, Rosenthal, Powers, D. Diaz, Treyger, Barron, R. Diaz Sr., Kallos, Grodenchik and Louis</w:t>
      </w:r>
    </w:p>
    <w:p w14:paraId="7BF8B396" w14:textId="77777777" w:rsidR="00BF6DC6" w:rsidRDefault="00BF6DC6" w:rsidP="00E97376">
      <w:pPr>
        <w:ind w:firstLine="0"/>
        <w:jc w:val="both"/>
      </w:pPr>
      <w:bookmarkStart w:id="0" w:name="_GoBack"/>
      <w:bookmarkEnd w:id="0"/>
    </w:p>
    <w:p w14:paraId="5F7886FA" w14:textId="4DB9B68C" w:rsidR="00523327" w:rsidRPr="00523327" w:rsidRDefault="00523327" w:rsidP="007101A2">
      <w:pPr>
        <w:pStyle w:val="BodyText"/>
        <w:spacing w:line="240" w:lineRule="auto"/>
        <w:ind w:firstLine="0"/>
        <w:rPr>
          <w:vanish/>
        </w:rPr>
      </w:pPr>
      <w:r w:rsidRPr="00523327">
        <w:rPr>
          <w:vanish/>
        </w:rPr>
        <w:t>..Title</w:t>
      </w:r>
    </w:p>
    <w:p w14:paraId="2DDEFCB6" w14:textId="2ECCBC57" w:rsidR="004E1CF2" w:rsidRDefault="006F3F03" w:rsidP="007101A2">
      <w:pPr>
        <w:pStyle w:val="BodyText"/>
        <w:spacing w:line="240" w:lineRule="auto"/>
        <w:ind w:firstLine="0"/>
      </w:pPr>
      <w:r>
        <w:t xml:space="preserve">A Local Law to </w:t>
      </w:r>
      <w:r w:rsidR="00BF354E">
        <w:t xml:space="preserve">amend </w:t>
      </w:r>
      <w:r w:rsidR="00B1439A">
        <w:t xml:space="preserve">the administrative code of the city of New York, in relation to </w:t>
      </w:r>
      <w:r w:rsidR="00FE325D">
        <w:t xml:space="preserve">providing </w:t>
      </w:r>
      <w:r w:rsidR="00C20C52">
        <w:t xml:space="preserve">written </w:t>
      </w:r>
      <w:r w:rsidR="00FE325D">
        <w:t>notice for shelter transfers</w:t>
      </w:r>
    </w:p>
    <w:p w14:paraId="5E91AE6D" w14:textId="77777777" w:rsidR="00523327" w:rsidRPr="00523327" w:rsidRDefault="00523327" w:rsidP="007101A2">
      <w:pPr>
        <w:pStyle w:val="BodyText"/>
        <w:spacing w:line="240" w:lineRule="auto"/>
        <w:ind w:firstLine="0"/>
        <w:rPr>
          <w:vanish/>
        </w:rPr>
      </w:pPr>
      <w:r w:rsidRPr="00523327">
        <w:rPr>
          <w:vanish/>
        </w:rPr>
        <w:t>..Body</w:t>
      </w:r>
    </w:p>
    <w:p w14:paraId="15DD8369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E0717A0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21225614" w14:textId="77777777" w:rsidR="004E1CF2" w:rsidRDefault="004E1CF2" w:rsidP="006662DF">
      <w:pPr>
        <w:jc w:val="both"/>
      </w:pPr>
    </w:p>
    <w:p w14:paraId="3D4D07F8" w14:textId="77777777" w:rsidR="006A691C" w:rsidRDefault="006A691C" w:rsidP="007101A2">
      <w:pPr>
        <w:spacing w:line="480" w:lineRule="auto"/>
        <w:jc w:val="both"/>
        <w:sectPr w:rsidR="006A691C" w:rsidSect="008F0B17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37929B" w14:textId="77777777" w:rsidR="000316C2" w:rsidRPr="001F1389" w:rsidRDefault="00883911" w:rsidP="00BF354E">
      <w:pPr>
        <w:spacing w:line="480" w:lineRule="auto"/>
        <w:jc w:val="both"/>
      </w:pPr>
      <w:r>
        <w:t xml:space="preserve">Section 1. </w:t>
      </w:r>
      <w:r w:rsidR="00952ECC">
        <w:t>C</w:t>
      </w:r>
      <w:r w:rsidR="00DF1ECF">
        <w:t xml:space="preserve">hapter </w:t>
      </w:r>
      <w:r w:rsidR="00952ECC">
        <w:t>3</w:t>
      </w:r>
      <w:r w:rsidR="00DF1ECF">
        <w:t xml:space="preserve"> of title </w:t>
      </w:r>
      <w:r w:rsidR="00952ECC">
        <w:t>21</w:t>
      </w:r>
      <w:r w:rsidR="00DF1ECF">
        <w:t xml:space="preserve"> of the administrative code of the city of New York</w:t>
      </w:r>
      <w:r w:rsidR="00BF354E">
        <w:t xml:space="preserve"> is </w:t>
      </w:r>
      <w:r w:rsidR="00BF354E" w:rsidRPr="001F1389">
        <w:t>amended by adding</w:t>
      </w:r>
      <w:r w:rsidR="00DF1ECF" w:rsidRPr="001F1389">
        <w:t xml:space="preserve"> a new section </w:t>
      </w:r>
      <w:r w:rsidR="00952ECC" w:rsidRPr="001F1389">
        <w:t>21-</w:t>
      </w:r>
      <w:r w:rsidR="00D2024A" w:rsidRPr="001F1389">
        <w:t xml:space="preserve">325 </w:t>
      </w:r>
      <w:r w:rsidR="00BF354E" w:rsidRPr="001F1389">
        <w:t>to read as follows:</w:t>
      </w:r>
    </w:p>
    <w:p w14:paraId="77C57E2A" w14:textId="750B2CAB" w:rsidR="001B4C5D" w:rsidRPr="001F1389" w:rsidRDefault="00643E25" w:rsidP="000F617E">
      <w:pPr>
        <w:spacing w:line="480" w:lineRule="auto"/>
        <w:ind w:left="720" w:firstLine="0"/>
        <w:rPr>
          <w:color w:val="000000"/>
          <w:u w:val="single"/>
        </w:rPr>
      </w:pPr>
      <w:r w:rsidRPr="001F1389">
        <w:rPr>
          <w:color w:val="000000"/>
          <w:u w:val="single"/>
        </w:rPr>
        <w:t>§</w:t>
      </w:r>
      <w:r w:rsidR="00952ECC" w:rsidRPr="001F1389">
        <w:rPr>
          <w:color w:val="000000"/>
          <w:u w:val="single"/>
        </w:rPr>
        <w:t xml:space="preserve"> 21-</w:t>
      </w:r>
      <w:r w:rsidR="00C973DC" w:rsidRPr="001F1389">
        <w:rPr>
          <w:color w:val="000000"/>
          <w:u w:val="single"/>
        </w:rPr>
        <w:t xml:space="preserve">325 </w:t>
      </w:r>
      <w:r w:rsidR="00952ECC" w:rsidRPr="001F1389">
        <w:rPr>
          <w:color w:val="000000"/>
          <w:u w:val="single"/>
        </w:rPr>
        <w:t>Notification and documentation for shelter transfers</w:t>
      </w:r>
      <w:r w:rsidR="009E276D" w:rsidRPr="001F1389">
        <w:rPr>
          <w:color w:val="000000"/>
          <w:u w:val="single"/>
        </w:rPr>
        <w:t xml:space="preserve">. </w:t>
      </w:r>
      <w:r w:rsidR="001B4C5D" w:rsidRPr="001F1389">
        <w:rPr>
          <w:color w:val="000000"/>
          <w:u w:val="single"/>
        </w:rPr>
        <w:t>a.</w:t>
      </w:r>
      <w:r w:rsidR="000F617E">
        <w:rPr>
          <w:color w:val="000000"/>
          <w:u w:val="single"/>
        </w:rPr>
        <w:t xml:space="preserve"> </w:t>
      </w:r>
      <w:r w:rsidR="001B4C5D" w:rsidRPr="001F1389">
        <w:rPr>
          <w:color w:val="000000"/>
          <w:u w:val="single"/>
        </w:rPr>
        <w:t>Definitions. For the purposes of this section the following terms have the following meanings:</w:t>
      </w:r>
    </w:p>
    <w:p w14:paraId="6E861833" w14:textId="77777777" w:rsidR="0094597D" w:rsidRDefault="0094597D" w:rsidP="001F1389">
      <w:pPr>
        <w:spacing w:line="480" w:lineRule="auto"/>
        <w:rPr>
          <w:color w:val="000000"/>
          <w:u w:val="single"/>
        </w:rPr>
      </w:pPr>
      <w:r w:rsidRPr="001F1389">
        <w:rPr>
          <w:color w:val="000000"/>
          <w:u w:val="single"/>
        </w:rPr>
        <w:t>Adult. The term “adult” means any</w:t>
      </w:r>
      <w:r>
        <w:rPr>
          <w:color w:val="000000"/>
          <w:u w:val="single"/>
        </w:rPr>
        <w:t xml:space="preserve"> person who is 18 years of age or older.</w:t>
      </w:r>
    </w:p>
    <w:p w14:paraId="295B61FA" w14:textId="77777777" w:rsidR="0094597D" w:rsidRDefault="0094597D" w:rsidP="001F1389">
      <w:pPr>
        <w:spacing w:line="480" w:lineRule="auto"/>
        <w:ind w:firstLine="0"/>
        <w:rPr>
          <w:color w:val="000000"/>
          <w:u w:val="single"/>
        </w:rPr>
      </w:pPr>
      <w:r w:rsidRPr="009B4B9A">
        <w:rPr>
          <w:color w:val="000000"/>
        </w:rPr>
        <w:tab/>
      </w:r>
      <w:r>
        <w:rPr>
          <w:color w:val="000000"/>
          <w:u w:val="single"/>
        </w:rPr>
        <w:t>Adult family. The term “adult family” means a family comprising adults and no children.</w:t>
      </w:r>
    </w:p>
    <w:p w14:paraId="31CA7AA1" w14:textId="4DF7C2C2" w:rsidR="004C1220" w:rsidRPr="009B4B9A" w:rsidRDefault="004C1220" w:rsidP="001F1389">
      <w:pPr>
        <w:spacing w:line="480" w:lineRule="auto"/>
        <w:ind w:firstLine="0"/>
      </w:pPr>
      <w:r w:rsidRPr="009B4B9A">
        <w:rPr>
          <w:color w:val="000000"/>
        </w:rPr>
        <w:tab/>
      </w:r>
      <w:r w:rsidRPr="00305653">
        <w:rPr>
          <w:color w:val="000000"/>
          <w:u w:val="single"/>
        </w:rPr>
        <w:t xml:space="preserve">Emergency transfer. The term “emergency transfer” means a transfer </w:t>
      </w:r>
      <w:r w:rsidR="00633BCB" w:rsidRPr="00305653">
        <w:rPr>
          <w:color w:val="000000"/>
          <w:u w:val="single"/>
        </w:rPr>
        <w:t>conducted pursuant to subdivision b of section 491.15 or paragraph 5 of subdivision b of section 900.15 of title 18 of the New York codes, rules</w:t>
      </w:r>
      <w:r w:rsidR="00D010FB" w:rsidRPr="00305653">
        <w:rPr>
          <w:color w:val="000000"/>
          <w:u w:val="single"/>
        </w:rPr>
        <w:t>,</w:t>
      </w:r>
      <w:r w:rsidR="00633BCB" w:rsidRPr="00305653">
        <w:rPr>
          <w:color w:val="000000"/>
          <w:u w:val="single"/>
        </w:rPr>
        <w:t xml:space="preserve"> and regulations </w:t>
      </w:r>
      <w:r w:rsidRPr="00305653">
        <w:rPr>
          <w:color w:val="000000"/>
          <w:u w:val="single"/>
        </w:rPr>
        <w:t xml:space="preserve">that </w:t>
      </w:r>
      <w:r w:rsidR="007970B0" w:rsidRPr="00305653">
        <w:rPr>
          <w:u w:val="single"/>
        </w:rPr>
        <w:t xml:space="preserve">the department or </w:t>
      </w:r>
      <w:r w:rsidR="00633BCB" w:rsidRPr="00305653">
        <w:rPr>
          <w:u w:val="single"/>
        </w:rPr>
        <w:t xml:space="preserve">a </w:t>
      </w:r>
      <w:r w:rsidR="007970B0" w:rsidRPr="00305653">
        <w:rPr>
          <w:u w:val="single"/>
        </w:rPr>
        <w:t xml:space="preserve">provider </w:t>
      </w:r>
      <w:r w:rsidR="006D3C51" w:rsidRPr="00305653">
        <w:rPr>
          <w:u w:val="single"/>
        </w:rPr>
        <w:t xml:space="preserve">under contract or similar agreement with the department </w:t>
      </w:r>
      <w:r w:rsidR="007970B0" w:rsidRPr="00305653">
        <w:rPr>
          <w:u w:val="single"/>
        </w:rPr>
        <w:t>determines must</w:t>
      </w:r>
      <w:r w:rsidRPr="00305653">
        <w:rPr>
          <w:u w:val="single"/>
        </w:rPr>
        <w:t xml:space="preserve"> be carried out immediately to protect against </w:t>
      </w:r>
      <w:r w:rsidR="00633BCB" w:rsidRPr="00305653">
        <w:rPr>
          <w:u w:val="single"/>
        </w:rPr>
        <w:t xml:space="preserve">an </w:t>
      </w:r>
      <w:r w:rsidRPr="00305653">
        <w:rPr>
          <w:u w:val="single"/>
        </w:rPr>
        <w:t>imminent risk to the health and safety of clients and staff.</w:t>
      </w:r>
    </w:p>
    <w:p w14:paraId="3FCF3EEA" w14:textId="77777777" w:rsidR="0094597D" w:rsidRDefault="0094597D" w:rsidP="0094597D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Family with children. The term “family with children” means a family </w:t>
      </w:r>
      <w:r w:rsidR="00633BCB">
        <w:rPr>
          <w:color w:val="000000"/>
          <w:u w:val="single"/>
        </w:rPr>
        <w:t xml:space="preserve">as defined by section 900.2 of title 18 of the New York </w:t>
      </w:r>
      <w:r w:rsidR="00633BCB" w:rsidRPr="00D010FB">
        <w:rPr>
          <w:color w:val="000000"/>
          <w:u w:val="single"/>
        </w:rPr>
        <w:t>codes, rules, and regulations</w:t>
      </w:r>
      <w:r w:rsidR="00633BCB">
        <w:rPr>
          <w:color w:val="000000"/>
          <w:u w:val="single"/>
        </w:rPr>
        <w:t xml:space="preserve">. </w:t>
      </w:r>
      <w:r w:rsidR="00633BCB" w:rsidRPr="00576904">
        <w:rPr>
          <w:color w:val="000000"/>
          <w:u w:val="single"/>
        </w:rPr>
        <w:t xml:space="preserve"> </w:t>
      </w:r>
    </w:p>
    <w:p w14:paraId="0CAD7B57" w14:textId="108DAC77" w:rsidR="004C1220" w:rsidRDefault="004C1220" w:rsidP="0094597D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Non-emergency transfer. </w:t>
      </w:r>
      <w:r w:rsidR="00C973DC">
        <w:rPr>
          <w:color w:val="000000"/>
          <w:u w:val="single"/>
        </w:rPr>
        <w:t>The term “non-emergency transfer” means a</w:t>
      </w:r>
      <w:r w:rsidR="00BC5674">
        <w:rPr>
          <w:color w:val="000000"/>
          <w:u w:val="single"/>
        </w:rPr>
        <w:t xml:space="preserve">ny transfer </w:t>
      </w:r>
      <w:r w:rsidR="00633BCB">
        <w:rPr>
          <w:color w:val="000000"/>
          <w:u w:val="single"/>
        </w:rPr>
        <w:t xml:space="preserve">conducted pursuant to subdivision b of section 491.15 or paragraph 5 of subdivision b of section 900.15 of title 18 of the </w:t>
      </w:r>
      <w:r w:rsidR="00633BCB" w:rsidRPr="000449BD">
        <w:rPr>
          <w:color w:val="000000"/>
          <w:u w:val="single"/>
        </w:rPr>
        <w:t xml:space="preserve">New York </w:t>
      </w:r>
      <w:r w:rsidR="00633BCB">
        <w:rPr>
          <w:color w:val="000000"/>
          <w:u w:val="single"/>
        </w:rPr>
        <w:t>c</w:t>
      </w:r>
      <w:r w:rsidR="00633BCB" w:rsidRPr="000449BD">
        <w:rPr>
          <w:color w:val="000000"/>
          <w:u w:val="single"/>
        </w:rPr>
        <w:t xml:space="preserve">odes, </w:t>
      </w:r>
      <w:r w:rsidR="00633BCB">
        <w:rPr>
          <w:color w:val="000000"/>
          <w:u w:val="single"/>
        </w:rPr>
        <w:t>r</w:t>
      </w:r>
      <w:r w:rsidR="00633BCB" w:rsidRPr="000449BD">
        <w:rPr>
          <w:color w:val="000000"/>
          <w:u w:val="single"/>
        </w:rPr>
        <w:t>ules</w:t>
      </w:r>
      <w:r w:rsidR="00D010FB">
        <w:rPr>
          <w:color w:val="000000"/>
          <w:u w:val="single"/>
        </w:rPr>
        <w:t>,</w:t>
      </w:r>
      <w:r w:rsidR="00633BCB" w:rsidRPr="000449BD">
        <w:rPr>
          <w:color w:val="000000"/>
          <w:u w:val="single"/>
        </w:rPr>
        <w:t xml:space="preserve"> and </w:t>
      </w:r>
      <w:r w:rsidR="00633BCB">
        <w:rPr>
          <w:color w:val="000000"/>
          <w:u w:val="single"/>
        </w:rPr>
        <w:t>r</w:t>
      </w:r>
      <w:r w:rsidR="00633BCB" w:rsidRPr="000449BD">
        <w:rPr>
          <w:color w:val="000000"/>
          <w:u w:val="single"/>
        </w:rPr>
        <w:t>egulations</w:t>
      </w:r>
      <w:r w:rsidR="00633BCB">
        <w:rPr>
          <w:color w:val="000000"/>
          <w:u w:val="single"/>
        </w:rPr>
        <w:t xml:space="preserve"> </w:t>
      </w:r>
      <w:r w:rsidR="00BC5674">
        <w:rPr>
          <w:color w:val="000000"/>
          <w:u w:val="single"/>
        </w:rPr>
        <w:t>that is not an emergency transfer.</w:t>
      </w:r>
      <w:r w:rsidR="00C973DC">
        <w:rPr>
          <w:color w:val="000000"/>
          <w:u w:val="single"/>
        </w:rPr>
        <w:t xml:space="preserve"> </w:t>
      </w:r>
    </w:p>
    <w:p w14:paraId="76617465" w14:textId="77777777" w:rsidR="001B4C5D" w:rsidRDefault="001B4C5D" w:rsidP="001B4C5D">
      <w:pPr>
        <w:spacing w:line="480" w:lineRule="auto"/>
        <w:ind w:left="720" w:firstLine="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Shelter. The term “shelter” means temporary housing </w:t>
      </w:r>
      <w:r w:rsidR="00633BCB">
        <w:rPr>
          <w:color w:val="000000"/>
          <w:u w:val="single"/>
        </w:rPr>
        <w:t xml:space="preserve">assistance </w:t>
      </w:r>
      <w:r>
        <w:rPr>
          <w:color w:val="000000"/>
          <w:u w:val="single"/>
        </w:rPr>
        <w:t xml:space="preserve">provided to homeless </w:t>
      </w:r>
    </w:p>
    <w:p w14:paraId="13BB44F3" w14:textId="77777777" w:rsidR="001B4C5D" w:rsidRDefault="001B4C5D" w:rsidP="001B4C5D">
      <w:pPr>
        <w:spacing w:line="480" w:lineRule="auto"/>
        <w:ind w:firstLine="0"/>
        <w:rPr>
          <w:color w:val="000000"/>
          <w:u w:val="single"/>
        </w:rPr>
      </w:pPr>
      <w:r>
        <w:rPr>
          <w:color w:val="000000"/>
          <w:u w:val="single"/>
        </w:rPr>
        <w:t xml:space="preserve">single adults, adult families, and families with children by the department or a provider under contract or similar agreement with the department. </w:t>
      </w:r>
    </w:p>
    <w:p w14:paraId="1250D44E" w14:textId="41DFF016" w:rsidR="00630531" w:rsidRDefault="001B4C5D" w:rsidP="009B4B9A">
      <w:pPr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b. </w:t>
      </w:r>
      <w:r w:rsidR="00AB5885">
        <w:rPr>
          <w:color w:val="000000"/>
          <w:u w:val="single"/>
        </w:rPr>
        <w:t>N</w:t>
      </w:r>
      <w:r w:rsidR="00630531">
        <w:rPr>
          <w:color w:val="000000"/>
          <w:u w:val="single"/>
        </w:rPr>
        <w:t>ot</w:t>
      </w:r>
      <w:r>
        <w:rPr>
          <w:color w:val="000000"/>
          <w:u w:val="single"/>
        </w:rPr>
        <w:t xml:space="preserve"> </w:t>
      </w:r>
      <w:r w:rsidR="00630531">
        <w:rPr>
          <w:color w:val="000000"/>
          <w:u w:val="single"/>
        </w:rPr>
        <w:t>l</w:t>
      </w:r>
      <w:r w:rsidR="00952ECC">
        <w:rPr>
          <w:color w:val="000000"/>
          <w:u w:val="single"/>
        </w:rPr>
        <w:t>ess</w:t>
      </w:r>
      <w:r w:rsidR="00630531">
        <w:rPr>
          <w:color w:val="000000"/>
          <w:u w:val="single"/>
        </w:rPr>
        <w:t xml:space="preserve"> </w:t>
      </w:r>
      <w:r w:rsidR="00952ECC">
        <w:rPr>
          <w:color w:val="000000"/>
          <w:u w:val="single"/>
        </w:rPr>
        <w:t xml:space="preserve">than </w:t>
      </w:r>
      <w:r w:rsidR="002300EB">
        <w:rPr>
          <w:color w:val="000000"/>
          <w:u w:val="single"/>
        </w:rPr>
        <w:t>48 hours</w:t>
      </w:r>
      <w:r w:rsidR="00952ECC">
        <w:rPr>
          <w:color w:val="000000"/>
          <w:u w:val="single"/>
        </w:rPr>
        <w:t xml:space="preserve"> prior to a</w:t>
      </w:r>
      <w:r w:rsidR="001979E3">
        <w:rPr>
          <w:color w:val="000000"/>
          <w:u w:val="single"/>
        </w:rPr>
        <w:t xml:space="preserve"> non-emergency </w:t>
      </w:r>
      <w:r>
        <w:rPr>
          <w:color w:val="000000"/>
          <w:u w:val="single"/>
        </w:rPr>
        <w:t>transfer,</w:t>
      </w:r>
      <w:r w:rsidR="007F7D53">
        <w:rPr>
          <w:color w:val="000000"/>
          <w:u w:val="single"/>
        </w:rPr>
        <w:t xml:space="preserve"> other than transfers</w:t>
      </w:r>
      <w:r w:rsidR="00192B88">
        <w:rPr>
          <w:color w:val="000000"/>
          <w:u w:val="single"/>
        </w:rPr>
        <w:t xml:space="preserve"> </w:t>
      </w:r>
      <w:r w:rsidR="007F7D53">
        <w:rPr>
          <w:color w:val="000000"/>
          <w:u w:val="single"/>
        </w:rPr>
        <w:t>requested by the client themselves</w:t>
      </w:r>
      <w:r w:rsidR="00755242">
        <w:rPr>
          <w:color w:val="000000"/>
          <w:u w:val="single"/>
        </w:rPr>
        <w:t xml:space="preserve"> or their representative</w:t>
      </w:r>
      <w:r w:rsidR="007F7D53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</w:t>
      </w:r>
      <w:r w:rsidR="003A74F6">
        <w:rPr>
          <w:color w:val="000000"/>
          <w:u w:val="single"/>
        </w:rPr>
        <w:t xml:space="preserve">clients </w:t>
      </w:r>
      <w:r w:rsidR="00B675BA">
        <w:rPr>
          <w:color w:val="000000"/>
          <w:u w:val="single"/>
        </w:rPr>
        <w:t>being</w:t>
      </w:r>
      <w:r w:rsidR="007F7D53">
        <w:rPr>
          <w:color w:val="000000"/>
          <w:u w:val="single"/>
        </w:rPr>
        <w:t xml:space="preserve"> </w:t>
      </w:r>
      <w:r w:rsidR="00D56F3B">
        <w:rPr>
          <w:color w:val="000000"/>
          <w:u w:val="single"/>
        </w:rPr>
        <w:t>transferred to another shelter or related facility</w:t>
      </w:r>
      <w:r w:rsidR="00B675BA">
        <w:rPr>
          <w:color w:val="000000"/>
          <w:u w:val="single"/>
        </w:rPr>
        <w:t xml:space="preserve"> must be provided </w:t>
      </w:r>
      <w:r w:rsidR="00133145">
        <w:rPr>
          <w:color w:val="000000"/>
          <w:u w:val="single"/>
        </w:rPr>
        <w:t>notice</w:t>
      </w:r>
      <w:r w:rsidR="00B675BA">
        <w:rPr>
          <w:color w:val="000000"/>
          <w:u w:val="single"/>
        </w:rPr>
        <w:t xml:space="preserve"> of their transfer</w:t>
      </w:r>
      <w:r w:rsidR="00133145">
        <w:rPr>
          <w:color w:val="000000"/>
          <w:u w:val="single"/>
        </w:rPr>
        <w:t xml:space="preserve"> including written notification and </w:t>
      </w:r>
      <w:r w:rsidR="00192B88">
        <w:rPr>
          <w:color w:val="000000"/>
          <w:u w:val="single"/>
        </w:rPr>
        <w:t xml:space="preserve">where applicable, </w:t>
      </w:r>
      <w:r w:rsidR="00133145">
        <w:rPr>
          <w:color w:val="000000"/>
          <w:u w:val="single"/>
        </w:rPr>
        <w:t xml:space="preserve">materials for </w:t>
      </w:r>
      <w:r w:rsidR="00633BCB">
        <w:rPr>
          <w:color w:val="000000"/>
          <w:u w:val="single"/>
        </w:rPr>
        <w:t>persons with</w:t>
      </w:r>
      <w:r w:rsidR="00133145">
        <w:rPr>
          <w:color w:val="000000"/>
          <w:u w:val="single"/>
        </w:rPr>
        <w:t xml:space="preserve"> visual </w:t>
      </w:r>
      <w:r w:rsidR="00633BCB">
        <w:rPr>
          <w:color w:val="000000"/>
          <w:u w:val="single"/>
        </w:rPr>
        <w:t>disabilities</w:t>
      </w:r>
      <w:r w:rsidR="00D56F3B">
        <w:rPr>
          <w:color w:val="000000"/>
          <w:u w:val="single"/>
        </w:rPr>
        <w:t>.</w:t>
      </w:r>
      <w:r w:rsidR="00952ECC">
        <w:rPr>
          <w:color w:val="000000"/>
          <w:u w:val="single"/>
        </w:rPr>
        <w:t xml:space="preserve"> </w:t>
      </w:r>
      <w:r w:rsidR="001A4BC5">
        <w:rPr>
          <w:color w:val="000000"/>
          <w:u w:val="single"/>
        </w:rPr>
        <w:t xml:space="preserve">Such notice must be provided </w:t>
      </w:r>
      <w:r w:rsidR="00192B88">
        <w:rPr>
          <w:color w:val="000000"/>
          <w:u w:val="single"/>
        </w:rPr>
        <w:t xml:space="preserve">during usual business hours and </w:t>
      </w:r>
      <w:r w:rsidR="00633BCB">
        <w:rPr>
          <w:color w:val="000000"/>
          <w:u w:val="single"/>
        </w:rPr>
        <w:t xml:space="preserve">be made available in the client’s primary language, provided that such primary language is a covered language defined in </w:t>
      </w:r>
      <w:r w:rsidR="00C97E45">
        <w:rPr>
          <w:color w:val="000000"/>
          <w:u w:val="single"/>
        </w:rPr>
        <w:t>section 21-190</w:t>
      </w:r>
      <w:r w:rsidR="001A4BC5">
        <w:rPr>
          <w:color w:val="000000"/>
          <w:u w:val="single"/>
        </w:rPr>
        <w:t>.</w:t>
      </w:r>
    </w:p>
    <w:p w14:paraId="41ED6663" w14:textId="35142132" w:rsidR="00560C98" w:rsidRDefault="001B4C5D" w:rsidP="00630531">
      <w:pPr>
        <w:spacing w:line="480" w:lineRule="auto"/>
        <w:rPr>
          <w:u w:val="single"/>
        </w:rPr>
      </w:pPr>
      <w:r>
        <w:rPr>
          <w:color w:val="000000"/>
          <w:u w:val="single"/>
        </w:rPr>
        <w:t>c</w:t>
      </w:r>
      <w:r w:rsidR="00630531">
        <w:rPr>
          <w:color w:val="000000"/>
          <w:u w:val="single"/>
        </w:rPr>
        <w:t xml:space="preserve">. </w:t>
      </w:r>
      <w:r w:rsidR="00D56F3B">
        <w:rPr>
          <w:u w:val="single"/>
        </w:rPr>
        <w:t xml:space="preserve">The notice shall include, at a minimum, </w:t>
      </w:r>
      <w:r w:rsidR="00F41055">
        <w:rPr>
          <w:u w:val="single"/>
        </w:rPr>
        <w:t xml:space="preserve">the </w:t>
      </w:r>
      <w:r w:rsidR="00F64049">
        <w:rPr>
          <w:u w:val="single"/>
        </w:rPr>
        <w:t>client’s</w:t>
      </w:r>
      <w:r w:rsidR="00F41055">
        <w:rPr>
          <w:u w:val="single"/>
        </w:rPr>
        <w:t xml:space="preserve"> name</w:t>
      </w:r>
      <w:r w:rsidR="00192B88">
        <w:rPr>
          <w:u w:val="single"/>
        </w:rPr>
        <w:t>;</w:t>
      </w:r>
      <w:r w:rsidR="007E39DE">
        <w:rPr>
          <w:u w:val="single"/>
        </w:rPr>
        <w:t xml:space="preserve"> information on how someone can request a reasonable accommodation;</w:t>
      </w:r>
      <w:r w:rsidR="00F41055">
        <w:rPr>
          <w:u w:val="single"/>
        </w:rPr>
        <w:t xml:space="preserve"> </w:t>
      </w:r>
      <w:r w:rsidR="00702A60">
        <w:rPr>
          <w:u w:val="single"/>
        </w:rPr>
        <w:t xml:space="preserve">the name and address of the shelter </w:t>
      </w:r>
      <w:r w:rsidR="00BE094F">
        <w:rPr>
          <w:u w:val="single"/>
        </w:rPr>
        <w:t xml:space="preserve">the </w:t>
      </w:r>
      <w:r w:rsidR="00F64049">
        <w:rPr>
          <w:u w:val="single"/>
        </w:rPr>
        <w:t>client</w:t>
      </w:r>
      <w:r w:rsidR="00BE094F">
        <w:rPr>
          <w:u w:val="single"/>
        </w:rPr>
        <w:t xml:space="preserve"> is </w:t>
      </w:r>
      <w:r w:rsidR="00702A60">
        <w:rPr>
          <w:u w:val="single"/>
        </w:rPr>
        <w:t>being transferred from</w:t>
      </w:r>
      <w:r w:rsidR="00F41055">
        <w:rPr>
          <w:u w:val="single"/>
        </w:rPr>
        <w:t>;</w:t>
      </w:r>
      <w:r w:rsidR="00702A60">
        <w:rPr>
          <w:u w:val="single"/>
        </w:rPr>
        <w:t xml:space="preserve"> the name and address of the shelter</w:t>
      </w:r>
      <w:r w:rsidR="00BE094F">
        <w:rPr>
          <w:u w:val="single"/>
        </w:rPr>
        <w:t xml:space="preserve"> the </w:t>
      </w:r>
      <w:r w:rsidR="00F64049">
        <w:rPr>
          <w:u w:val="single"/>
        </w:rPr>
        <w:t>client</w:t>
      </w:r>
      <w:r w:rsidR="00BE094F">
        <w:rPr>
          <w:u w:val="single"/>
        </w:rPr>
        <w:t xml:space="preserve"> is</w:t>
      </w:r>
      <w:r w:rsidR="00702A60">
        <w:rPr>
          <w:u w:val="single"/>
        </w:rPr>
        <w:t xml:space="preserve"> being transferred to</w:t>
      </w:r>
      <w:r w:rsidR="00F41055">
        <w:rPr>
          <w:u w:val="single"/>
        </w:rPr>
        <w:t xml:space="preserve">; </w:t>
      </w:r>
      <w:r w:rsidR="00D56F3B">
        <w:rPr>
          <w:u w:val="single"/>
        </w:rPr>
        <w:t>a specific reason</w:t>
      </w:r>
      <w:r w:rsidR="00F64049">
        <w:rPr>
          <w:u w:val="single"/>
        </w:rPr>
        <w:t xml:space="preserve"> or reasons</w:t>
      </w:r>
      <w:r w:rsidR="00D56F3B">
        <w:rPr>
          <w:u w:val="single"/>
        </w:rPr>
        <w:t xml:space="preserve"> for the transfer</w:t>
      </w:r>
      <w:r w:rsidR="00284D09">
        <w:rPr>
          <w:u w:val="single"/>
        </w:rPr>
        <w:t xml:space="preserve">; </w:t>
      </w:r>
      <w:r w:rsidR="00A41919">
        <w:rPr>
          <w:u w:val="single"/>
        </w:rPr>
        <w:t xml:space="preserve">relevant staff contact information at the shelter the </w:t>
      </w:r>
      <w:r w:rsidR="00F64049">
        <w:rPr>
          <w:u w:val="single"/>
        </w:rPr>
        <w:t>client</w:t>
      </w:r>
      <w:r w:rsidR="00A41919">
        <w:rPr>
          <w:u w:val="single"/>
        </w:rPr>
        <w:t xml:space="preserve"> is being transferred from</w:t>
      </w:r>
      <w:r w:rsidR="00BD0424">
        <w:rPr>
          <w:u w:val="single"/>
        </w:rPr>
        <w:t>;</w:t>
      </w:r>
      <w:r w:rsidR="00A27B6B">
        <w:rPr>
          <w:u w:val="single"/>
        </w:rPr>
        <w:t xml:space="preserve"> a statement informing the client that case </w:t>
      </w:r>
      <w:r w:rsidR="00192B88">
        <w:rPr>
          <w:u w:val="single"/>
        </w:rPr>
        <w:t xml:space="preserve">information </w:t>
      </w:r>
      <w:r w:rsidR="00A27B6B">
        <w:rPr>
          <w:u w:val="single"/>
        </w:rPr>
        <w:t xml:space="preserve"> </w:t>
      </w:r>
      <w:r w:rsidR="007E39DE">
        <w:rPr>
          <w:u w:val="single"/>
        </w:rPr>
        <w:t>including any current or pending housing vouchers</w:t>
      </w:r>
      <w:r w:rsidR="00A27B6B">
        <w:rPr>
          <w:u w:val="single"/>
        </w:rPr>
        <w:t xml:space="preserve"> they have been deemed eligible for</w:t>
      </w:r>
      <w:r w:rsidR="007E39DE">
        <w:rPr>
          <w:u w:val="single"/>
        </w:rPr>
        <w:t xml:space="preserve">, </w:t>
      </w:r>
      <w:r w:rsidR="00A27B6B">
        <w:rPr>
          <w:u w:val="single"/>
        </w:rPr>
        <w:t xml:space="preserve">completed </w:t>
      </w:r>
      <w:r w:rsidR="007E39DE">
        <w:rPr>
          <w:u w:val="single"/>
        </w:rPr>
        <w:t xml:space="preserve">supportive housing applications, apartment referrals to the department of housing preservation and development, </w:t>
      </w:r>
      <w:r w:rsidR="00A27B6B">
        <w:rPr>
          <w:u w:val="single"/>
        </w:rPr>
        <w:t>and other relevant information as part of their independent living plan</w:t>
      </w:r>
      <w:r w:rsidR="00192B88">
        <w:rPr>
          <w:u w:val="single"/>
        </w:rPr>
        <w:t xml:space="preserve"> </w:t>
      </w:r>
      <w:r w:rsidR="00AB5885">
        <w:rPr>
          <w:u w:val="single"/>
        </w:rPr>
        <w:t xml:space="preserve">and any reasonable accommodations on file </w:t>
      </w:r>
      <w:r w:rsidR="00192B88">
        <w:rPr>
          <w:u w:val="single"/>
        </w:rPr>
        <w:t>shall made available at the shelter they will be transferred to by a shelter case manager</w:t>
      </w:r>
      <w:r w:rsidR="00BD0424">
        <w:rPr>
          <w:u w:val="single"/>
        </w:rPr>
        <w:t>. The notice shall additionally include</w:t>
      </w:r>
      <w:r w:rsidR="007E39DE">
        <w:rPr>
          <w:u w:val="single"/>
        </w:rPr>
        <w:t xml:space="preserve"> language explaining the right to receive a copy of any documents from the individual’s case record and </w:t>
      </w:r>
      <w:r w:rsidR="00A27B6B">
        <w:rPr>
          <w:u w:val="single"/>
        </w:rPr>
        <w:t>how the client can</w:t>
      </w:r>
      <w:r w:rsidR="007E39DE">
        <w:rPr>
          <w:u w:val="single"/>
        </w:rPr>
        <w:t xml:space="preserve"> obtain a copy of such </w:t>
      </w:r>
      <w:r w:rsidR="00AB5885">
        <w:rPr>
          <w:u w:val="single"/>
        </w:rPr>
        <w:t>documents and information</w:t>
      </w:r>
      <w:r w:rsidR="007E39DE">
        <w:rPr>
          <w:u w:val="single"/>
        </w:rPr>
        <w:t>;</w:t>
      </w:r>
      <w:r w:rsidR="00F64049">
        <w:rPr>
          <w:u w:val="single"/>
        </w:rPr>
        <w:t xml:space="preserve"> </w:t>
      </w:r>
      <w:r w:rsidR="0075308B">
        <w:rPr>
          <w:u w:val="single"/>
        </w:rPr>
        <w:t xml:space="preserve">information on </w:t>
      </w:r>
      <w:r w:rsidR="0026559B">
        <w:rPr>
          <w:u w:val="single"/>
        </w:rPr>
        <w:t xml:space="preserve">how </w:t>
      </w:r>
      <w:r w:rsidR="00F64049">
        <w:rPr>
          <w:u w:val="single"/>
        </w:rPr>
        <w:t>the</w:t>
      </w:r>
      <w:r w:rsidR="0026559B">
        <w:rPr>
          <w:u w:val="single"/>
        </w:rPr>
        <w:t xml:space="preserve"> client can apply for mail forwarding services to a new address</w:t>
      </w:r>
      <w:r w:rsidR="00284D09">
        <w:rPr>
          <w:u w:val="single"/>
        </w:rPr>
        <w:t>;</w:t>
      </w:r>
      <w:r w:rsidR="00A41919">
        <w:rPr>
          <w:u w:val="single"/>
        </w:rPr>
        <w:t xml:space="preserve"> </w:t>
      </w:r>
      <w:r w:rsidR="00284D09">
        <w:rPr>
          <w:u w:val="single"/>
        </w:rPr>
        <w:t xml:space="preserve">information about how </w:t>
      </w:r>
      <w:r w:rsidR="00BB269E">
        <w:rPr>
          <w:u w:val="single"/>
        </w:rPr>
        <w:t>the</w:t>
      </w:r>
      <w:r w:rsidR="00284D09">
        <w:rPr>
          <w:u w:val="single"/>
        </w:rPr>
        <w:t xml:space="preserve"> client can access storage for their belongings; </w:t>
      </w:r>
      <w:r w:rsidR="00D56F3B">
        <w:rPr>
          <w:u w:val="single"/>
        </w:rPr>
        <w:t xml:space="preserve">and information about how the </w:t>
      </w:r>
      <w:r w:rsidR="003A74F6">
        <w:rPr>
          <w:u w:val="single"/>
        </w:rPr>
        <w:t xml:space="preserve">client </w:t>
      </w:r>
      <w:r w:rsidR="00D56F3B">
        <w:rPr>
          <w:u w:val="single"/>
        </w:rPr>
        <w:t xml:space="preserve">can </w:t>
      </w:r>
      <w:r w:rsidR="00192B88">
        <w:rPr>
          <w:u w:val="single"/>
        </w:rPr>
        <w:t xml:space="preserve">request </w:t>
      </w:r>
      <w:r w:rsidR="00F64049">
        <w:rPr>
          <w:u w:val="single"/>
        </w:rPr>
        <w:t xml:space="preserve">a fair hearing with the New </w:t>
      </w:r>
      <w:r w:rsidR="00F64049">
        <w:rPr>
          <w:u w:val="single"/>
        </w:rPr>
        <w:lastRenderedPageBreak/>
        <w:t xml:space="preserve">York </w:t>
      </w:r>
      <w:r w:rsidR="00BB269E">
        <w:rPr>
          <w:u w:val="single"/>
        </w:rPr>
        <w:t>s</w:t>
      </w:r>
      <w:r w:rsidR="00F64049">
        <w:rPr>
          <w:u w:val="single"/>
        </w:rPr>
        <w:t xml:space="preserve">tate </w:t>
      </w:r>
      <w:r w:rsidR="00BB269E">
        <w:rPr>
          <w:u w:val="single"/>
        </w:rPr>
        <w:t>o</w:t>
      </w:r>
      <w:r w:rsidR="00F64049">
        <w:rPr>
          <w:u w:val="single"/>
        </w:rPr>
        <w:t xml:space="preserve">ffice of </w:t>
      </w:r>
      <w:r w:rsidR="00BB269E">
        <w:rPr>
          <w:u w:val="single"/>
        </w:rPr>
        <w:t>t</w:t>
      </w:r>
      <w:r w:rsidR="00F64049">
        <w:rPr>
          <w:u w:val="single"/>
        </w:rPr>
        <w:t xml:space="preserve">emporary and </w:t>
      </w:r>
      <w:r w:rsidR="00BB269E">
        <w:rPr>
          <w:u w:val="single"/>
        </w:rPr>
        <w:t>d</w:t>
      </w:r>
      <w:r w:rsidR="00F64049">
        <w:rPr>
          <w:u w:val="single"/>
        </w:rPr>
        <w:t xml:space="preserve">isability </w:t>
      </w:r>
      <w:r w:rsidR="00BB269E">
        <w:rPr>
          <w:u w:val="single"/>
        </w:rPr>
        <w:t>a</w:t>
      </w:r>
      <w:r w:rsidR="00F64049">
        <w:rPr>
          <w:u w:val="single"/>
        </w:rPr>
        <w:t>ssistance if they wish to contest the adequacy of their shelter placement</w:t>
      </w:r>
      <w:r w:rsidR="00643900">
        <w:rPr>
          <w:u w:val="single"/>
        </w:rPr>
        <w:t xml:space="preserve"> or</w:t>
      </w:r>
      <w:r w:rsidR="00BB269E">
        <w:rPr>
          <w:u w:val="single"/>
        </w:rPr>
        <w:t xml:space="preserve"> </w:t>
      </w:r>
      <w:r w:rsidR="00643900">
        <w:rPr>
          <w:u w:val="single"/>
        </w:rPr>
        <w:t>any other opportunity afforded to clients by an agency or staff to review the transfer</w:t>
      </w:r>
      <w:r w:rsidR="00D56F3B">
        <w:rPr>
          <w:u w:val="single"/>
        </w:rPr>
        <w:t>.</w:t>
      </w:r>
    </w:p>
    <w:p w14:paraId="4B7DCAB1" w14:textId="21C877FF" w:rsidR="00FE325D" w:rsidRDefault="00CB3AD0" w:rsidP="00630531">
      <w:pPr>
        <w:spacing w:line="480" w:lineRule="auto"/>
        <w:rPr>
          <w:u w:val="single"/>
        </w:rPr>
      </w:pPr>
      <w:r>
        <w:rPr>
          <w:u w:val="single"/>
        </w:rPr>
        <w:t>d</w:t>
      </w:r>
      <w:r w:rsidR="00FE325D">
        <w:rPr>
          <w:u w:val="single"/>
        </w:rPr>
        <w:t xml:space="preserve">. For emergency transfers, affected </w:t>
      </w:r>
      <w:r w:rsidR="00F64049">
        <w:rPr>
          <w:u w:val="single"/>
        </w:rPr>
        <w:t xml:space="preserve">clients </w:t>
      </w:r>
      <w:r w:rsidR="00B675BA">
        <w:rPr>
          <w:u w:val="single"/>
        </w:rPr>
        <w:t xml:space="preserve">must be provided </w:t>
      </w:r>
      <w:r w:rsidR="00FE325D">
        <w:rPr>
          <w:u w:val="single"/>
        </w:rPr>
        <w:t>with</w:t>
      </w:r>
      <w:r w:rsidR="00F41055">
        <w:rPr>
          <w:u w:val="single"/>
        </w:rPr>
        <w:t>, at a minimum,</w:t>
      </w:r>
      <w:r w:rsidR="00FE325D">
        <w:rPr>
          <w:u w:val="single"/>
        </w:rPr>
        <w:t xml:space="preserve"> written </w:t>
      </w:r>
      <w:r>
        <w:rPr>
          <w:u w:val="single"/>
        </w:rPr>
        <w:t xml:space="preserve">notice </w:t>
      </w:r>
      <w:r w:rsidR="00FE325D">
        <w:rPr>
          <w:u w:val="single"/>
        </w:rPr>
        <w:t>of the transfer</w:t>
      </w:r>
      <w:r w:rsidR="00F41055">
        <w:rPr>
          <w:u w:val="single"/>
        </w:rPr>
        <w:t xml:space="preserve"> that includes the </w:t>
      </w:r>
      <w:r w:rsidR="00F64049">
        <w:rPr>
          <w:u w:val="single"/>
        </w:rPr>
        <w:t>client’s</w:t>
      </w:r>
      <w:r w:rsidR="00F41055">
        <w:rPr>
          <w:u w:val="single"/>
        </w:rPr>
        <w:t xml:space="preserve"> </w:t>
      </w:r>
      <w:r w:rsidR="00192B88">
        <w:rPr>
          <w:u w:val="single"/>
        </w:rPr>
        <w:t>name</w:t>
      </w:r>
      <w:r w:rsidR="00BB269E">
        <w:rPr>
          <w:u w:val="single"/>
        </w:rPr>
        <w:t>,</w:t>
      </w:r>
      <w:r w:rsidR="00192B88">
        <w:rPr>
          <w:u w:val="single"/>
        </w:rPr>
        <w:t xml:space="preserve"> </w:t>
      </w:r>
      <w:r w:rsidR="00F41055">
        <w:rPr>
          <w:u w:val="single"/>
        </w:rPr>
        <w:t xml:space="preserve">that the transfer is of an emergency nature and that additional documentation regarding the transfer will be provided to the </w:t>
      </w:r>
      <w:r w:rsidR="00F64049">
        <w:rPr>
          <w:u w:val="single"/>
        </w:rPr>
        <w:t>client</w:t>
      </w:r>
      <w:r w:rsidR="00F41055">
        <w:rPr>
          <w:u w:val="single"/>
        </w:rPr>
        <w:t>.</w:t>
      </w:r>
      <w:r w:rsidR="00FE325D">
        <w:rPr>
          <w:u w:val="single"/>
        </w:rPr>
        <w:t xml:space="preserve"> </w:t>
      </w:r>
      <w:r w:rsidR="00B048CC">
        <w:rPr>
          <w:u w:val="single"/>
        </w:rPr>
        <w:t>A</w:t>
      </w:r>
      <w:r w:rsidR="00F41055">
        <w:rPr>
          <w:u w:val="single"/>
        </w:rPr>
        <w:t xml:space="preserve">ffected </w:t>
      </w:r>
      <w:r w:rsidR="00F64049">
        <w:rPr>
          <w:u w:val="single"/>
        </w:rPr>
        <w:t>clients</w:t>
      </w:r>
      <w:r w:rsidR="00F41055">
        <w:rPr>
          <w:u w:val="single"/>
        </w:rPr>
        <w:t xml:space="preserve"> must also be provided with written documentation of the transfer in compliance with subdivision </w:t>
      </w:r>
      <w:r w:rsidR="00234F91">
        <w:rPr>
          <w:u w:val="single"/>
        </w:rPr>
        <w:t>c</w:t>
      </w:r>
      <w:r w:rsidR="00F41055">
        <w:rPr>
          <w:u w:val="single"/>
        </w:rPr>
        <w:t xml:space="preserve"> of this section</w:t>
      </w:r>
      <w:r w:rsidR="00B048CC" w:rsidRPr="00091824">
        <w:rPr>
          <w:u w:val="single"/>
        </w:rPr>
        <w:t xml:space="preserve">, where practicable, </w:t>
      </w:r>
      <w:r w:rsidR="00B048CC">
        <w:rPr>
          <w:u w:val="single"/>
        </w:rPr>
        <w:t>no later than 48 hours after the emergency transfer</w:t>
      </w:r>
      <w:r w:rsidR="00FE325D">
        <w:rPr>
          <w:u w:val="single"/>
        </w:rPr>
        <w:t>.</w:t>
      </w:r>
    </w:p>
    <w:p w14:paraId="33D5C344" w14:textId="2C183A28" w:rsidR="00D430BE" w:rsidRDefault="00D430BE" w:rsidP="00630531">
      <w:pPr>
        <w:spacing w:line="480" w:lineRule="auto"/>
        <w:rPr>
          <w:u w:val="single"/>
        </w:rPr>
      </w:pPr>
      <w:r>
        <w:rPr>
          <w:u w:val="single"/>
        </w:rPr>
        <w:t xml:space="preserve">e. Any requirements set forth in this section shall be implemented </w:t>
      </w:r>
      <w:r w:rsidR="00010713">
        <w:rPr>
          <w:u w:val="single"/>
        </w:rPr>
        <w:t>in compliance with</w:t>
      </w:r>
      <w:r>
        <w:rPr>
          <w:u w:val="single"/>
        </w:rPr>
        <w:t xml:space="preserve"> </w:t>
      </w:r>
      <w:r w:rsidR="00010713">
        <w:rPr>
          <w:u w:val="single"/>
        </w:rPr>
        <w:t>section 491.15 or section 900.15 of title 18 of the New York codes, rules and regulations</w:t>
      </w:r>
      <w:r w:rsidR="000A1AC4">
        <w:rPr>
          <w:u w:val="single"/>
        </w:rPr>
        <w:t xml:space="preserve"> or any successive </w:t>
      </w:r>
      <w:r w:rsidR="000B482C">
        <w:rPr>
          <w:u w:val="single"/>
        </w:rPr>
        <w:t>provisions in the New York codes, rules and regulations</w:t>
      </w:r>
      <w:r w:rsidR="00010713">
        <w:rPr>
          <w:u w:val="single"/>
        </w:rPr>
        <w:t>.</w:t>
      </w:r>
    </w:p>
    <w:p w14:paraId="2AB0CED0" w14:textId="1AA870B9" w:rsidR="00192B88" w:rsidRDefault="00010713" w:rsidP="00630531">
      <w:pPr>
        <w:spacing w:line="480" w:lineRule="auto"/>
        <w:rPr>
          <w:u w:val="single"/>
        </w:rPr>
      </w:pPr>
      <w:r>
        <w:rPr>
          <w:u w:val="single"/>
        </w:rPr>
        <w:t>f</w:t>
      </w:r>
      <w:r w:rsidR="000F3A8D">
        <w:rPr>
          <w:u w:val="single"/>
        </w:rPr>
        <w:t xml:space="preserve">. Reporting. </w:t>
      </w:r>
      <w:r w:rsidR="00BC5674">
        <w:rPr>
          <w:u w:val="single"/>
        </w:rPr>
        <w:t xml:space="preserve">On or before </w:t>
      </w:r>
      <w:r w:rsidR="00B048CC">
        <w:rPr>
          <w:u w:val="single"/>
        </w:rPr>
        <w:t>August 15, 2023</w:t>
      </w:r>
      <w:r w:rsidR="00BC5674">
        <w:rPr>
          <w:u w:val="single"/>
        </w:rPr>
        <w:t xml:space="preserve"> and annually thereafter, the department shall submit a report to the speaker of the council and publish on its website </w:t>
      </w:r>
      <w:r w:rsidR="0018728F">
        <w:rPr>
          <w:u w:val="single"/>
        </w:rPr>
        <w:t xml:space="preserve">the number of emergency transfers made in the previous </w:t>
      </w:r>
      <w:r w:rsidR="00B048CC">
        <w:rPr>
          <w:u w:val="single"/>
        </w:rPr>
        <w:t>fiscal</w:t>
      </w:r>
      <w:r w:rsidR="0018728F">
        <w:rPr>
          <w:u w:val="single"/>
        </w:rPr>
        <w:t xml:space="preserve"> year disaggregated by shelter </w:t>
      </w:r>
      <w:r w:rsidR="00B048CC">
        <w:rPr>
          <w:u w:val="single"/>
        </w:rPr>
        <w:t>type</w:t>
      </w:r>
      <w:r w:rsidR="0018728F">
        <w:rPr>
          <w:u w:val="single"/>
        </w:rPr>
        <w:t xml:space="preserve"> </w:t>
      </w:r>
      <w:r w:rsidR="00B048CC">
        <w:rPr>
          <w:u w:val="single"/>
        </w:rPr>
        <w:t xml:space="preserve">and the reason for the transfer as documented in the </w:t>
      </w:r>
      <w:r w:rsidR="00B048CC" w:rsidRPr="0056740B">
        <w:rPr>
          <w:u w:val="single"/>
        </w:rPr>
        <w:t>Client Assistance and Rehousing Enterprise System</w:t>
      </w:r>
      <w:r w:rsidR="00B048CC">
        <w:rPr>
          <w:u w:val="single"/>
        </w:rPr>
        <w:t xml:space="preserve">, and </w:t>
      </w:r>
      <w:r w:rsidR="0018728F">
        <w:rPr>
          <w:u w:val="single"/>
        </w:rPr>
        <w:t xml:space="preserve">the number of non-emergency transfers made in the previous </w:t>
      </w:r>
      <w:r w:rsidR="00B048CC">
        <w:rPr>
          <w:u w:val="single"/>
        </w:rPr>
        <w:t>fiscal</w:t>
      </w:r>
      <w:r w:rsidR="0018728F">
        <w:rPr>
          <w:u w:val="single"/>
        </w:rPr>
        <w:t xml:space="preserve"> year disaggregated by shelter </w:t>
      </w:r>
      <w:r w:rsidR="00B048CC">
        <w:rPr>
          <w:u w:val="single"/>
        </w:rPr>
        <w:t>type</w:t>
      </w:r>
      <w:r w:rsidR="0018728F">
        <w:rPr>
          <w:u w:val="single"/>
        </w:rPr>
        <w:t xml:space="preserve"> </w:t>
      </w:r>
      <w:r w:rsidR="00B048CC">
        <w:rPr>
          <w:u w:val="single"/>
        </w:rPr>
        <w:t xml:space="preserve">and the reason for the transfer as documented in the </w:t>
      </w:r>
      <w:r w:rsidR="00B048CC" w:rsidRPr="0056740B">
        <w:rPr>
          <w:u w:val="single"/>
        </w:rPr>
        <w:t>Client Assistance and Rehousing Enterprise System</w:t>
      </w:r>
      <w:r w:rsidR="00B048CC">
        <w:rPr>
          <w:u w:val="single"/>
        </w:rPr>
        <w:t>.</w:t>
      </w:r>
      <w:r w:rsidR="00B048CC" w:rsidDel="00B048CC">
        <w:rPr>
          <w:u w:val="single"/>
        </w:rPr>
        <w:t xml:space="preserve"> </w:t>
      </w:r>
    </w:p>
    <w:p w14:paraId="5BFAC37F" w14:textId="77777777" w:rsidR="00B048CC" w:rsidRPr="00D56F3B" w:rsidRDefault="00852A62" w:rsidP="00B048CC">
      <w:pPr>
        <w:spacing w:line="480" w:lineRule="auto"/>
        <w:rPr>
          <w:color w:val="000000"/>
          <w:u w:val="single"/>
        </w:rPr>
      </w:pPr>
      <w:r>
        <w:rPr>
          <w:u w:val="single"/>
        </w:rPr>
        <w:t>g</w:t>
      </w:r>
      <w:r w:rsidR="00B048CC">
        <w:rPr>
          <w:u w:val="single"/>
        </w:rPr>
        <w:t xml:space="preserve">. Shelter Capacity. The department shall </w:t>
      </w:r>
      <w:r w:rsidR="00192B88">
        <w:rPr>
          <w:u w:val="single"/>
        </w:rPr>
        <w:t xml:space="preserve">secure and </w:t>
      </w:r>
      <w:r w:rsidR="00B048CC">
        <w:rPr>
          <w:u w:val="single"/>
        </w:rPr>
        <w:t>maintain shelter system capacity necessary to comply with subdivision b and subdivision d of this section</w:t>
      </w:r>
      <w:r w:rsidR="00B048CC">
        <w:rPr>
          <w:color w:val="000000"/>
          <w:u w:val="single"/>
        </w:rPr>
        <w:t xml:space="preserve">. </w:t>
      </w:r>
    </w:p>
    <w:p w14:paraId="3E2AD958" w14:textId="52F4A1C2" w:rsidR="002F196D" w:rsidRDefault="000316C2" w:rsidP="00B048CC">
      <w:pPr>
        <w:spacing w:line="480" w:lineRule="auto"/>
        <w:rPr>
          <w:sz w:val="18"/>
          <w:szCs w:val="18"/>
        </w:rPr>
        <w:sectPr w:rsidR="002F196D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  <w:r>
        <w:t>§</w:t>
      </w:r>
      <w:r w:rsidR="005A2BE1">
        <w:t xml:space="preserve"> </w:t>
      </w:r>
      <w:r w:rsidR="0045579A">
        <w:t>2</w:t>
      </w:r>
      <w:r>
        <w:t xml:space="preserve">. This local law </w:t>
      </w:r>
      <w:r w:rsidR="00280A55">
        <w:t>take</w:t>
      </w:r>
      <w:r w:rsidR="0044120A">
        <w:t>s</w:t>
      </w:r>
      <w:r w:rsidR="00280A55">
        <w:t xml:space="preserve"> effect </w:t>
      </w:r>
      <w:r w:rsidR="00B048CC">
        <w:t xml:space="preserve">180 days after it becomes law. </w:t>
      </w:r>
    </w:p>
    <w:p w14:paraId="0CE0E8A0" w14:textId="77777777" w:rsidR="004E1CF2" w:rsidRDefault="00133145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ACK</w:t>
      </w:r>
    </w:p>
    <w:p w14:paraId="2B490BEE" w14:textId="77777777" w:rsidR="00E6392F" w:rsidRDefault="00E6392F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6999</w:t>
      </w:r>
    </w:p>
    <w:p w14:paraId="2C5B8014" w14:textId="77777777" w:rsidR="00616E4E" w:rsidRDefault="00643900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11/1/2021</w:t>
      </w:r>
    </w:p>
    <w:p w14:paraId="4D4D5834" w14:textId="3D0556D3" w:rsidR="00123676" w:rsidRDefault="00D400E2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11:38 pm</w:t>
      </w:r>
    </w:p>
    <w:sectPr w:rsidR="00123676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4E39" w14:textId="77777777" w:rsidR="00324DA7" w:rsidRDefault="00324DA7">
      <w:r>
        <w:separator/>
      </w:r>
    </w:p>
    <w:p w14:paraId="2D6C8DBE" w14:textId="77777777" w:rsidR="00324DA7" w:rsidRDefault="00324DA7"/>
  </w:endnote>
  <w:endnote w:type="continuationSeparator" w:id="0">
    <w:p w14:paraId="17E5062F" w14:textId="77777777" w:rsidR="00324DA7" w:rsidRDefault="00324DA7">
      <w:r>
        <w:continuationSeparator/>
      </w:r>
    </w:p>
    <w:p w14:paraId="482AE714" w14:textId="77777777" w:rsidR="00324DA7" w:rsidRDefault="00324DA7"/>
  </w:endnote>
  <w:endnote w:type="continuationNotice" w:id="1">
    <w:p w14:paraId="7C4B2E8F" w14:textId="77777777" w:rsidR="00324DA7" w:rsidRDefault="00324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2420" w14:textId="48316F6B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F70">
      <w:rPr>
        <w:noProof/>
      </w:rPr>
      <w:t>2</w:t>
    </w:r>
    <w:r>
      <w:rPr>
        <w:noProof/>
      </w:rPr>
      <w:fldChar w:fldCharType="end"/>
    </w:r>
  </w:p>
  <w:p w14:paraId="1AD4AA08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D0D4" w14:textId="77777777" w:rsidR="008F0B17" w:rsidRDefault="008F0B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327">
      <w:rPr>
        <w:noProof/>
      </w:rPr>
      <w:t>2</w:t>
    </w:r>
    <w:r>
      <w:rPr>
        <w:noProof/>
      </w:rPr>
      <w:fldChar w:fldCharType="end"/>
    </w:r>
  </w:p>
  <w:p w14:paraId="56E6493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CE62" w14:textId="77777777" w:rsidR="00324DA7" w:rsidRDefault="00324DA7">
      <w:r>
        <w:separator/>
      </w:r>
    </w:p>
    <w:p w14:paraId="1F0C6B95" w14:textId="77777777" w:rsidR="00324DA7" w:rsidRDefault="00324DA7"/>
  </w:footnote>
  <w:footnote w:type="continuationSeparator" w:id="0">
    <w:p w14:paraId="0BDFEBE3" w14:textId="77777777" w:rsidR="00324DA7" w:rsidRDefault="00324DA7">
      <w:r>
        <w:continuationSeparator/>
      </w:r>
    </w:p>
    <w:p w14:paraId="286921A8" w14:textId="77777777" w:rsidR="00324DA7" w:rsidRDefault="00324DA7"/>
  </w:footnote>
  <w:footnote w:type="continuationNotice" w:id="1">
    <w:p w14:paraId="126BA377" w14:textId="77777777" w:rsidR="00324DA7" w:rsidRDefault="00324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FDE7" w14:textId="77777777" w:rsidR="00DD3658" w:rsidRDefault="00DD3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40C"/>
    <w:multiLevelType w:val="hybridMultilevel"/>
    <w:tmpl w:val="9A34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7ECA"/>
    <w:multiLevelType w:val="hybridMultilevel"/>
    <w:tmpl w:val="AA7E2396"/>
    <w:lvl w:ilvl="0" w:tplc="6450E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9567B2"/>
    <w:multiLevelType w:val="hybridMultilevel"/>
    <w:tmpl w:val="6E78669C"/>
    <w:lvl w:ilvl="0" w:tplc="7DB0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2"/>
    <w:rsid w:val="00010713"/>
    <w:rsid w:val="000135A3"/>
    <w:rsid w:val="0002044A"/>
    <w:rsid w:val="000316C2"/>
    <w:rsid w:val="000502BC"/>
    <w:rsid w:val="00052C0F"/>
    <w:rsid w:val="00054604"/>
    <w:rsid w:val="00056BB0"/>
    <w:rsid w:val="00064AFB"/>
    <w:rsid w:val="0007510B"/>
    <w:rsid w:val="0009173E"/>
    <w:rsid w:val="00094A70"/>
    <w:rsid w:val="000A1AC4"/>
    <w:rsid w:val="000A2B5A"/>
    <w:rsid w:val="000A7115"/>
    <w:rsid w:val="000B482C"/>
    <w:rsid w:val="000C0F86"/>
    <w:rsid w:val="000F3A8D"/>
    <w:rsid w:val="000F617E"/>
    <w:rsid w:val="00100EAD"/>
    <w:rsid w:val="001013A5"/>
    <w:rsid w:val="001073BD"/>
    <w:rsid w:val="00115B31"/>
    <w:rsid w:val="00123676"/>
    <w:rsid w:val="00133145"/>
    <w:rsid w:val="001509BF"/>
    <w:rsid w:val="00150A27"/>
    <w:rsid w:val="00165627"/>
    <w:rsid w:val="00167107"/>
    <w:rsid w:val="0017568E"/>
    <w:rsid w:val="00180BD2"/>
    <w:rsid w:val="0018728F"/>
    <w:rsid w:val="00192B88"/>
    <w:rsid w:val="00195A80"/>
    <w:rsid w:val="0019635B"/>
    <w:rsid w:val="001979E3"/>
    <w:rsid w:val="001A1321"/>
    <w:rsid w:val="001A4BC5"/>
    <w:rsid w:val="001B4135"/>
    <w:rsid w:val="001B4C5D"/>
    <w:rsid w:val="001B7051"/>
    <w:rsid w:val="001D1279"/>
    <w:rsid w:val="001D4249"/>
    <w:rsid w:val="001F1389"/>
    <w:rsid w:val="001F2A1E"/>
    <w:rsid w:val="00203A64"/>
    <w:rsid w:val="00205741"/>
    <w:rsid w:val="00207323"/>
    <w:rsid w:val="0021642E"/>
    <w:rsid w:val="0022099D"/>
    <w:rsid w:val="00225AE3"/>
    <w:rsid w:val="002271BC"/>
    <w:rsid w:val="002300EB"/>
    <w:rsid w:val="00234F91"/>
    <w:rsid w:val="00235801"/>
    <w:rsid w:val="00235C67"/>
    <w:rsid w:val="002371D7"/>
    <w:rsid w:val="00241BC4"/>
    <w:rsid w:val="00241F94"/>
    <w:rsid w:val="0026559B"/>
    <w:rsid w:val="00270162"/>
    <w:rsid w:val="00280955"/>
    <w:rsid w:val="00280A55"/>
    <w:rsid w:val="00284BBC"/>
    <w:rsid w:val="00284D09"/>
    <w:rsid w:val="00284F52"/>
    <w:rsid w:val="00292C42"/>
    <w:rsid w:val="002C4435"/>
    <w:rsid w:val="002D1F83"/>
    <w:rsid w:val="002D3A72"/>
    <w:rsid w:val="002E34B2"/>
    <w:rsid w:val="002F196D"/>
    <w:rsid w:val="002F269C"/>
    <w:rsid w:val="00301E5D"/>
    <w:rsid w:val="00305653"/>
    <w:rsid w:val="003079F6"/>
    <w:rsid w:val="00324DA7"/>
    <w:rsid w:val="00326D45"/>
    <w:rsid w:val="0033027F"/>
    <w:rsid w:val="003377D9"/>
    <w:rsid w:val="0034473C"/>
    <w:rsid w:val="003447CD"/>
    <w:rsid w:val="00352CA7"/>
    <w:rsid w:val="00352FBB"/>
    <w:rsid w:val="0035317A"/>
    <w:rsid w:val="003720CF"/>
    <w:rsid w:val="003874A1"/>
    <w:rsid w:val="00387754"/>
    <w:rsid w:val="003A29EF"/>
    <w:rsid w:val="003A3043"/>
    <w:rsid w:val="003A74F6"/>
    <w:rsid w:val="003A75C2"/>
    <w:rsid w:val="003B76D4"/>
    <w:rsid w:val="003E740D"/>
    <w:rsid w:val="003F26F9"/>
    <w:rsid w:val="003F282D"/>
    <w:rsid w:val="003F28C1"/>
    <w:rsid w:val="003F3109"/>
    <w:rsid w:val="003F42BC"/>
    <w:rsid w:val="00411124"/>
    <w:rsid w:val="00414FAB"/>
    <w:rsid w:val="00432688"/>
    <w:rsid w:val="0044120A"/>
    <w:rsid w:val="00441CAB"/>
    <w:rsid w:val="00444642"/>
    <w:rsid w:val="00445672"/>
    <w:rsid w:val="00447A01"/>
    <w:rsid w:val="00450998"/>
    <w:rsid w:val="0045579A"/>
    <w:rsid w:val="004749DE"/>
    <w:rsid w:val="004948B5"/>
    <w:rsid w:val="00497A11"/>
    <w:rsid w:val="004A1B64"/>
    <w:rsid w:val="004B097C"/>
    <w:rsid w:val="004B1D51"/>
    <w:rsid w:val="004C1220"/>
    <w:rsid w:val="004E1CF2"/>
    <w:rsid w:val="004F3343"/>
    <w:rsid w:val="004F34DA"/>
    <w:rsid w:val="00523327"/>
    <w:rsid w:val="00531011"/>
    <w:rsid w:val="00533746"/>
    <w:rsid w:val="005375DB"/>
    <w:rsid w:val="00544C90"/>
    <w:rsid w:val="00550E96"/>
    <w:rsid w:val="00554C35"/>
    <w:rsid w:val="00560C98"/>
    <w:rsid w:val="00584D3F"/>
    <w:rsid w:val="00586366"/>
    <w:rsid w:val="00591808"/>
    <w:rsid w:val="005920F9"/>
    <w:rsid w:val="005A0595"/>
    <w:rsid w:val="005A1EBD"/>
    <w:rsid w:val="005A2BE1"/>
    <w:rsid w:val="005A4B7A"/>
    <w:rsid w:val="005B5DE4"/>
    <w:rsid w:val="005C6980"/>
    <w:rsid w:val="005D4A03"/>
    <w:rsid w:val="005E07E7"/>
    <w:rsid w:val="005E655A"/>
    <w:rsid w:val="005E7681"/>
    <w:rsid w:val="005F3AA6"/>
    <w:rsid w:val="00616E4E"/>
    <w:rsid w:val="00630531"/>
    <w:rsid w:val="00630AB3"/>
    <w:rsid w:val="00633BCB"/>
    <w:rsid w:val="00643900"/>
    <w:rsid w:val="00643E25"/>
    <w:rsid w:val="0064687C"/>
    <w:rsid w:val="006578AC"/>
    <w:rsid w:val="006662DF"/>
    <w:rsid w:val="00667E85"/>
    <w:rsid w:val="00681A93"/>
    <w:rsid w:val="00687344"/>
    <w:rsid w:val="00697497"/>
    <w:rsid w:val="006A2820"/>
    <w:rsid w:val="006A691C"/>
    <w:rsid w:val="006B2164"/>
    <w:rsid w:val="006B26AF"/>
    <w:rsid w:val="006B590A"/>
    <w:rsid w:val="006B5AB9"/>
    <w:rsid w:val="006B6EDF"/>
    <w:rsid w:val="006C2230"/>
    <w:rsid w:val="006D2188"/>
    <w:rsid w:val="006D3C51"/>
    <w:rsid w:val="006D3E3C"/>
    <w:rsid w:val="006D562C"/>
    <w:rsid w:val="006E7230"/>
    <w:rsid w:val="006E75E4"/>
    <w:rsid w:val="006F3F03"/>
    <w:rsid w:val="006F5CC7"/>
    <w:rsid w:val="00702A60"/>
    <w:rsid w:val="007101A2"/>
    <w:rsid w:val="007218EB"/>
    <w:rsid w:val="0072551E"/>
    <w:rsid w:val="00727F04"/>
    <w:rsid w:val="007427DF"/>
    <w:rsid w:val="00750030"/>
    <w:rsid w:val="0075308B"/>
    <w:rsid w:val="00753AD9"/>
    <w:rsid w:val="00755242"/>
    <w:rsid w:val="00767CD4"/>
    <w:rsid w:val="00770B9A"/>
    <w:rsid w:val="0077237D"/>
    <w:rsid w:val="00772E19"/>
    <w:rsid w:val="007970B0"/>
    <w:rsid w:val="007A1A40"/>
    <w:rsid w:val="007A6A06"/>
    <w:rsid w:val="007B293E"/>
    <w:rsid w:val="007B6497"/>
    <w:rsid w:val="007C1D9D"/>
    <w:rsid w:val="007C6893"/>
    <w:rsid w:val="007D582B"/>
    <w:rsid w:val="007E39DE"/>
    <w:rsid w:val="007E73C5"/>
    <w:rsid w:val="007E79D5"/>
    <w:rsid w:val="007F4087"/>
    <w:rsid w:val="007F7D53"/>
    <w:rsid w:val="00806569"/>
    <w:rsid w:val="0081218B"/>
    <w:rsid w:val="008167F4"/>
    <w:rsid w:val="00816F73"/>
    <w:rsid w:val="0083643D"/>
    <w:rsid w:val="0083646C"/>
    <w:rsid w:val="00840662"/>
    <w:rsid w:val="00852A62"/>
    <w:rsid w:val="00853328"/>
    <w:rsid w:val="00853E42"/>
    <w:rsid w:val="00870435"/>
    <w:rsid w:val="00872BFD"/>
    <w:rsid w:val="00880099"/>
    <w:rsid w:val="00883911"/>
    <w:rsid w:val="0089492F"/>
    <w:rsid w:val="008969E0"/>
    <w:rsid w:val="008A0DB1"/>
    <w:rsid w:val="008B107D"/>
    <w:rsid w:val="008E3048"/>
    <w:rsid w:val="008F0B17"/>
    <w:rsid w:val="008F1328"/>
    <w:rsid w:val="008F19FB"/>
    <w:rsid w:val="008F6444"/>
    <w:rsid w:val="00900ACB"/>
    <w:rsid w:val="00914970"/>
    <w:rsid w:val="00925D71"/>
    <w:rsid w:val="00932368"/>
    <w:rsid w:val="0094597D"/>
    <w:rsid w:val="00952ECC"/>
    <w:rsid w:val="009653F5"/>
    <w:rsid w:val="009822E5"/>
    <w:rsid w:val="00984B7C"/>
    <w:rsid w:val="00990ECE"/>
    <w:rsid w:val="009A4BDD"/>
    <w:rsid w:val="009B4B9A"/>
    <w:rsid w:val="009B7391"/>
    <w:rsid w:val="009D33C8"/>
    <w:rsid w:val="009D75D9"/>
    <w:rsid w:val="009E276D"/>
    <w:rsid w:val="009E2C81"/>
    <w:rsid w:val="009F3F70"/>
    <w:rsid w:val="00A03635"/>
    <w:rsid w:val="00A0435E"/>
    <w:rsid w:val="00A10451"/>
    <w:rsid w:val="00A13124"/>
    <w:rsid w:val="00A269C2"/>
    <w:rsid w:val="00A27B6B"/>
    <w:rsid w:val="00A41919"/>
    <w:rsid w:val="00A46ACE"/>
    <w:rsid w:val="00A51C51"/>
    <w:rsid w:val="00A531EC"/>
    <w:rsid w:val="00A62CAB"/>
    <w:rsid w:val="00A64EB3"/>
    <w:rsid w:val="00A654D0"/>
    <w:rsid w:val="00A7146C"/>
    <w:rsid w:val="00A764F2"/>
    <w:rsid w:val="00A86F1A"/>
    <w:rsid w:val="00AB5885"/>
    <w:rsid w:val="00AC0DA3"/>
    <w:rsid w:val="00AD1881"/>
    <w:rsid w:val="00AE212E"/>
    <w:rsid w:val="00AE3954"/>
    <w:rsid w:val="00AF39A5"/>
    <w:rsid w:val="00AF54EF"/>
    <w:rsid w:val="00B01BE7"/>
    <w:rsid w:val="00B048CC"/>
    <w:rsid w:val="00B1439A"/>
    <w:rsid w:val="00B15D83"/>
    <w:rsid w:val="00B1635A"/>
    <w:rsid w:val="00B30100"/>
    <w:rsid w:val="00B47730"/>
    <w:rsid w:val="00B57600"/>
    <w:rsid w:val="00B675BA"/>
    <w:rsid w:val="00B7518B"/>
    <w:rsid w:val="00BA0438"/>
    <w:rsid w:val="00BA4408"/>
    <w:rsid w:val="00BA599A"/>
    <w:rsid w:val="00BB269E"/>
    <w:rsid w:val="00BB3703"/>
    <w:rsid w:val="00BB5ECF"/>
    <w:rsid w:val="00BC1806"/>
    <w:rsid w:val="00BC5674"/>
    <w:rsid w:val="00BD0424"/>
    <w:rsid w:val="00BD4E49"/>
    <w:rsid w:val="00BE094F"/>
    <w:rsid w:val="00BF354E"/>
    <w:rsid w:val="00BF6DC6"/>
    <w:rsid w:val="00BF76F0"/>
    <w:rsid w:val="00C05E23"/>
    <w:rsid w:val="00C20C52"/>
    <w:rsid w:val="00C729C0"/>
    <w:rsid w:val="00C92A35"/>
    <w:rsid w:val="00C93F56"/>
    <w:rsid w:val="00C9525B"/>
    <w:rsid w:val="00C96A29"/>
    <w:rsid w:val="00C96CEE"/>
    <w:rsid w:val="00C9718F"/>
    <w:rsid w:val="00C973DC"/>
    <w:rsid w:val="00C97E45"/>
    <w:rsid w:val="00CA09E2"/>
    <w:rsid w:val="00CA2899"/>
    <w:rsid w:val="00CA30A1"/>
    <w:rsid w:val="00CA6B5C"/>
    <w:rsid w:val="00CB3AD0"/>
    <w:rsid w:val="00CB5F5F"/>
    <w:rsid w:val="00CC4498"/>
    <w:rsid w:val="00CC4ED3"/>
    <w:rsid w:val="00CE17F6"/>
    <w:rsid w:val="00CE2FF5"/>
    <w:rsid w:val="00CE5B06"/>
    <w:rsid w:val="00CE602C"/>
    <w:rsid w:val="00CF17D2"/>
    <w:rsid w:val="00D010FB"/>
    <w:rsid w:val="00D2024A"/>
    <w:rsid w:val="00D308F5"/>
    <w:rsid w:val="00D30A34"/>
    <w:rsid w:val="00D3235B"/>
    <w:rsid w:val="00D37C7E"/>
    <w:rsid w:val="00D400E2"/>
    <w:rsid w:val="00D430BE"/>
    <w:rsid w:val="00D52CE9"/>
    <w:rsid w:val="00D56F3B"/>
    <w:rsid w:val="00D63D2C"/>
    <w:rsid w:val="00D741D5"/>
    <w:rsid w:val="00D93045"/>
    <w:rsid w:val="00D94395"/>
    <w:rsid w:val="00D975BE"/>
    <w:rsid w:val="00DB6BFB"/>
    <w:rsid w:val="00DC57C0"/>
    <w:rsid w:val="00DD33CF"/>
    <w:rsid w:val="00DD3658"/>
    <w:rsid w:val="00DE0D49"/>
    <w:rsid w:val="00DE6E46"/>
    <w:rsid w:val="00DF1ECF"/>
    <w:rsid w:val="00DF6E60"/>
    <w:rsid w:val="00DF7976"/>
    <w:rsid w:val="00E0371D"/>
    <w:rsid w:val="00E0423E"/>
    <w:rsid w:val="00E06550"/>
    <w:rsid w:val="00E06BF8"/>
    <w:rsid w:val="00E13406"/>
    <w:rsid w:val="00E20534"/>
    <w:rsid w:val="00E310B4"/>
    <w:rsid w:val="00E34500"/>
    <w:rsid w:val="00E37C8F"/>
    <w:rsid w:val="00E42EF6"/>
    <w:rsid w:val="00E45050"/>
    <w:rsid w:val="00E611AD"/>
    <w:rsid w:val="00E611DE"/>
    <w:rsid w:val="00E6314F"/>
    <w:rsid w:val="00E6392F"/>
    <w:rsid w:val="00E728D0"/>
    <w:rsid w:val="00E7417F"/>
    <w:rsid w:val="00E842B0"/>
    <w:rsid w:val="00E84A4E"/>
    <w:rsid w:val="00E96AB4"/>
    <w:rsid w:val="00E97376"/>
    <w:rsid w:val="00EB5A95"/>
    <w:rsid w:val="00ED266D"/>
    <w:rsid w:val="00ED2846"/>
    <w:rsid w:val="00ED5E75"/>
    <w:rsid w:val="00ED619E"/>
    <w:rsid w:val="00ED6ADF"/>
    <w:rsid w:val="00ED6C29"/>
    <w:rsid w:val="00EE4B86"/>
    <w:rsid w:val="00EF1E62"/>
    <w:rsid w:val="00EF2B5D"/>
    <w:rsid w:val="00F0418B"/>
    <w:rsid w:val="00F127E5"/>
    <w:rsid w:val="00F209F3"/>
    <w:rsid w:val="00F20BEB"/>
    <w:rsid w:val="00F23C44"/>
    <w:rsid w:val="00F30BE4"/>
    <w:rsid w:val="00F33321"/>
    <w:rsid w:val="00F34140"/>
    <w:rsid w:val="00F41055"/>
    <w:rsid w:val="00F43CC5"/>
    <w:rsid w:val="00F64049"/>
    <w:rsid w:val="00FA5BBD"/>
    <w:rsid w:val="00FA63F7"/>
    <w:rsid w:val="00FB2FD6"/>
    <w:rsid w:val="00FC259D"/>
    <w:rsid w:val="00FC547E"/>
    <w:rsid w:val="00FD2886"/>
    <w:rsid w:val="00FD6288"/>
    <w:rsid w:val="00FE325D"/>
    <w:rsid w:val="00FF0E09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7E4E8"/>
  <w15:docId w15:val="{36E24EC8-6A7E-468C-A360-B61C57C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D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3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B8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4B8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EE4B86"/>
    <w:rPr>
      <w:vertAlign w:val="superscript"/>
    </w:rPr>
  </w:style>
  <w:style w:type="character" w:styleId="Hyperlink">
    <w:name w:val="Hyperlink"/>
    <w:uiPriority w:val="99"/>
    <w:unhideWhenUsed/>
    <w:rsid w:val="00123676"/>
    <w:rPr>
      <w:color w:val="0000FF"/>
      <w:u w:val="single"/>
    </w:rPr>
  </w:style>
  <w:style w:type="paragraph" w:styleId="Revision">
    <w:name w:val="Revision"/>
    <w:hidden/>
    <w:uiPriority w:val="99"/>
    <w:semiHidden/>
    <w:rsid w:val="000C0F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6432-574B-4B1F-A233-2997FA99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Jones, Wesley</dc:creator>
  <cp:keywords/>
  <cp:lastModifiedBy>Martin, William</cp:lastModifiedBy>
  <cp:revision>10</cp:revision>
  <cp:lastPrinted>2018-05-02T15:54:00Z</cp:lastPrinted>
  <dcterms:created xsi:type="dcterms:W3CDTF">2021-11-05T20:20:00Z</dcterms:created>
  <dcterms:modified xsi:type="dcterms:W3CDTF">2021-11-11T16:36:00Z</dcterms:modified>
</cp:coreProperties>
</file>