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7275B634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076738A8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Pr="0050382D" w:rsidRDefault="00AC3B91" w:rsidP="00AC3B91">
            <w:pPr>
              <w:rPr>
                <w:b/>
                <w:bCs/>
                <w:smallCaps/>
              </w:rPr>
            </w:pPr>
            <w:r w:rsidRPr="0050382D"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Pr="0050382D" w:rsidRDefault="00AC3B91" w:rsidP="00AC3B91">
            <w:pPr>
              <w:rPr>
                <w:b/>
                <w:bCs/>
                <w:smallCaps/>
              </w:rPr>
            </w:pPr>
            <w:r w:rsidRPr="0050382D">
              <w:rPr>
                <w:b/>
                <w:bCs/>
                <w:smallCaps/>
              </w:rPr>
              <w:t>Finance Division</w:t>
            </w:r>
          </w:p>
          <w:p w14:paraId="685A210A" w14:textId="3ADEEADB" w:rsidR="00AC3B91" w:rsidRPr="0050382D" w:rsidRDefault="00A46F43" w:rsidP="00AC3B91">
            <w:pPr>
              <w:spacing w:before="120"/>
              <w:rPr>
                <w:bCs/>
                <w:smallCaps/>
              </w:rPr>
            </w:pPr>
            <w:r w:rsidRPr="0050382D">
              <w:rPr>
                <w:bCs/>
                <w:smallCaps/>
              </w:rPr>
              <w:t xml:space="preserve">Latonia </w:t>
            </w:r>
            <w:r w:rsidR="003F2AF7" w:rsidRPr="0050382D">
              <w:rPr>
                <w:bCs/>
                <w:smallCaps/>
              </w:rPr>
              <w:t>Mc</w:t>
            </w:r>
            <w:r w:rsidR="003F2AF7">
              <w:rPr>
                <w:bCs/>
                <w:smallCaps/>
              </w:rPr>
              <w:t>K</w:t>
            </w:r>
            <w:r w:rsidR="003F2AF7" w:rsidRPr="0050382D">
              <w:rPr>
                <w:bCs/>
                <w:smallCaps/>
              </w:rPr>
              <w:t>inney</w:t>
            </w:r>
            <w:r w:rsidR="00AC3B91" w:rsidRPr="0050382D">
              <w:rPr>
                <w:bCs/>
                <w:smallCaps/>
              </w:rPr>
              <w:t>, Director</w:t>
            </w:r>
          </w:p>
          <w:p w14:paraId="64B27411" w14:textId="77777777" w:rsidR="00AC3B91" w:rsidRPr="0050382D" w:rsidRDefault="00AC3B91" w:rsidP="00AC3B91">
            <w:pPr>
              <w:spacing w:before="120"/>
            </w:pPr>
            <w:r w:rsidRPr="0050382D"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50382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12F36466" w:rsidR="00AC3B91" w:rsidRPr="00251588" w:rsidRDefault="003F2AF7" w:rsidP="00251588">
            <w:pPr>
              <w:pStyle w:val="NoSpacing"/>
              <w:spacing w:before="80"/>
            </w:pPr>
            <w:r>
              <w:rPr>
                <w:b/>
                <w:bCs/>
                <w:smallCaps/>
              </w:rPr>
              <w:t xml:space="preserve">Proposed </w:t>
            </w:r>
            <w:r w:rsidR="00AC3B91" w:rsidRPr="0050382D">
              <w:rPr>
                <w:b/>
                <w:bCs/>
                <w:smallCaps/>
              </w:rPr>
              <w:t>Int.</w:t>
            </w:r>
            <w:r w:rsidR="00DA67EA" w:rsidRPr="0050382D">
              <w:rPr>
                <w:b/>
                <w:bCs/>
                <w:smallCaps/>
              </w:rPr>
              <w:t xml:space="preserve"> No</w:t>
            </w:r>
            <w:r w:rsidR="00492239">
              <w:rPr>
                <w:b/>
                <w:bCs/>
                <w:smallCaps/>
              </w:rPr>
              <w:t>.:</w:t>
            </w:r>
            <w:r w:rsidR="00DA67EA" w:rsidRPr="0050382D">
              <w:rPr>
                <w:b/>
                <w:bCs/>
                <w:smallCaps/>
              </w:rPr>
              <w:t xml:space="preserve"> </w:t>
            </w:r>
            <w:r w:rsidR="00EF3E3D">
              <w:t>1663</w:t>
            </w:r>
            <w:r w:rsidR="00FE1E81">
              <w:t>-A</w:t>
            </w:r>
          </w:p>
          <w:p w14:paraId="29B2340F" w14:textId="2143583E" w:rsidR="00352252" w:rsidRPr="0050382D" w:rsidRDefault="00AC3B91" w:rsidP="00EF0694">
            <w:pPr>
              <w:spacing w:before="120"/>
            </w:pPr>
            <w:r w:rsidRPr="0050382D">
              <w:rPr>
                <w:b/>
                <w:bCs/>
                <w:smallCaps/>
              </w:rPr>
              <w:t>Committee</w:t>
            </w:r>
            <w:r w:rsidRPr="0050382D">
              <w:rPr>
                <w:b/>
                <w:bCs/>
              </w:rPr>
              <w:t xml:space="preserve">: </w:t>
            </w:r>
            <w:r w:rsidR="00EF3E3D">
              <w:t>Economic Development</w:t>
            </w:r>
          </w:p>
        </w:tc>
      </w:tr>
      <w:tr w:rsidR="00352252" w14:paraId="0990D0AB" w14:textId="77777777" w:rsidTr="7275B634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5B35C4B0" w14:textId="26C89595" w:rsidR="00736812" w:rsidRPr="00271D4E" w:rsidRDefault="00352252" w:rsidP="00271D4E">
            <w:pPr>
              <w:suppressLineNumbers/>
              <w:autoSpaceDE w:val="0"/>
              <w:autoSpaceDN w:val="0"/>
              <w:adjustRightInd w:val="0"/>
              <w:rPr>
                <w:color w:val="000000"/>
                <w:lang w:val="en"/>
              </w:rPr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</w:t>
            </w:r>
            <w:r w:rsidR="00271D4E">
              <w:rPr>
                <w:color w:val="000000"/>
                <w:lang w:val="en"/>
              </w:rPr>
              <w:t>t</w:t>
            </w:r>
            <w:r w:rsidR="00271D4E" w:rsidRPr="00F355AB">
              <w:rPr>
                <w:color w:val="000000"/>
                <w:lang w:val="en"/>
              </w:rPr>
              <w:t xml:space="preserve">o amend the New York city charter, in relation to </w:t>
            </w:r>
            <w:r w:rsidR="00271D4E">
              <w:rPr>
                <w:color w:val="000000"/>
                <w:lang w:val="en"/>
              </w:rPr>
              <w:t>establishing</w:t>
            </w:r>
            <w:r w:rsidR="00271D4E" w:rsidRPr="00F355AB">
              <w:rPr>
                <w:color w:val="000000"/>
                <w:lang w:val="en"/>
              </w:rPr>
              <w:t xml:space="preserve"> an office of </w:t>
            </w:r>
            <w:r w:rsidR="00271D4E">
              <w:rPr>
                <w:color w:val="000000"/>
                <w:lang w:val="en"/>
              </w:rPr>
              <w:t>urban agriculture and an urban agriculture advisory board</w:t>
            </w:r>
          </w:p>
          <w:p w14:paraId="29614713" w14:textId="088E6E9A" w:rsidR="008C27EE" w:rsidRPr="00326FF1" w:rsidRDefault="008C27EE" w:rsidP="005E0984"/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21E1DCE6" w:rsidR="00D323D0" w:rsidRPr="00F42D14" w:rsidRDefault="00352252" w:rsidP="001B0AA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1B0AA7">
              <w:rPr>
                <w:bCs/>
              </w:rPr>
              <w:t>By Council Member</w:t>
            </w:r>
            <w:r w:rsidR="00FE1E81">
              <w:rPr>
                <w:bCs/>
              </w:rPr>
              <w:t>s</w:t>
            </w:r>
            <w:r w:rsidR="00AC7826">
              <w:rPr>
                <w:bCs/>
              </w:rPr>
              <w:t xml:space="preserve"> </w:t>
            </w:r>
            <w:r w:rsidR="00271D4E">
              <w:rPr>
                <w:color w:val="000000"/>
                <w:highlight w:val="white"/>
              </w:rPr>
              <w:t>Kallos, Ayala, Grodenchik, Gibson, Lander and Rosenthal</w:t>
            </w:r>
          </w:p>
        </w:tc>
      </w:tr>
      <w:tr w:rsidR="00352252" w14:paraId="4445F629" w14:textId="77777777" w:rsidTr="7275B634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146ACFF3" w14:textId="557CB331" w:rsidR="00673E23" w:rsidRPr="00CE1CFF" w:rsidRDefault="00352252" w:rsidP="00B82296">
            <w:pPr>
              <w:suppressLineNumbers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E1CFF">
              <w:rPr>
                <w:b/>
                <w:bCs/>
                <w:smallCaps/>
              </w:rPr>
              <w:t>Summary of Legislation</w:t>
            </w:r>
            <w:r w:rsidR="00B70870" w:rsidRPr="00CE1CFF">
              <w:rPr>
                <w:b/>
                <w:bCs/>
                <w:smallCaps/>
              </w:rPr>
              <w:t>:</w:t>
            </w:r>
            <w:r w:rsidR="005977C3" w:rsidRPr="00CE1CFF">
              <w:rPr>
                <w:b/>
                <w:bCs/>
                <w:smallCaps/>
              </w:rPr>
              <w:t xml:space="preserve"> </w:t>
            </w:r>
            <w:r w:rsidR="00276A11" w:rsidRPr="00CE1CFF">
              <w:t xml:space="preserve">Proposed </w:t>
            </w:r>
            <w:r w:rsidR="00251588" w:rsidRPr="00CE1CFF">
              <w:t>Int. No.</w:t>
            </w:r>
            <w:r w:rsidR="00C22755" w:rsidRPr="00CE1CFF">
              <w:t xml:space="preserve"> 1663</w:t>
            </w:r>
            <w:r w:rsidR="00276A11" w:rsidRPr="00CE1CFF">
              <w:t>-A</w:t>
            </w:r>
            <w:r w:rsidR="00251588" w:rsidRPr="00CE1CFF">
              <w:t xml:space="preserve"> </w:t>
            </w:r>
            <w:r w:rsidR="00327421" w:rsidRPr="00CE1CFF">
              <w:t xml:space="preserve">would </w:t>
            </w:r>
            <w:r w:rsidR="00C22755" w:rsidRPr="00CE1CFF">
              <w:rPr>
                <w:color w:val="000000"/>
                <w:lang w:val="en"/>
              </w:rPr>
              <w:t xml:space="preserve">establish an </w:t>
            </w:r>
            <w:r w:rsidR="000318D2">
              <w:rPr>
                <w:color w:val="000000"/>
                <w:lang w:val="en"/>
              </w:rPr>
              <w:t>O</w:t>
            </w:r>
            <w:r w:rsidR="00C22755" w:rsidRPr="00CE1CFF">
              <w:rPr>
                <w:color w:val="000000"/>
                <w:lang w:val="en"/>
              </w:rPr>
              <w:t xml:space="preserve">ffice of </w:t>
            </w:r>
            <w:r w:rsidR="000318D2">
              <w:rPr>
                <w:color w:val="000000"/>
                <w:lang w:val="en"/>
              </w:rPr>
              <w:t>U</w:t>
            </w:r>
            <w:r w:rsidR="00C22755" w:rsidRPr="00CE1CFF">
              <w:rPr>
                <w:color w:val="000000"/>
                <w:lang w:val="en"/>
              </w:rPr>
              <w:t xml:space="preserve">rban </w:t>
            </w:r>
            <w:r w:rsidR="000318D2">
              <w:rPr>
                <w:color w:val="000000"/>
                <w:lang w:val="en"/>
              </w:rPr>
              <w:t>A</w:t>
            </w:r>
            <w:r w:rsidR="00C22755" w:rsidRPr="00CE1CFF">
              <w:rPr>
                <w:color w:val="000000"/>
                <w:lang w:val="en"/>
              </w:rPr>
              <w:t xml:space="preserve">griculture </w:t>
            </w:r>
            <w:r w:rsidR="00CC2668">
              <w:rPr>
                <w:color w:val="000000"/>
                <w:lang w:val="en"/>
              </w:rPr>
              <w:t xml:space="preserve">(“OUA or Office”) and </w:t>
            </w:r>
            <w:r w:rsidR="00CC2668" w:rsidRPr="00CC2668">
              <w:rPr>
                <w:color w:val="000000"/>
                <w:lang w:val="en"/>
              </w:rPr>
              <w:t>an Urban Agriculture Advisory Board</w:t>
            </w:r>
            <w:r w:rsidR="00E119AB">
              <w:rPr>
                <w:color w:val="000000"/>
                <w:lang w:val="en"/>
              </w:rPr>
              <w:t xml:space="preserve"> (“UAAB”)</w:t>
            </w:r>
            <w:r w:rsidR="00CC2668">
              <w:rPr>
                <w:color w:val="000000"/>
                <w:lang w:val="en"/>
              </w:rPr>
              <w:t xml:space="preserve">. 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The </w:t>
            </w:r>
            <w:r w:rsidR="00CC2668">
              <w:rPr>
                <w:color w:val="000000"/>
                <w:shd w:val="clear" w:color="auto" w:fill="FFFFFF"/>
              </w:rPr>
              <w:t xml:space="preserve">OUA would be within </w:t>
            </w:r>
            <w:r w:rsidR="00CC2668" w:rsidRPr="00CE1CFF">
              <w:rPr>
                <w:color w:val="000000"/>
                <w:shd w:val="clear" w:color="auto" w:fill="FFFFFF"/>
              </w:rPr>
              <w:t xml:space="preserve">the </w:t>
            </w:r>
            <w:r w:rsidR="00CC2668">
              <w:rPr>
                <w:color w:val="000000"/>
                <w:shd w:val="clear" w:color="auto" w:fill="FFFFFF"/>
              </w:rPr>
              <w:t>O</w:t>
            </w:r>
            <w:r w:rsidR="00CC2668" w:rsidRPr="00CE1CFF">
              <w:rPr>
                <w:color w:val="000000"/>
                <w:shd w:val="clear" w:color="auto" w:fill="FFFFFF"/>
              </w:rPr>
              <w:t xml:space="preserve">ffice of </w:t>
            </w:r>
            <w:r w:rsidR="00CC2668">
              <w:rPr>
                <w:color w:val="000000"/>
                <w:shd w:val="clear" w:color="auto" w:fill="FFFFFF"/>
              </w:rPr>
              <w:t>L</w:t>
            </w:r>
            <w:r w:rsidR="00CC2668" w:rsidRPr="00CE1CFF">
              <w:rPr>
                <w:color w:val="000000"/>
                <w:shd w:val="clear" w:color="auto" w:fill="FFFFFF"/>
              </w:rPr>
              <w:t xml:space="preserve">ong-term </w:t>
            </w:r>
            <w:r w:rsidR="00CC2668">
              <w:rPr>
                <w:color w:val="000000"/>
                <w:shd w:val="clear" w:color="auto" w:fill="FFFFFF"/>
              </w:rPr>
              <w:t>P</w:t>
            </w:r>
            <w:r w:rsidR="00CC2668" w:rsidRPr="00CE1CFF">
              <w:rPr>
                <w:color w:val="000000"/>
                <w:shd w:val="clear" w:color="auto" w:fill="FFFFFF"/>
              </w:rPr>
              <w:t xml:space="preserve">lanning and </w:t>
            </w:r>
            <w:r w:rsidR="00CC2668">
              <w:rPr>
                <w:color w:val="000000"/>
                <w:shd w:val="clear" w:color="auto" w:fill="FFFFFF"/>
              </w:rPr>
              <w:t>S</w:t>
            </w:r>
            <w:r w:rsidR="00CC2668" w:rsidRPr="00CE1CFF">
              <w:rPr>
                <w:color w:val="000000"/>
                <w:shd w:val="clear" w:color="auto" w:fill="FFFFFF"/>
              </w:rPr>
              <w:t>ustainability</w:t>
            </w:r>
            <w:r w:rsidR="00E119AB">
              <w:rPr>
                <w:color w:val="000000"/>
                <w:shd w:val="clear" w:color="auto" w:fill="FFFFFF"/>
              </w:rPr>
              <w:t xml:space="preserve"> (“OLTPS”)</w:t>
            </w:r>
            <w:r w:rsidR="00CC2668">
              <w:rPr>
                <w:color w:val="000000"/>
                <w:shd w:val="clear" w:color="auto" w:fill="FFFFFF"/>
              </w:rPr>
              <w:t xml:space="preserve"> and would </w:t>
            </w:r>
            <w:r w:rsidR="00F64276" w:rsidRPr="00CE1CFF">
              <w:rPr>
                <w:color w:val="000000"/>
                <w:shd w:val="clear" w:color="auto" w:fill="FFFFFF"/>
              </w:rPr>
              <w:t>conduct education and outreach to promote urban agriculture and inform the public about urban agriculture, its benefits</w:t>
            </w:r>
            <w:r w:rsidR="003C1A97">
              <w:rPr>
                <w:color w:val="000000"/>
                <w:shd w:val="clear" w:color="auto" w:fill="FFFFFF"/>
              </w:rPr>
              <w:t>,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 and ways to participate. </w:t>
            </w:r>
            <w:r w:rsidR="00673E23">
              <w:rPr>
                <w:color w:val="000000"/>
                <w:shd w:val="clear" w:color="auto" w:fill="FFFFFF"/>
              </w:rPr>
              <w:t xml:space="preserve">The </w:t>
            </w:r>
            <w:r w:rsidR="00CC2668">
              <w:rPr>
                <w:color w:val="000000"/>
                <w:shd w:val="clear" w:color="auto" w:fill="FFFFFF"/>
              </w:rPr>
              <w:t>O</w:t>
            </w:r>
            <w:r w:rsidR="00673E23">
              <w:rPr>
                <w:color w:val="000000"/>
                <w:shd w:val="clear" w:color="auto" w:fill="FFFFFF"/>
              </w:rPr>
              <w:t xml:space="preserve">ffice </w:t>
            </w:r>
            <w:r w:rsidR="00F64276" w:rsidRPr="00CE1CFF">
              <w:rPr>
                <w:color w:val="000000"/>
                <w:shd w:val="clear" w:color="auto" w:fill="FFFFFF"/>
              </w:rPr>
              <w:t>w</w:t>
            </w:r>
            <w:r w:rsidR="00E119AB">
              <w:rPr>
                <w:color w:val="000000"/>
                <w:shd w:val="clear" w:color="auto" w:fill="FFFFFF"/>
              </w:rPr>
              <w:t>ould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 receive comments and respond to inquiries related to urban agriculture</w:t>
            </w:r>
            <w:r w:rsidR="00673E23">
              <w:rPr>
                <w:color w:val="000000"/>
                <w:shd w:val="clear" w:color="auto" w:fill="FFFFFF"/>
              </w:rPr>
              <w:t xml:space="preserve"> as well as </w:t>
            </w:r>
            <w:r w:rsidR="00F64276" w:rsidRPr="00CE1CFF">
              <w:rPr>
                <w:color w:val="000000"/>
                <w:shd w:val="clear" w:color="auto" w:fill="FFFFFF"/>
              </w:rPr>
              <w:t>make recommendations with respect to protecting and expanding urban agriculture for the purposes of sustainability, resiliency, environmental protection, health, community development</w:t>
            </w:r>
            <w:r w:rsidR="009A1C36">
              <w:rPr>
                <w:color w:val="000000"/>
                <w:shd w:val="clear" w:color="auto" w:fill="FFFFFF"/>
              </w:rPr>
              <w:t>,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 and small business planning. </w:t>
            </w:r>
            <w:r w:rsidR="00673E23">
              <w:rPr>
                <w:color w:val="000000"/>
                <w:shd w:val="clear" w:color="auto" w:fill="FFFFFF"/>
              </w:rPr>
              <w:t xml:space="preserve">The </w:t>
            </w:r>
            <w:r w:rsidR="00E119AB">
              <w:rPr>
                <w:color w:val="000000"/>
                <w:shd w:val="clear" w:color="auto" w:fill="FFFFFF"/>
              </w:rPr>
              <w:t>O</w:t>
            </w:r>
            <w:r w:rsidR="00673E23">
              <w:rPr>
                <w:color w:val="000000"/>
                <w:shd w:val="clear" w:color="auto" w:fill="FFFFFF"/>
              </w:rPr>
              <w:t xml:space="preserve">ffice </w:t>
            </w:r>
            <w:r w:rsidR="00F64276" w:rsidRPr="00CE1CFF">
              <w:rPr>
                <w:color w:val="000000"/>
                <w:shd w:val="clear" w:color="auto" w:fill="FFFFFF"/>
              </w:rPr>
              <w:t>w</w:t>
            </w:r>
            <w:r w:rsidR="00E119AB">
              <w:rPr>
                <w:color w:val="000000"/>
                <w:shd w:val="clear" w:color="auto" w:fill="FFFFFF"/>
              </w:rPr>
              <w:t>ould</w:t>
            </w:r>
            <w:r w:rsidR="00673E23">
              <w:rPr>
                <w:color w:val="000000"/>
                <w:shd w:val="clear" w:color="auto" w:fill="FFFFFF"/>
              </w:rPr>
              <w:t xml:space="preserve"> also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 establish a program in coordination with the </w:t>
            </w:r>
            <w:r w:rsidR="00673E23">
              <w:rPr>
                <w:color w:val="000000"/>
                <w:shd w:val="clear" w:color="auto" w:fill="FFFFFF"/>
              </w:rPr>
              <w:t>Mayor’s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 </w:t>
            </w:r>
            <w:r w:rsidR="00673E23">
              <w:rPr>
                <w:color w:val="000000"/>
                <w:shd w:val="clear" w:color="auto" w:fill="FFFFFF"/>
              </w:rPr>
              <w:t>O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ffice of </w:t>
            </w:r>
            <w:r w:rsidR="00673E23">
              <w:rPr>
                <w:color w:val="000000"/>
                <w:shd w:val="clear" w:color="auto" w:fill="FFFFFF"/>
              </w:rPr>
              <w:t>F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ood </w:t>
            </w:r>
            <w:r w:rsidR="00673E23">
              <w:rPr>
                <w:color w:val="000000"/>
                <w:shd w:val="clear" w:color="auto" w:fill="FFFFFF"/>
              </w:rPr>
              <w:t>P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olicy, </w:t>
            </w:r>
            <w:r w:rsidR="00673E23">
              <w:rPr>
                <w:color w:val="000000"/>
                <w:shd w:val="clear" w:color="auto" w:fill="FFFFFF"/>
              </w:rPr>
              <w:t>D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epartment of </w:t>
            </w:r>
            <w:r w:rsidR="00673E23">
              <w:rPr>
                <w:color w:val="000000"/>
                <w:shd w:val="clear" w:color="auto" w:fill="FFFFFF"/>
              </w:rPr>
              <w:t>P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arks and </w:t>
            </w:r>
            <w:r w:rsidR="00673E23">
              <w:rPr>
                <w:color w:val="000000"/>
                <w:shd w:val="clear" w:color="auto" w:fill="FFFFFF"/>
              </w:rPr>
              <w:t>R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ecreation, </w:t>
            </w:r>
            <w:r w:rsidR="00673E23">
              <w:rPr>
                <w:color w:val="000000"/>
                <w:shd w:val="clear" w:color="auto" w:fill="FFFFFF"/>
              </w:rPr>
              <w:t>D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epartment of </w:t>
            </w:r>
            <w:r w:rsidR="00673E23">
              <w:rPr>
                <w:color w:val="000000"/>
                <w:shd w:val="clear" w:color="auto" w:fill="FFFFFF"/>
              </w:rPr>
              <w:t>C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ity </w:t>
            </w:r>
            <w:r w:rsidR="00673E23">
              <w:rPr>
                <w:color w:val="000000"/>
                <w:shd w:val="clear" w:color="auto" w:fill="FFFFFF"/>
              </w:rPr>
              <w:t>P</w:t>
            </w:r>
            <w:r w:rsidR="00F64276" w:rsidRPr="00CE1CFF">
              <w:rPr>
                <w:color w:val="000000"/>
                <w:shd w:val="clear" w:color="auto" w:fill="FFFFFF"/>
              </w:rPr>
              <w:t>lanning and other relevant agencies to support research for advancing urban agriculture legislation and policy within the city; and to receive and respond to comments, questions</w:t>
            </w:r>
            <w:r w:rsidR="000876A9">
              <w:rPr>
                <w:color w:val="000000"/>
                <w:shd w:val="clear" w:color="auto" w:fill="FFFFFF"/>
              </w:rPr>
              <w:t>,</w:t>
            </w:r>
            <w:r w:rsidR="00F64276" w:rsidRPr="00CE1CFF">
              <w:rPr>
                <w:color w:val="000000"/>
                <w:shd w:val="clear" w:color="auto" w:fill="FFFFFF"/>
              </w:rPr>
              <w:t xml:space="preserve"> and complaints with respect to such program.</w:t>
            </w:r>
            <w:r w:rsidR="00E119AB">
              <w:rPr>
                <w:color w:val="000000"/>
                <w:shd w:val="clear" w:color="auto" w:fill="FFFFFF"/>
              </w:rPr>
              <w:t xml:space="preserve"> The </w:t>
            </w:r>
            <w:r w:rsidR="00673E23">
              <w:rPr>
                <w:shd w:val="clear" w:color="auto" w:fill="FFFFFF"/>
              </w:rPr>
              <w:t xml:space="preserve">proposed legislation would </w:t>
            </w:r>
            <w:r w:rsidR="00E119AB">
              <w:rPr>
                <w:shd w:val="clear" w:color="auto" w:fill="FFFFFF"/>
              </w:rPr>
              <w:t xml:space="preserve">also </w:t>
            </w:r>
            <w:r w:rsidR="00673E23">
              <w:rPr>
                <w:shd w:val="clear" w:color="auto" w:fill="FFFFFF"/>
              </w:rPr>
              <w:t xml:space="preserve">require </w:t>
            </w:r>
            <w:r w:rsidR="00E119AB">
              <w:rPr>
                <w:shd w:val="clear" w:color="auto" w:fill="FFFFFF"/>
              </w:rPr>
              <w:t>the</w:t>
            </w:r>
            <w:r w:rsidR="00B37ECE" w:rsidRPr="00CE1CFF">
              <w:rPr>
                <w:shd w:val="clear" w:color="auto" w:fill="FFFFFF"/>
              </w:rPr>
              <w:t xml:space="preserve"> establish</w:t>
            </w:r>
            <w:r w:rsidR="00E119AB">
              <w:rPr>
                <w:shd w:val="clear" w:color="auto" w:fill="FFFFFF"/>
              </w:rPr>
              <w:t>ment of</w:t>
            </w:r>
            <w:r w:rsidR="00B37ECE" w:rsidRPr="00CE1CFF">
              <w:rPr>
                <w:shd w:val="clear" w:color="auto" w:fill="FFFFFF"/>
              </w:rPr>
              <w:t xml:space="preserve"> </w:t>
            </w:r>
            <w:r w:rsidR="00E119AB">
              <w:rPr>
                <w:shd w:val="clear" w:color="auto" w:fill="FFFFFF"/>
              </w:rPr>
              <w:t xml:space="preserve">the UAAB </w:t>
            </w:r>
            <w:r w:rsidR="00B37ECE" w:rsidRPr="00CE1CFF">
              <w:rPr>
                <w:shd w:val="clear" w:color="auto" w:fill="FFFFFF"/>
              </w:rPr>
              <w:t>to advise the director</w:t>
            </w:r>
            <w:r w:rsidR="00E119AB">
              <w:rPr>
                <w:shd w:val="clear" w:color="auto" w:fill="FFFFFF"/>
              </w:rPr>
              <w:t xml:space="preserve"> of the OUA</w:t>
            </w:r>
            <w:r w:rsidR="00B37ECE" w:rsidRPr="00CE1CFF">
              <w:rPr>
                <w:shd w:val="clear" w:color="auto" w:fill="FFFFFF"/>
              </w:rPr>
              <w:t xml:space="preserve">, the </w:t>
            </w:r>
            <w:r w:rsidR="00E119AB">
              <w:rPr>
                <w:shd w:val="clear" w:color="auto" w:fill="FFFFFF"/>
              </w:rPr>
              <w:t>M</w:t>
            </w:r>
            <w:r w:rsidR="00B37ECE" w:rsidRPr="00CE1CFF">
              <w:rPr>
                <w:shd w:val="clear" w:color="auto" w:fill="FFFFFF"/>
              </w:rPr>
              <w:t>ayor</w:t>
            </w:r>
            <w:r w:rsidR="0055593E">
              <w:rPr>
                <w:shd w:val="clear" w:color="auto" w:fill="FFFFFF"/>
              </w:rPr>
              <w:t>,</w:t>
            </w:r>
            <w:r w:rsidR="00B37ECE" w:rsidRPr="00CE1CFF">
              <w:rPr>
                <w:shd w:val="clear" w:color="auto" w:fill="FFFFFF"/>
              </w:rPr>
              <w:t xml:space="preserve"> and the </w:t>
            </w:r>
            <w:r w:rsidR="00E119AB">
              <w:rPr>
                <w:shd w:val="clear" w:color="auto" w:fill="FFFFFF"/>
              </w:rPr>
              <w:t>C</w:t>
            </w:r>
            <w:r w:rsidR="00B37ECE" w:rsidRPr="00CE1CFF">
              <w:rPr>
                <w:shd w:val="clear" w:color="auto" w:fill="FFFFFF"/>
              </w:rPr>
              <w:t xml:space="preserve">ouncil on issues relating to urban agriculture. All members of the urban agriculture advisory board </w:t>
            </w:r>
            <w:r w:rsidR="00E119AB">
              <w:rPr>
                <w:shd w:val="clear" w:color="auto" w:fill="FFFFFF"/>
              </w:rPr>
              <w:t xml:space="preserve">would </w:t>
            </w:r>
            <w:r w:rsidR="00B37ECE" w:rsidRPr="00CE1CFF">
              <w:rPr>
                <w:shd w:val="clear" w:color="auto" w:fill="FFFFFF"/>
              </w:rPr>
              <w:t>serve without compensation</w:t>
            </w:r>
            <w:r w:rsidR="00673E23">
              <w:rPr>
                <w:shd w:val="clear" w:color="auto" w:fill="FFFFFF"/>
              </w:rPr>
              <w:t xml:space="preserve"> and w</w:t>
            </w:r>
            <w:r w:rsidR="00B37ECE" w:rsidRPr="00CE1CFF">
              <w:rPr>
                <w:shd w:val="clear" w:color="auto" w:fill="FFFFFF"/>
              </w:rPr>
              <w:t>ithin 18 months of the effective date of the local law</w:t>
            </w:r>
            <w:r w:rsidR="00673E23" w:rsidRPr="00CE1CFF">
              <w:rPr>
                <w:shd w:val="clear" w:color="auto" w:fill="FFFFFF"/>
              </w:rPr>
              <w:t xml:space="preserve">, the advisory board </w:t>
            </w:r>
            <w:r w:rsidR="00E119AB">
              <w:rPr>
                <w:shd w:val="clear" w:color="auto" w:fill="FFFFFF"/>
              </w:rPr>
              <w:t>would be required to</w:t>
            </w:r>
            <w:r w:rsidR="00E119AB" w:rsidRPr="00CE1CFF">
              <w:rPr>
                <w:shd w:val="clear" w:color="auto" w:fill="FFFFFF"/>
              </w:rPr>
              <w:t xml:space="preserve"> </w:t>
            </w:r>
            <w:r w:rsidR="00673E23" w:rsidRPr="00CE1CFF">
              <w:rPr>
                <w:shd w:val="clear" w:color="auto" w:fill="FFFFFF"/>
              </w:rPr>
              <w:t xml:space="preserve">submit recommendations to the director, the </w:t>
            </w:r>
            <w:r w:rsidR="00E119AB">
              <w:rPr>
                <w:shd w:val="clear" w:color="auto" w:fill="FFFFFF"/>
              </w:rPr>
              <w:t>M</w:t>
            </w:r>
            <w:r w:rsidR="00673E23" w:rsidRPr="00CE1CFF">
              <w:rPr>
                <w:shd w:val="clear" w:color="auto" w:fill="FFFFFF"/>
              </w:rPr>
              <w:t>ayor</w:t>
            </w:r>
            <w:r w:rsidR="00663CFD">
              <w:rPr>
                <w:shd w:val="clear" w:color="auto" w:fill="FFFFFF"/>
              </w:rPr>
              <w:t>,</w:t>
            </w:r>
            <w:r w:rsidR="00673E23" w:rsidRPr="00CE1CFF">
              <w:rPr>
                <w:shd w:val="clear" w:color="auto" w:fill="FFFFFF"/>
              </w:rPr>
              <w:t xml:space="preserve"> and the </w:t>
            </w:r>
            <w:r w:rsidR="00E119AB">
              <w:rPr>
                <w:shd w:val="clear" w:color="auto" w:fill="FFFFFF"/>
              </w:rPr>
              <w:t>C</w:t>
            </w:r>
            <w:r w:rsidR="00673E23" w:rsidRPr="00CE1CFF">
              <w:rPr>
                <w:shd w:val="clear" w:color="auto" w:fill="FFFFFF"/>
              </w:rPr>
              <w:t>ouncil. After this date, the urban agriculture advisory board may submit recommendations when appropriate.</w:t>
            </w:r>
          </w:p>
          <w:p w14:paraId="32CF1EBC" w14:textId="06582FDA" w:rsidR="00673E23" w:rsidRDefault="00673E23" w:rsidP="00CE1C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14:paraId="44EFF2E4" w14:textId="751EB937" w:rsidR="00044D53" w:rsidRPr="00CE1CFF" w:rsidRDefault="00C22755" w:rsidP="00CE1CFF">
            <w:pPr>
              <w:suppressLineNumbers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4984">
              <w:rPr>
                <w:vanish/>
                <w:color w:val="000000"/>
                <w:lang w:val="en"/>
              </w:rPr>
              <w:t>..Body</w:t>
            </w:r>
          </w:p>
        </w:tc>
      </w:tr>
      <w:tr w:rsidR="00352252" w14:paraId="52C0D137" w14:textId="77777777" w:rsidTr="7275B634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E078D35" w14:textId="085AC9BB" w:rsidR="001A4BB8" w:rsidRPr="00327421" w:rsidRDefault="00352252" w:rsidP="00CE1CFF">
            <w:pPr>
              <w:pStyle w:val="NoSpacing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4C65B6">
              <w:t xml:space="preserve">This local law </w:t>
            </w:r>
            <w:r w:rsidR="007F763D">
              <w:t xml:space="preserve">would take effect </w:t>
            </w:r>
            <w:r w:rsidR="00327421">
              <w:t>120 days after becoming law</w:t>
            </w:r>
            <w:r w:rsidR="0028104A">
              <w:t>.</w:t>
            </w:r>
          </w:p>
        </w:tc>
      </w:tr>
      <w:tr w:rsidR="00352252" w14:paraId="588B9FF5" w14:textId="77777777" w:rsidTr="7275B634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399D8BA7" w14:textId="77777777" w:rsidR="00374627" w:rsidRDefault="00374627" w:rsidP="008023E4">
            <w:pPr>
              <w:rPr>
                <w:b/>
                <w:bCs/>
                <w:smallCaps/>
              </w:rPr>
            </w:pPr>
          </w:p>
          <w:p w14:paraId="4A271634" w14:textId="53F72DAD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CE32B5">
              <w:t>202</w:t>
            </w:r>
            <w:r w:rsidR="007F763D">
              <w:t>3</w:t>
            </w:r>
          </w:p>
        </w:tc>
      </w:tr>
      <w:tr w:rsidR="00352252" w14:paraId="18B2989B" w14:textId="77777777" w:rsidTr="7275B634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0FC8D4D2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1A1B17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5DF0D716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33B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1A1B17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2247412E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7F763D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1A1B17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1AD56461" w:rsidR="001A1B17" w:rsidRPr="00542556" w:rsidRDefault="007F763D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CE1CFF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511F48BF" w:rsidR="001A1B17" w:rsidRDefault="001A1B17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$0 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1BE60DCC" w:rsidR="001A1B17" w:rsidRDefault="007F763D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1A1B17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47D12F86" w:rsidR="001A1B17" w:rsidRDefault="00CE1CFF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="007F763D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3A4657">
                    <w:rPr>
                      <w:b/>
                      <w:bCs/>
                      <w:sz w:val="18"/>
                      <w:szCs w:val="18"/>
                    </w:rPr>
                    <w:t>103,125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3F1911A1" w:rsidR="001A1B17" w:rsidRDefault="00CE1CFF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($</w:t>
                  </w:r>
                  <w:r w:rsidR="00CC46EA">
                    <w:rPr>
                      <w:b/>
                      <w:bCs/>
                      <w:sz w:val="18"/>
                      <w:szCs w:val="18"/>
                    </w:rPr>
                    <w:t>247,500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3FC6212F" w:rsidR="001A1B17" w:rsidRDefault="00CE1CFF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="007F763D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CC46EA">
                    <w:rPr>
                      <w:b/>
                      <w:bCs/>
                      <w:sz w:val="18"/>
                      <w:szCs w:val="18"/>
                    </w:rPr>
                    <w:t>247,500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1A1B17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2EF3DDCB" w:rsidR="001A1B17" w:rsidRDefault="00CE1CFF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="003E5A9A" w:rsidRPr="00AE0652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3A4657">
                    <w:rPr>
                      <w:b/>
                      <w:bCs/>
                      <w:sz w:val="18"/>
                      <w:szCs w:val="18"/>
                    </w:rPr>
                    <w:t>103,125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5C9086CB" w:rsidR="001A1B17" w:rsidRDefault="00CE1CFF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="001A1B17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CC46EA">
                    <w:rPr>
                      <w:b/>
                      <w:bCs/>
                      <w:sz w:val="18"/>
                      <w:szCs w:val="18"/>
                    </w:rPr>
                    <w:t>247,500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2F8FEF9E" w:rsidR="001A1B17" w:rsidRDefault="00CE1CFF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="009D688F" w:rsidRPr="00954AD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CC46EA">
                    <w:rPr>
                      <w:b/>
                      <w:bCs/>
                      <w:sz w:val="18"/>
                      <w:szCs w:val="18"/>
                    </w:rPr>
                    <w:t>247,500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7275B634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1DF59A43" w:rsidR="00FE1D08" w:rsidRPr="00F5303C" w:rsidRDefault="00352252" w:rsidP="00CE1CFF">
            <w:pPr>
              <w:jc w:val="left"/>
            </w:pPr>
            <w:r w:rsidRPr="00F5303C">
              <w:rPr>
                <w:b/>
                <w:bCs/>
                <w:smallCaps/>
              </w:rPr>
              <w:t>Impact on Revenues</w:t>
            </w:r>
            <w:r w:rsidRPr="00F5303C">
              <w:rPr>
                <w:b/>
                <w:bCs/>
              </w:rPr>
              <w:t>:</w:t>
            </w:r>
            <w:r w:rsidRPr="00F5303C">
              <w:t xml:space="preserve">  </w:t>
            </w:r>
            <w:r w:rsidR="00D66DD1" w:rsidRPr="00F5303C">
              <w:t xml:space="preserve">It is </w:t>
            </w:r>
            <w:r w:rsidR="009436D6" w:rsidRPr="00F5303C">
              <w:t>estimated</w:t>
            </w:r>
            <w:r w:rsidR="00D66DD1" w:rsidRPr="00F5303C">
              <w:t xml:space="preserve"> that the</w:t>
            </w:r>
            <w:r w:rsidR="0028104A" w:rsidRPr="00F5303C">
              <w:t xml:space="preserve">re will </w:t>
            </w:r>
            <w:r w:rsidR="00CE1CFF">
              <w:t>no revenue generated from the implementation of this law</w:t>
            </w:r>
          </w:p>
        </w:tc>
      </w:tr>
      <w:tr w:rsidR="00352252" w:rsidRPr="00EC30EE" w14:paraId="412A3472" w14:textId="77777777" w:rsidTr="7275B634">
        <w:trPr>
          <w:jc w:val="center"/>
        </w:trPr>
        <w:tc>
          <w:tcPr>
            <w:tcW w:w="10800" w:type="dxa"/>
            <w:gridSpan w:val="2"/>
          </w:tcPr>
          <w:p w14:paraId="4BCE2744" w14:textId="77777777" w:rsidR="00F5303C" w:rsidRDefault="00F5303C" w:rsidP="00F5303C">
            <w:pPr>
              <w:rPr>
                <w:b/>
                <w:bCs/>
                <w:smallCaps/>
              </w:rPr>
            </w:pPr>
          </w:p>
          <w:p w14:paraId="63189572" w14:textId="12231D8B" w:rsidR="004E4E58" w:rsidRPr="004028DA" w:rsidRDefault="00352252">
            <w:pPr>
              <w:rPr>
                <w:color w:val="212121"/>
                <w:shd w:val="clear" w:color="auto" w:fill="FFFFFF"/>
              </w:rPr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9E4BC6">
              <w:t xml:space="preserve">It is estimated that the </w:t>
            </w:r>
            <w:r w:rsidR="009E4BC6">
              <w:rPr>
                <w:color w:val="000000"/>
                <w:lang w:val="en"/>
              </w:rPr>
              <w:t>Office of Urban Agriculture would</w:t>
            </w:r>
            <w:r w:rsidR="009E4BC6">
              <w:rPr>
                <w:color w:val="000000"/>
                <w:shd w:val="clear" w:color="auto" w:fill="FFFFFF"/>
              </w:rPr>
              <w:t xml:space="preserve"> require two staff, a director and program manager. The director salary is estimated at $100,000 with 50 percent fringe for a total of $150,000 per year, and a program manager salary of $65,000 with 50 percent fringe for a total of $97,500 per year. The total expense for this office would be $247,500 per year. The law will be effective for five months in Fiscal 2022 with a total expenses estimated to be $103,125.</w:t>
            </w:r>
          </w:p>
        </w:tc>
      </w:tr>
      <w:tr w:rsidR="00352252" w:rsidRPr="00EC30EE" w14:paraId="024C11FF" w14:textId="77777777" w:rsidTr="7275B634">
        <w:trPr>
          <w:jc w:val="center"/>
        </w:trPr>
        <w:tc>
          <w:tcPr>
            <w:tcW w:w="10800" w:type="dxa"/>
            <w:gridSpan w:val="2"/>
          </w:tcPr>
          <w:p w14:paraId="4FC43645" w14:textId="77777777" w:rsidR="00F5303C" w:rsidRDefault="00F5303C">
            <w:pPr>
              <w:spacing w:after="120"/>
              <w:rPr>
                <w:b/>
                <w:bCs/>
                <w:smallCaps/>
              </w:rPr>
            </w:pPr>
          </w:p>
          <w:p w14:paraId="2340A6CF" w14:textId="7D448747" w:rsidR="00EB5A53" w:rsidRPr="00EC30EE" w:rsidRDefault="00352252">
            <w:pPr>
              <w:spacing w:after="120"/>
            </w:pPr>
            <w:r w:rsidRPr="00EC30EE">
              <w:rPr>
                <w:b/>
                <w:bCs/>
                <w:smallCaps/>
              </w:rPr>
              <w:lastRenderedPageBreak/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641AD5">
              <w:rPr>
                <w:bCs/>
              </w:rPr>
              <w:t>General Fund</w:t>
            </w:r>
          </w:p>
        </w:tc>
      </w:tr>
      <w:tr w:rsidR="00352252" w:rsidRPr="00EC30EE" w14:paraId="2F81717F" w14:textId="77777777" w:rsidTr="7275B634">
        <w:trPr>
          <w:trHeight w:val="603"/>
          <w:jc w:val="center"/>
        </w:trPr>
        <w:tc>
          <w:tcPr>
            <w:tcW w:w="10800" w:type="dxa"/>
            <w:gridSpan w:val="2"/>
          </w:tcPr>
          <w:p w14:paraId="5851A511" w14:textId="11EFF330" w:rsidR="00A07553" w:rsidRDefault="00352252" w:rsidP="004E4E58">
            <w:r w:rsidRPr="00EC30EE">
              <w:rPr>
                <w:b/>
                <w:bCs/>
                <w:smallCaps/>
              </w:rPr>
              <w:lastRenderedPageBreak/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9B794D">
              <w:tab/>
            </w:r>
            <w:r w:rsidR="0055753E" w:rsidRPr="00EC30EE">
              <w:t>N</w:t>
            </w:r>
            <w:r w:rsidR="0055753E">
              <w:t xml:space="preserve">ew </w:t>
            </w:r>
            <w:r w:rsidR="0055753E" w:rsidRPr="00EC30EE">
              <w:t>Y</w:t>
            </w:r>
            <w:r w:rsidR="0055753E">
              <w:t xml:space="preserve">ork </w:t>
            </w:r>
            <w:r w:rsidR="0055753E" w:rsidRPr="00EC30EE">
              <w:t>C</w:t>
            </w:r>
            <w:r w:rsidR="0055753E">
              <w:t>ity</w:t>
            </w:r>
            <w:r w:rsidR="0055753E" w:rsidRPr="00EC30EE">
              <w:t xml:space="preserve"> Council Finance Divisi</w:t>
            </w:r>
            <w:r w:rsidR="005F731A">
              <w:t>on</w:t>
            </w:r>
          </w:p>
          <w:p w14:paraId="3B5B0FFF" w14:textId="76685C8C" w:rsidR="00B90CA7" w:rsidRPr="00EC30EE" w:rsidRDefault="00726FFC" w:rsidP="003A00B8">
            <w:r>
              <w:t xml:space="preserve">            </w:t>
            </w:r>
            <w:r w:rsidR="009B262E">
              <w:t xml:space="preserve">                                    </w:t>
            </w:r>
            <w:r w:rsidR="009B794D">
              <w:tab/>
            </w:r>
          </w:p>
        </w:tc>
      </w:tr>
      <w:tr w:rsidR="00352252" w:rsidRPr="00EC30EE" w14:paraId="3D8C5424" w14:textId="77777777" w:rsidTr="7275B634">
        <w:trPr>
          <w:jc w:val="center"/>
        </w:trPr>
        <w:tc>
          <w:tcPr>
            <w:tcW w:w="10800" w:type="dxa"/>
            <w:gridSpan w:val="2"/>
          </w:tcPr>
          <w:p w14:paraId="41284D51" w14:textId="77777777" w:rsidR="00B820A7" w:rsidRDefault="00B820A7" w:rsidP="00783673">
            <w:pPr>
              <w:tabs>
                <w:tab w:val="left" w:pos="2770"/>
              </w:tabs>
              <w:rPr>
                <w:b/>
                <w:bCs/>
                <w:smallCaps/>
              </w:rPr>
            </w:pPr>
          </w:p>
          <w:p w14:paraId="13EBE709" w14:textId="64057A0E" w:rsidR="005D31BB" w:rsidRDefault="00701942" w:rsidP="00783673">
            <w:pPr>
              <w:tabs>
                <w:tab w:val="left" w:pos="2770"/>
              </w:tabs>
            </w:pPr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9B794D">
              <w:tab/>
            </w:r>
            <w:r w:rsidR="00276A11">
              <w:tab/>
            </w:r>
            <w:r w:rsidR="00AC2FF4">
              <w:t>Aliya Ali</w:t>
            </w:r>
            <w:r w:rsidR="002A2668">
              <w:t xml:space="preserve">, </w:t>
            </w:r>
            <w:r w:rsidR="00AC2FF4">
              <w:t xml:space="preserve">Principal </w:t>
            </w:r>
            <w:r w:rsidR="00350D0F">
              <w:t>Financial Analyst</w:t>
            </w:r>
          </w:p>
          <w:p w14:paraId="38C2A8F9" w14:textId="0A0975DA" w:rsidR="00B60C46" w:rsidRPr="00EC30EE" w:rsidRDefault="00B60C46" w:rsidP="00783673">
            <w:pPr>
              <w:tabs>
                <w:tab w:val="left" w:pos="2770"/>
              </w:tabs>
            </w:pPr>
            <w:r>
              <w:t xml:space="preserve">                                                Julia Haramis, Financial Analyst</w:t>
            </w:r>
          </w:p>
          <w:p w14:paraId="5C0B0C33" w14:textId="77777777" w:rsidR="009B0F5C" w:rsidRPr="00EC30EE" w:rsidRDefault="00E74CFA" w:rsidP="009B0F5C">
            <w:pPr>
              <w:tabs>
                <w:tab w:val="left" w:pos="2895"/>
              </w:tabs>
            </w:pPr>
            <w:r w:rsidRPr="00EC30EE">
              <w:t xml:space="preserve"> </w:t>
            </w:r>
            <w:r w:rsidR="005D31BB" w:rsidRPr="00EC30EE">
              <w:t xml:space="preserve">                                             </w:t>
            </w:r>
          </w:p>
          <w:p w14:paraId="2EDFE8C1" w14:textId="4E95C690" w:rsidR="006C526E" w:rsidRDefault="00701942" w:rsidP="0080757E">
            <w:r>
              <w:rPr>
                <w:b/>
                <w:smallCaps/>
              </w:rPr>
              <w:t>Estimate Reviewed b</w:t>
            </w:r>
            <w:r w:rsidR="00D273DC" w:rsidRPr="00EC30EE">
              <w:rPr>
                <w:b/>
                <w:smallCaps/>
              </w:rPr>
              <w:t>y</w:t>
            </w:r>
            <w:r w:rsidR="008C520A" w:rsidRPr="00EC30EE">
              <w:rPr>
                <w:b/>
                <w:smallCaps/>
              </w:rPr>
              <w:t>:</w:t>
            </w:r>
            <w:r w:rsidR="00E313F0">
              <w:t xml:space="preserve"> </w:t>
            </w:r>
            <w:r w:rsidR="009B794D">
              <w:tab/>
            </w:r>
            <w:r w:rsidR="00777966">
              <w:t>Stephanie Ruiz</w:t>
            </w:r>
            <w:r w:rsidR="00CD46B6">
              <w:t xml:space="preserve">, </w:t>
            </w:r>
            <w:r w:rsidR="00425C1C">
              <w:t>Assistant</w:t>
            </w:r>
            <w:r w:rsidR="00CE32B5">
              <w:t xml:space="preserve"> </w:t>
            </w:r>
            <w:r w:rsidR="006C526E">
              <w:t>Counsel</w:t>
            </w:r>
          </w:p>
          <w:p w14:paraId="583C97CB" w14:textId="74CF6E92" w:rsidR="00CE32B5" w:rsidRDefault="00CE32B5" w:rsidP="0080757E">
            <w:r>
              <w:t xml:space="preserve">                              </w:t>
            </w:r>
            <w:r w:rsidR="00AC2FF4">
              <w:t xml:space="preserve">              </w:t>
            </w:r>
            <w:r w:rsidR="009B794D">
              <w:tab/>
            </w:r>
            <w:r w:rsidR="00AC2FF4">
              <w:t>Nathan Toth</w:t>
            </w:r>
            <w:r>
              <w:t>, Deputy Director</w:t>
            </w:r>
          </w:p>
          <w:p w14:paraId="5EF100FD" w14:textId="336F8A86" w:rsidR="0080757E" w:rsidRDefault="00B90CA7" w:rsidP="0080757E">
            <w:r>
              <w:t xml:space="preserve">                                          </w:t>
            </w:r>
            <w:r w:rsidR="00385777">
              <w:t xml:space="preserve"> </w:t>
            </w:r>
            <w:r w:rsidR="00CD46B6">
              <w:t xml:space="preserve"> </w:t>
            </w:r>
            <w:r w:rsidR="009B794D">
              <w:tab/>
            </w:r>
            <w:r w:rsidR="00B60C46">
              <w:t>Dohini Sompura</w:t>
            </w:r>
            <w:r w:rsidR="00385777">
              <w:t>, Unit Head</w:t>
            </w:r>
          </w:p>
          <w:p w14:paraId="2E924AF6" w14:textId="77777777" w:rsidR="00C12101" w:rsidRDefault="00C12101" w:rsidP="00C12101">
            <w:pPr>
              <w:rPr>
                <w:b/>
                <w:bCs/>
                <w:smallCaps/>
              </w:rPr>
            </w:pPr>
          </w:p>
          <w:p w14:paraId="5D99A257" w14:textId="5A417FB5" w:rsidR="00493FA1" w:rsidRDefault="00D273DC" w:rsidP="00C12101"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</w:t>
            </w:r>
            <w:r w:rsidR="00C12101" w:rsidRPr="00CE66C1">
              <w:t xml:space="preserve">This legislation </w:t>
            </w:r>
            <w:proofErr w:type="gramStart"/>
            <w:r w:rsidR="00C12101" w:rsidRPr="00CE66C1">
              <w:t>was introduced</w:t>
            </w:r>
            <w:proofErr w:type="gramEnd"/>
            <w:r w:rsidR="00C12101" w:rsidRPr="00CE66C1">
              <w:t xml:space="preserve"> to the full </w:t>
            </w:r>
            <w:r w:rsidR="00C12101">
              <w:t>C</w:t>
            </w:r>
            <w:r w:rsidR="00C12101" w:rsidRPr="00CE66C1">
              <w:t xml:space="preserve">ouncil </w:t>
            </w:r>
            <w:r w:rsidR="00C12101">
              <w:t>as Int</w:t>
            </w:r>
            <w:r w:rsidR="00C12101" w:rsidRPr="00CE66C1">
              <w:t>.</w:t>
            </w:r>
            <w:r w:rsidR="00C12101">
              <w:t xml:space="preserve"> No.</w:t>
            </w:r>
            <w:r w:rsidR="00C12101" w:rsidRPr="00CE66C1">
              <w:t xml:space="preserve"> </w:t>
            </w:r>
            <w:r w:rsidR="008A5459">
              <w:t>1663</w:t>
            </w:r>
            <w:r w:rsidR="00C12101" w:rsidRPr="00CE66C1">
              <w:t xml:space="preserve"> on</w:t>
            </w:r>
            <w:r w:rsidR="008A5459">
              <w:t xml:space="preserve"> August 14, 2019</w:t>
            </w:r>
            <w:r w:rsidR="00C12101">
              <w:t xml:space="preserve"> </w:t>
            </w:r>
            <w:r w:rsidR="00C12101" w:rsidRPr="00CE66C1">
              <w:t>and was referred to the Co</w:t>
            </w:r>
            <w:r w:rsidR="004E145F">
              <w:t>mmittee</w:t>
            </w:r>
            <w:r w:rsidR="008A5459">
              <w:t xml:space="preserve"> on Economic Development</w:t>
            </w:r>
            <w:r w:rsidR="00AF3107">
              <w:t xml:space="preserve"> (</w:t>
            </w:r>
            <w:r w:rsidR="00304813">
              <w:t>“</w:t>
            </w:r>
            <w:r w:rsidR="00AF3107">
              <w:t>Committee</w:t>
            </w:r>
            <w:r w:rsidR="00304813">
              <w:t>”</w:t>
            </w:r>
            <w:r w:rsidR="00AF3107" w:rsidRPr="008F532E">
              <w:t>)</w:t>
            </w:r>
            <w:r w:rsidR="00F01BC5">
              <w:t>.</w:t>
            </w:r>
            <w:r w:rsidR="008A5459">
              <w:t xml:space="preserve"> </w:t>
            </w:r>
            <w:proofErr w:type="gramStart"/>
            <w:r w:rsidR="00920DB6" w:rsidRPr="0065791D">
              <w:t>A h</w:t>
            </w:r>
            <w:r w:rsidR="00920DB6">
              <w:t xml:space="preserve">earing was held </w:t>
            </w:r>
            <w:r w:rsidR="00F01BC5">
              <w:t>by the Committee</w:t>
            </w:r>
            <w:proofErr w:type="gramEnd"/>
            <w:r w:rsidR="00F01BC5">
              <w:t xml:space="preserve"> </w:t>
            </w:r>
            <w:r w:rsidR="008A5459">
              <w:t>on September 18, 2019</w:t>
            </w:r>
            <w:r w:rsidR="00F01BC5">
              <w:t xml:space="preserve"> jointly with the </w:t>
            </w:r>
            <w:r w:rsidR="00F01BC5" w:rsidRPr="00CE66C1">
              <w:t>Co</w:t>
            </w:r>
            <w:r w:rsidR="00F01BC5">
              <w:t xml:space="preserve">mmittee on General Welfare and the </w:t>
            </w:r>
            <w:r w:rsidR="00F01BC5" w:rsidRPr="00CE66C1">
              <w:t>Co</w:t>
            </w:r>
            <w:r w:rsidR="00F01BC5">
              <w:t xml:space="preserve">mmittee on Education, </w:t>
            </w:r>
            <w:r w:rsidR="00920DB6" w:rsidRPr="0065791D">
              <w:t>and the legislation was laid over</w:t>
            </w:r>
            <w:r w:rsidR="00920DB6">
              <w:t>.</w:t>
            </w:r>
            <w:r w:rsidR="00920DB6" w:rsidRPr="0034071D">
              <w:t xml:space="preserve"> </w:t>
            </w:r>
            <w:r w:rsidR="000F3962" w:rsidRPr="0034071D">
              <w:t xml:space="preserve">The legislation was subsequently amended and the amended version, Proposed Int. No. </w:t>
            </w:r>
            <w:r w:rsidR="008A5459">
              <w:t>1663</w:t>
            </w:r>
            <w:r w:rsidR="000F3962" w:rsidRPr="0034071D">
              <w:t>-</w:t>
            </w:r>
            <w:r w:rsidR="000F3962">
              <w:t>A</w:t>
            </w:r>
            <w:r w:rsidR="000F3962" w:rsidRPr="0034071D">
              <w:t>, will be voted on by the Committee</w:t>
            </w:r>
            <w:r w:rsidR="00EE1217" w:rsidRPr="0034071D">
              <w:t xml:space="preserve"> </w:t>
            </w:r>
            <w:r w:rsidR="000F3962" w:rsidRPr="0034071D">
              <w:t>at a hearing on</w:t>
            </w:r>
            <w:r w:rsidR="000F3962">
              <w:t xml:space="preserve"> </w:t>
            </w:r>
            <w:r w:rsidR="008A5459">
              <w:t>October</w:t>
            </w:r>
            <w:r w:rsidR="002014CA">
              <w:t xml:space="preserve"> </w:t>
            </w:r>
            <w:r w:rsidR="009E5075">
              <w:t>7</w:t>
            </w:r>
            <w:r w:rsidR="000F3962">
              <w:t>, 2021</w:t>
            </w:r>
            <w:r w:rsidR="000F3962" w:rsidRPr="0034071D">
              <w:t xml:space="preserve">. Upon successful vote by the Committee, Proposed Int. No. </w:t>
            </w:r>
            <w:r w:rsidR="008A5459">
              <w:t>1663</w:t>
            </w:r>
            <w:r w:rsidR="000F3962" w:rsidRPr="0034071D">
              <w:t>-</w:t>
            </w:r>
            <w:r w:rsidR="000F3962">
              <w:t>A</w:t>
            </w:r>
            <w:r w:rsidR="000F3962" w:rsidRPr="0034071D">
              <w:t xml:space="preserve"> will be submitted to the full Council for a vote on</w:t>
            </w:r>
            <w:r w:rsidR="008A5459">
              <w:t xml:space="preserve"> October 7</w:t>
            </w:r>
            <w:r w:rsidR="000F3962" w:rsidRPr="0034071D">
              <w:t xml:space="preserve">, </w:t>
            </w:r>
            <w:r w:rsidR="000F3962">
              <w:t>2021</w:t>
            </w:r>
            <w:r w:rsidR="000F3962" w:rsidRPr="0034071D">
              <w:t>.</w:t>
            </w:r>
          </w:p>
          <w:p w14:paraId="3952EE4A" w14:textId="62021908" w:rsidR="008D3779" w:rsidRPr="00F42D14" w:rsidRDefault="008D3779" w:rsidP="00646473"/>
        </w:tc>
      </w:tr>
    </w:tbl>
    <w:p w14:paraId="17E55043" w14:textId="7C6F3125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B60C46">
        <w:t>September 3</w:t>
      </w:r>
      <w:r w:rsidR="00F97238">
        <w:t>0</w:t>
      </w:r>
      <w:r w:rsidR="00DB1BDE">
        <w:t>, 2021</w:t>
      </w:r>
    </w:p>
    <w:sectPr w:rsidR="00352252" w:rsidRPr="00F42D14" w:rsidSect="00AC3B91">
      <w:footerReference w:type="even" r:id="rId12"/>
      <w:footerReference w:type="default" r:id="rId13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F150" w14:textId="77777777" w:rsidR="004C4BBA" w:rsidRDefault="004C4BBA" w:rsidP="00276120">
      <w:r>
        <w:separator/>
      </w:r>
    </w:p>
  </w:endnote>
  <w:endnote w:type="continuationSeparator" w:id="0">
    <w:p w14:paraId="64A8DDDA" w14:textId="77777777" w:rsidR="004C4BBA" w:rsidRDefault="004C4BBA" w:rsidP="00276120">
      <w:r>
        <w:continuationSeparator/>
      </w:r>
    </w:p>
  </w:endnote>
  <w:endnote w:type="continuationNotice" w:id="1">
    <w:p w14:paraId="53F156FB" w14:textId="77777777" w:rsidR="004C4BBA" w:rsidRDefault="004C4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763058BA" w:rsidR="008C520A" w:rsidRPr="00AC3B91" w:rsidRDefault="00493FA1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t xml:space="preserve">Proposed </w:t>
    </w:r>
    <w:r w:rsidR="00B60C46">
      <w:t>Int. No. 1663</w:t>
    </w:r>
    <w:r w:rsidR="00FE1E81"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D44A49" w:rsidRPr="00D44A49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77F6AAFB" w:rsidR="008C520A" w:rsidRPr="00F42D14" w:rsidRDefault="00276A11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t xml:space="preserve">Proposed </w:t>
    </w:r>
    <w:r w:rsidR="00B60C46">
      <w:t>Int. No. 1663</w:t>
    </w:r>
    <w:r w:rsidR="00FE1E81">
      <w:t>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D44A49" w:rsidRPr="00D44A49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8B85" w14:textId="77777777" w:rsidR="004C4BBA" w:rsidRDefault="004C4BBA" w:rsidP="00276120">
      <w:r>
        <w:separator/>
      </w:r>
    </w:p>
  </w:footnote>
  <w:footnote w:type="continuationSeparator" w:id="0">
    <w:p w14:paraId="5F2F0A56" w14:textId="77777777" w:rsidR="004C4BBA" w:rsidRDefault="004C4BBA" w:rsidP="00276120">
      <w:r>
        <w:continuationSeparator/>
      </w:r>
    </w:p>
  </w:footnote>
  <w:footnote w:type="continuationNotice" w:id="1">
    <w:p w14:paraId="35747003" w14:textId="77777777" w:rsidR="004C4BBA" w:rsidRDefault="004C4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230A"/>
    <w:rsid w:val="000030DD"/>
    <w:rsid w:val="000046D4"/>
    <w:rsid w:val="000073C6"/>
    <w:rsid w:val="000168A3"/>
    <w:rsid w:val="00025E35"/>
    <w:rsid w:val="0002642B"/>
    <w:rsid w:val="00027E0B"/>
    <w:rsid w:val="000318D2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44D53"/>
    <w:rsid w:val="00051A15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876A9"/>
    <w:rsid w:val="0009212E"/>
    <w:rsid w:val="00092D20"/>
    <w:rsid w:val="00094ED2"/>
    <w:rsid w:val="00097A10"/>
    <w:rsid w:val="000A1056"/>
    <w:rsid w:val="000B2CA3"/>
    <w:rsid w:val="000B5232"/>
    <w:rsid w:val="000B558D"/>
    <w:rsid w:val="000C25BD"/>
    <w:rsid w:val="000C27CA"/>
    <w:rsid w:val="000C4D0C"/>
    <w:rsid w:val="000C7FF6"/>
    <w:rsid w:val="000D2080"/>
    <w:rsid w:val="000D6F75"/>
    <w:rsid w:val="000D7AEC"/>
    <w:rsid w:val="000E3294"/>
    <w:rsid w:val="000E3B3F"/>
    <w:rsid w:val="000E63FB"/>
    <w:rsid w:val="000E7F03"/>
    <w:rsid w:val="000F2143"/>
    <w:rsid w:val="000F3883"/>
    <w:rsid w:val="000F3962"/>
    <w:rsid w:val="001024A2"/>
    <w:rsid w:val="001028F7"/>
    <w:rsid w:val="00105BC4"/>
    <w:rsid w:val="00115F09"/>
    <w:rsid w:val="00121B3F"/>
    <w:rsid w:val="00121BBE"/>
    <w:rsid w:val="00131A2D"/>
    <w:rsid w:val="00137309"/>
    <w:rsid w:val="00143746"/>
    <w:rsid w:val="0014626B"/>
    <w:rsid w:val="00146CDE"/>
    <w:rsid w:val="0015137C"/>
    <w:rsid w:val="00151FD2"/>
    <w:rsid w:val="001553B3"/>
    <w:rsid w:val="00160E54"/>
    <w:rsid w:val="00166286"/>
    <w:rsid w:val="00166706"/>
    <w:rsid w:val="00171FA1"/>
    <w:rsid w:val="00172F9D"/>
    <w:rsid w:val="001762BE"/>
    <w:rsid w:val="00177D8E"/>
    <w:rsid w:val="00181A83"/>
    <w:rsid w:val="00184802"/>
    <w:rsid w:val="0018510D"/>
    <w:rsid w:val="001904E8"/>
    <w:rsid w:val="001941DB"/>
    <w:rsid w:val="0019526D"/>
    <w:rsid w:val="001A06C7"/>
    <w:rsid w:val="001A1B17"/>
    <w:rsid w:val="001A4BB8"/>
    <w:rsid w:val="001A5CAF"/>
    <w:rsid w:val="001A620D"/>
    <w:rsid w:val="001A7BD9"/>
    <w:rsid w:val="001B0AA7"/>
    <w:rsid w:val="001B229A"/>
    <w:rsid w:val="001B68C3"/>
    <w:rsid w:val="001C2A54"/>
    <w:rsid w:val="001C4D12"/>
    <w:rsid w:val="001D3549"/>
    <w:rsid w:val="001D63B1"/>
    <w:rsid w:val="001D757B"/>
    <w:rsid w:val="001E4D6D"/>
    <w:rsid w:val="001F115D"/>
    <w:rsid w:val="001F1ACD"/>
    <w:rsid w:val="001F3D48"/>
    <w:rsid w:val="001F5B8B"/>
    <w:rsid w:val="001F758B"/>
    <w:rsid w:val="002014CA"/>
    <w:rsid w:val="00205CD6"/>
    <w:rsid w:val="00210680"/>
    <w:rsid w:val="00215668"/>
    <w:rsid w:val="002169BF"/>
    <w:rsid w:val="00216EA7"/>
    <w:rsid w:val="00224F9E"/>
    <w:rsid w:val="002354C6"/>
    <w:rsid w:val="00241A43"/>
    <w:rsid w:val="00247AF6"/>
    <w:rsid w:val="00247C23"/>
    <w:rsid w:val="00251588"/>
    <w:rsid w:val="00251BB3"/>
    <w:rsid w:val="002521EF"/>
    <w:rsid w:val="002551E9"/>
    <w:rsid w:val="00260059"/>
    <w:rsid w:val="00261046"/>
    <w:rsid w:val="002626F3"/>
    <w:rsid w:val="00263B17"/>
    <w:rsid w:val="00271D4E"/>
    <w:rsid w:val="0027396D"/>
    <w:rsid w:val="00276120"/>
    <w:rsid w:val="002765AA"/>
    <w:rsid w:val="00276A11"/>
    <w:rsid w:val="0028104A"/>
    <w:rsid w:val="0028770F"/>
    <w:rsid w:val="00287BD9"/>
    <w:rsid w:val="00293A04"/>
    <w:rsid w:val="00296FEF"/>
    <w:rsid w:val="002A17B6"/>
    <w:rsid w:val="002A2668"/>
    <w:rsid w:val="002A2C0E"/>
    <w:rsid w:val="002B3D96"/>
    <w:rsid w:val="002B4D83"/>
    <w:rsid w:val="002B5F2C"/>
    <w:rsid w:val="002B7433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18F6"/>
    <w:rsid w:val="002E4EC7"/>
    <w:rsid w:val="002E72D6"/>
    <w:rsid w:val="002F45B0"/>
    <w:rsid w:val="002F5D6D"/>
    <w:rsid w:val="002F7C64"/>
    <w:rsid w:val="00300351"/>
    <w:rsid w:val="0030267F"/>
    <w:rsid w:val="00304813"/>
    <w:rsid w:val="00305AD5"/>
    <w:rsid w:val="00306C85"/>
    <w:rsid w:val="00314035"/>
    <w:rsid w:val="0032553E"/>
    <w:rsid w:val="00325A26"/>
    <w:rsid w:val="003268E0"/>
    <w:rsid w:val="00326F22"/>
    <w:rsid w:val="00326FF1"/>
    <w:rsid w:val="00327421"/>
    <w:rsid w:val="00327B3A"/>
    <w:rsid w:val="003313E2"/>
    <w:rsid w:val="00334F2F"/>
    <w:rsid w:val="00336E20"/>
    <w:rsid w:val="00337604"/>
    <w:rsid w:val="00340859"/>
    <w:rsid w:val="003432B3"/>
    <w:rsid w:val="00350D0F"/>
    <w:rsid w:val="003515B3"/>
    <w:rsid w:val="00351D5A"/>
    <w:rsid w:val="00352252"/>
    <w:rsid w:val="00354684"/>
    <w:rsid w:val="00354E86"/>
    <w:rsid w:val="00360628"/>
    <w:rsid w:val="003662F7"/>
    <w:rsid w:val="00374627"/>
    <w:rsid w:val="0037571A"/>
    <w:rsid w:val="0037644C"/>
    <w:rsid w:val="00385777"/>
    <w:rsid w:val="00390DD1"/>
    <w:rsid w:val="00391AA2"/>
    <w:rsid w:val="003A00B8"/>
    <w:rsid w:val="003A07CE"/>
    <w:rsid w:val="003A3DE9"/>
    <w:rsid w:val="003A4657"/>
    <w:rsid w:val="003A6FEB"/>
    <w:rsid w:val="003A79C0"/>
    <w:rsid w:val="003A7B20"/>
    <w:rsid w:val="003B0E1B"/>
    <w:rsid w:val="003B11B0"/>
    <w:rsid w:val="003B28BC"/>
    <w:rsid w:val="003B3A9D"/>
    <w:rsid w:val="003B4F83"/>
    <w:rsid w:val="003C0AF9"/>
    <w:rsid w:val="003C12FD"/>
    <w:rsid w:val="003C1A97"/>
    <w:rsid w:val="003C1ABB"/>
    <w:rsid w:val="003C1F4A"/>
    <w:rsid w:val="003C2928"/>
    <w:rsid w:val="003C456B"/>
    <w:rsid w:val="003D2A99"/>
    <w:rsid w:val="003D6105"/>
    <w:rsid w:val="003D6B3D"/>
    <w:rsid w:val="003E5A9A"/>
    <w:rsid w:val="003E6DE2"/>
    <w:rsid w:val="003F16C4"/>
    <w:rsid w:val="003F196E"/>
    <w:rsid w:val="003F297F"/>
    <w:rsid w:val="003F2AF7"/>
    <w:rsid w:val="003F3EFC"/>
    <w:rsid w:val="0040070D"/>
    <w:rsid w:val="004028DA"/>
    <w:rsid w:val="00404735"/>
    <w:rsid w:val="00405391"/>
    <w:rsid w:val="00405490"/>
    <w:rsid w:val="004100D5"/>
    <w:rsid w:val="00412017"/>
    <w:rsid w:val="00422899"/>
    <w:rsid w:val="00423096"/>
    <w:rsid w:val="0042352E"/>
    <w:rsid w:val="00425C1C"/>
    <w:rsid w:val="00437F12"/>
    <w:rsid w:val="00444346"/>
    <w:rsid w:val="004443A5"/>
    <w:rsid w:val="004450A1"/>
    <w:rsid w:val="00447C5A"/>
    <w:rsid w:val="0045192C"/>
    <w:rsid w:val="00452E47"/>
    <w:rsid w:val="00454070"/>
    <w:rsid w:val="00460A00"/>
    <w:rsid w:val="00464632"/>
    <w:rsid w:val="00465630"/>
    <w:rsid w:val="00466BC9"/>
    <w:rsid w:val="004675C0"/>
    <w:rsid w:val="0047499B"/>
    <w:rsid w:val="00476230"/>
    <w:rsid w:val="0047644D"/>
    <w:rsid w:val="0048098A"/>
    <w:rsid w:val="00484172"/>
    <w:rsid w:val="004862EE"/>
    <w:rsid w:val="00490DC2"/>
    <w:rsid w:val="00492239"/>
    <w:rsid w:val="00493FA1"/>
    <w:rsid w:val="00494625"/>
    <w:rsid w:val="004952E1"/>
    <w:rsid w:val="0049769D"/>
    <w:rsid w:val="004A011A"/>
    <w:rsid w:val="004A2228"/>
    <w:rsid w:val="004A4C9B"/>
    <w:rsid w:val="004C19BF"/>
    <w:rsid w:val="004C1A6A"/>
    <w:rsid w:val="004C4BBA"/>
    <w:rsid w:val="004C65B6"/>
    <w:rsid w:val="004D4E2F"/>
    <w:rsid w:val="004E145F"/>
    <w:rsid w:val="004E1BC8"/>
    <w:rsid w:val="004E3852"/>
    <w:rsid w:val="004E4E58"/>
    <w:rsid w:val="004E59E3"/>
    <w:rsid w:val="004E7610"/>
    <w:rsid w:val="004F0470"/>
    <w:rsid w:val="004F2431"/>
    <w:rsid w:val="004F4056"/>
    <w:rsid w:val="00501079"/>
    <w:rsid w:val="00503547"/>
    <w:rsid w:val="0050382D"/>
    <w:rsid w:val="00505558"/>
    <w:rsid w:val="00512323"/>
    <w:rsid w:val="00514F08"/>
    <w:rsid w:val="00517454"/>
    <w:rsid w:val="00517D5B"/>
    <w:rsid w:val="00523AE1"/>
    <w:rsid w:val="00530D2B"/>
    <w:rsid w:val="00537F82"/>
    <w:rsid w:val="00540E76"/>
    <w:rsid w:val="00542556"/>
    <w:rsid w:val="00545E4E"/>
    <w:rsid w:val="005516E8"/>
    <w:rsid w:val="00552BCB"/>
    <w:rsid w:val="0055593E"/>
    <w:rsid w:val="00555F80"/>
    <w:rsid w:val="00556505"/>
    <w:rsid w:val="00556CD1"/>
    <w:rsid w:val="0055753E"/>
    <w:rsid w:val="005666AB"/>
    <w:rsid w:val="00575DAB"/>
    <w:rsid w:val="0057721A"/>
    <w:rsid w:val="0058026D"/>
    <w:rsid w:val="00583048"/>
    <w:rsid w:val="005841A2"/>
    <w:rsid w:val="005865E8"/>
    <w:rsid w:val="00591A29"/>
    <w:rsid w:val="00593F9F"/>
    <w:rsid w:val="005977C3"/>
    <w:rsid w:val="005A10E5"/>
    <w:rsid w:val="005B5D45"/>
    <w:rsid w:val="005B5F6B"/>
    <w:rsid w:val="005B785B"/>
    <w:rsid w:val="005C3BB7"/>
    <w:rsid w:val="005D1AAF"/>
    <w:rsid w:val="005D31BB"/>
    <w:rsid w:val="005E0984"/>
    <w:rsid w:val="005E0C5B"/>
    <w:rsid w:val="005E24DF"/>
    <w:rsid w:val="005E2786"/>
    <w:rsid w:val="005F119E"/>
    <w:rsid w:val="005F731A"/>
    <w:rsid w:val="005F789F"/>
    <w:rsid w:val="00606FB8"/>
    <w:rsid w:val="006104EE"/>
    <w:rsid w:val="006112F6"/>
    <w:rsid w:val="00613EAE"/>
    <w:rsid w:val="006142B3"/>
    <w:rsid w:val="006159A9"/>
    <w:rsid w:val="00616DA0"/>
    <w:rsid w:val="00620DDC"/>
    <w:rsid w:val="00624BF3"/>
    <w:rsid w:val="0063141C"/>
    <w:rsid w:val="0063163C"/>
    <w:rsid w:val="00641AD5"/>
    <w:rsid w:val="006463AD"/>
    <w:rsid w:val="00646473"/>
    <w:rsid w:val="006464D8"/>
    <w:rsid w:val="006548C6"/>
    <w:rsid w:val="0065752B"/>
    <w:rsid w:val="0066324A"/>
    <w:rsid w:val="00663CFD"/>
    <w:rsid w:val="00663E55"/>
    <w:rsid w:val="00665089"/>
    <w:rsid w:val="00666DCE"/>
    <w:rsid w:val="00673E23"/>
    <w:rsid w:val="00674352"/>
    <w:rsid w:val="00674614"/>
    <w:rsid w:val="00680223"/>
    <w:rsid w:val="00683147"/>
    <w:rsid w:val="006845AE"/>
    <w:rsid w:val="006A32E8"/>
    <w:rsid w:val="006B36F8"/>
    <w:rsid w:val="006B452E"/>
    <w:rsid w:val="006B4702"/>
    <w:rsid w:val="006B4BEF"/>
    <w:rsid w:val="006B51CE"/>
    <w:rsid w:val="006B7F13"/>
    <w:rsid w:val="006C1876"/>
    <w:rsid w:val="006C385F"/>
    <w:rsid w:val="006C4B71"/>
    <w:rsid w:val="006C526E"/>
    <w:rsid w:val="006C5575"/>
    <w:rsid w:val="006D1C3A"/>
    <w:rsid w:val="006E1700"/>
    <w:rsid w:val="006F01AC"/>
    <w:rsid w:val="006F030A"/>
    <w:rsid w:val="006F06B4"/>
    <w:rsid w:val="006F3F4F"/>
    <w:rsid w:val="00700724"/>
    <w:rsid w:val="00701942"/>
    <w:rsid w:val="00704297"/>
    <w:rsid w:val="00707218"/>
    <w:rsid w:val="007102D2"/>
    <w:rsid w:val="00710A5A"/>
    <w:rsid w:val="00714E27"/>
    <w:rsid w:val="00726FFC"/>
    <w:rsid w:val="00727ECF"/>
    <w:rsid w:val="007311A9"/>
    <w:rsid w:val="00736812"/>
    <w:rsid w:val="0073791A"/>
    <w:rsid w:val="00741160"/>
    <w:rsid w:val="00744301"/>
    <w:rsid w:val="0074484A"/>
    <w:rsid w:val="007542AC"/>
    <w:rsid w:val="007557EC"/>
    <w:rsid w:val="00760AD4"/>
    <w:rsid w:val="00765127"/>
    <w:rsid w:val="00765D9B"/>
    <w:rsid w:val="0076672F"/>
    <w:rsid w:val="0077220E"/>
    <w:rsid w:val="00777966"/>
    <w:rsid w:val="00783673"/>
    <w:rsid w:val="00783697"/>
    <w:rsid w:val="00784045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749"/>
    <w:rsid w:val="007D38CF"/>
    <w:rsid w:val="007D6260"/>
    <w:rsid w:val="007F07BA"/>
    <w:rsid w:val="007F2187"/>
    <w:rsid w:val="007F71FE"/>
    <w:rsid w:val="007F763D"/>
    <w:rsid w:val="008023E4"/>
    <w:rsid w:val="00802E1F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4B81"/>
    <w:rsid w:val="0082725C"/>
    <w:rsid w:val="00834997"/>
    <w:rsid w:val="00840B00"/>
    <w:rsid w:val="00850735"/>
    <w:rsid w:val="00851C2B"/>
    <w:rsid w:val="008525F1"/>
    <w:rsid w:val="00856D29"/>
    <w:rsid w:val="00864991"/>
    <w:rsid w:val="008679F4"/>
    <w:rsid w:val="00872287"/>
    <w:rsid w:val="00883B01"/>
    <w:rsid w:val="0088504E"/>
    <w:rsid w:val="008872E6"/>
    <w:rsid w:val="00894F77"/>
    <w:rsid w:val="008A5459"/>
    <w:rsid w:val="008B362F"/>
    <w:rsid w:val="008B7C97"/>
    <w:rsid w:val="008C116A"/>
    <w:rsid w:val="008C264A"/>
    <w:rsid w:val="008C27EE"/>
    <w:rsid w:val="008C482A"/>
    <w:rsid w:val="008C51C0"/>
    <w:rsid w:val="008C520A"/>
    <w:rsid w:val="008C55D3"/>
    <w:rsid w:val="008C6826"/>
    <w:rsid w:val="008D15C5"/>
    <w:rsid w:val="008D3779"/>
    <w:rsid w:val="008D552A"/>
    <w:rsid w:val="008D79B4"/>
    <w:rsid w:val="008E2D65"/>
    <w:rsid w:val="008E41A4"/>
    <w:rsid w:val="008E7A86"/>
    <w:rsid w:val="008F52AD"/>
    <w:rsid w:val="008F5CFD"/>
    <w:rsid w:val="0090712A"/>
    <w:rsid w:val="00910734"/>
    <w:rsid w:val="00913057"/>
    <w:rsid w:val="009140AF"/>
    <w:rsid w:val="009207EB"/>
    <w:rsid w:val="00920DB6"/>
    <w:rsid w:val="00926082"/>
    <w:rsid w:val="00926D54"/>
    <w:rsid w:val="00927E80"/>
    <w:rsid w:val="009317CB"/>
    <w:rsid w:val="009319FA"/>
    <w:rsid w:val="00941BF2"/>
    <w:rsid w:val="00942003"/>
    <w:rsid w:val="009436D6"/>
    <w:rsid w:val="009512BC"/>
    <w:rsid w:val="00960BC0"/>
    <w:rsid w:val="009616EB"/>
    <w:rsid w:val="009657CF"/>
    <w:rsid w:val="00967A1E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29C"/>
    <w:rsid w:val="0099543E"/>
    <w:rsid w:val="00996573"/>
    <w:rsid w:val="0099668F"/>
    <w:rsid w:val="009A1709"/>
    <w:rsid w:val="009A1C36"/>
    <w:rsid w:val="009A5B62"/>
    <w:rsid w:val="009B0F5C"/>
    <w:rsid w:val="009B114D"/>
    <w:rsid w:val="009B262E"/>
    <w:rsid w:val="009B6AA9"/>
    <w:rsid w:val="009B794D"/>
    <w:rsid w:val="009C5B28"/>
    <w:rsid w:val="009D275A"/>
    <w:rsid w:val="009D4BEE"/>
    <w:rsid w:val="009D5ED9"/>
    <w:rsid w:val="009D6135"/>
    <w:rsid w:val="009D659B"/>
    <w:rsid w:val="009D688F"/>
    <w:rsid w:val="009D7FAC"/>
    <w:rsid w:val="009E4362"/>
    <w:rsid w:val="009E4BC6"/>
    <w:rsid w:val="009E5075"/>
    <w:rsid w:val="009F328D"/>
    <w:rsid w:val="009F4943"/>
    <w:rsid w:val="00A002AF"/>
    <w:rsid w:val="00A00596"/>
    <w:rsid w:val="00A01940"/>
    <w:rsid w:val="00A07553"/>
    <w:rsid w:val="00A15BF5"/>
    <w:rsid w:val="00A161B2"/>
    <w:rsid w:val="00A17057"/>
    <w:rsid w:val="00A203A5"/>
    <w:rsid w:val="00A20B62"/>
    <w:rsid w:val="00A2534E"/>
    <w:rsid w:val="00A311B2"/>
    <w:rsid w:val="00A33096"/>
    <w:rsid w:val="00A35B83"/>
    <w:rsid w:val="00A37E01"/>
    <w:rsid w:val="00A4412F"/>
    <w:rsid w:val="00A45F5F"/>
    <w:rsid w:val="00A46F43"/>
    <w:rsid w:val="00A4793C"/>
    <w:rsid w:val="00A560AD"/>
    <w:rsid w:val="00A56AA1"/>
    <w:rsid w:val="00A570C2"/>
    <w:rsid w:val="00A61C7D"/>
    <w:rsid w:val="00A64637"/>
    <w:rsid w:val="00A7287E"/>
    <w:rsid w:val="00A763F2"/>
    <w:rsid w:val="00A82025"/>
    <w:rsid w:val="00A8649C"/>
    <w:rsid w:val="00A95866"/>
    <w:rsid w:val="00AA0D5A"/>
    <w:rsid w:val="00AA1DE4"/>
    <w:rsid w:val="00AA6BEF"/>
    <w:rsid w:val="00AB42E7"/>
    <w:rsid w:val="00AB46D5"/>
    <w:rsid w:val="00AC2FF4"/>
    <w:rsid w:val="00AC3B91"/>
    <w:rsid w:val="00AC5988"/>
    <w:rsid w:val="00AC7826"/>
    <w:rsid w:val="00AD2C63"/>
    <w:rsid w:val="00AD45B7"/>
    <w:rsid w:val="00AD4B7A"/>
    <w:rsid w:val="00AD6F79"/>
    <w:rsid w:val="00AD7B60"/>
    <w:rsid w:val="00AE0652"/>
    <w:rsid w:val="00AE5D7A"/>
    <w:rsid w:val="00AE683E"/>
    <w:rsid w:val="00AF0929"/>
    <w:rsid w:val="00AF1B17"/>
    <w:rsid w:val="00AF3107"/>
    <w:rsid w:val="00AF5437"/>
    <w:rsid w:val="00AF731F"/>
    <w:rsid w:val="00B00CC3"/>
    <w:rsid w:val="00B027D5"/>
    <w:rsid w:val="00B038F6"/>
    <w:rsid w:val="00B03D76"/>
    <w:rsid w:val="00B07F3E"/>
    <w:rsid w:val="00B112F1"/>
    <w:rsid w:val="00B127CD"/>
    <w:rsid w:val="00B1425D"/>
    <w:rsid w:val="00B148DC"/>
    <w:rsid w:val="00B17A3F"/>
    <w:rsid w:val="00B17F43"/>
    <w:rsid w:val="00B25AEC"/>
    <w:rsid w:val="00B307DE"/>
    <w:rsid w:val="00B30F99"/>
    <w:rsid w:val="00B3136A"/>
    <w:rsid w:val="00B339E2"/>
    <w:rsid w:val="00B36E06"/>
    <w:rsid w:val="00B37ECE"/>
    <w:rsid w:val="00B42620"/>
    <w:rsid w:val="00B42AA4"/>
    <w:rsid w:val="00B46169"/>
    <w:rsid w:val="00B50226"/>
    <w:rsid w:val="00B5117A"/>
    <w:rsid w:val="00B52087"/>
    <w:rsid w:val="00B5249D"/>
    <w:rsid w:val="00B5490E"/>
    <w:rsid w:val="00B5520B"/>
    <w:rsid w:val="00B60C1B"/>
    <w:rsid w:val="00B60C46"/>
    <w:rsid w:val="00B70870"/>
    <w:rsid w:val="00B732E2"/>
    <w:rsid w:val="00B75251"/>
    <w:rsid w:val="00B75302"/>
    <w:rsid w:val="00B820A7"/>
    <w:rsid w:val="00B821AF"/>
    <w:rsid w:val="00B82296"/>
    <w:rsid w:val="00B83313"/>
    <w:rsid w:val="00B83600"/>
    <w:rsid w:val="00B852F4"/>
    <w:rsid w:val="00B8604C"/>
    <w:rsid w:val="00B8672F"/>
    <w:rsid w:val="00B902C8"/>
    <w:rsid w:val="00B90CA7"/>
    <w:rsid w:val="00B9532F"/>
    <w:rsid w:val="00BA2B11"/>
    <w:rsid w:val="00BA5D17"/>
    <w:rsid w:val="00BB4B4A"/>
    <w:rsid w:val="00BC0C38"/>
    <w:rsid w:val="00BC35F5"/>
    <w:rsid w:val="00BC483E"/>
    <w:rsid w:val="00BC6F11"/>
    <w:rsid w:val="00BC7C88"/>
    <w:rsid w:val="00BD174F"/>
    <w:rsid w:val="00BD2435"/>
    <w:rsid w:val="00BD2EEB"/>
    <w:rsid w:val="00BD7577"/>
    <w:rsid w:val="00BE7F03"/>
    <w:rsid w:val="00BF2EE7"/>
    <w:rsid w:val="00BF3072"/>
    <w:rsid w:val="00BF31E2"/>
    <w:rsid w:val="00BF4023"/>
    <w:rsid w:val="00BF788A"/>
    <w:rsid w:val="00C00669"/>
    <w:rsid w:val="00C01190"/>
    <w:rsid w:val="00C01217"/>
    <w:rsid w:val="00C07965"/>
    <w:rsid w:val="00C11B5E"/>
    <w:rsid w:val="00C12101"/>
    <w:rsid w:val="00C13ACF"/>
    <w:rsid w:val="00C158C4"/>
    <w:rsid w:val="00C2097F"/>
    <w:rsid w:val="00C21D34"/>
    <w:rsid w:val="00C22755"/>
    <w:rsid w:val="00C3290F"/>
    <w:rsid w:val="00C352A1"/>
    <w:rsid w:val="00C42EB2"/>
    <w:rsid w:val="00C43E4E"/>
    <w:rsid w:val="00C50CA1"/>
    <w:rsid w:val="00C511FF"/>
    <w:rsid w:val="00C52037"/>
    <w:rsid w:val="00C525F3"/>
    <w:rsid w:val="00C5376B"/>
    <w:rsid w:val="00C55363"/>
    <w:rsid w:val="00C60439"/>
    <w:rsid w:val="00C612F1"/>
    <w:rsid w:val="00C626C9"/>
    <w:rsid w:val="00C65041"/>
    <w:rsid w:val="00C668CA"/>
    <w:rsid w:val="00C724FE"/>
    <w:rsid w:val="00C72B25"/>
    <w:rsid w:val="00C7326A"/>
    <w:rsid w:val="00C732A5"/>
    <w:rsid w:val="00C75B89"/>
    <w:rsid w:val="00C76848"/>
    <w:rsid w:val="00C770E3"/>
    <w:rsid w:val="00C87D5E"/>
    <w:rsid w:val="00C93378"/>
    <w:rsid w:val="00C94DDC"/>
    <w:rsid w:val="00C97E20"/>
    <w:rsid w:val="00CA187B"/>
    <w:rsid w:val="00CA5E51"/>
    <w:rsid w:val="00CB2AF6"/>
    <w:rsid w:val="00CC2184"/>
    <w:rsid w:val="00CC2668"/>
    <w:rsid w:val="00CC2B27"/>
    <w:rsid w:val="00CC46EA"/>
    <w:rsid w:val="00CD1E59"/>
    <w:rsid w:val="00CD34BE"/>
    <w:rsid w:val="00CD448F"/>
    <w:rsid w:val="00CD46B6"/>
    <w:rsid w:val="00CD4BE5"/>
    <w:rsid w:val="00CD6218"/>
    <w:rsid w:val="00CE1CFF"/>
    <w:rsid w:val="00CE2C4C"/>
    <w:rsid w:val="00CE32B5"/>
    <w:rsid w:val="00CE56A2"/>
    <w:rsid w:val="00CF1058"/>
    <w:rsid w:val="00CF2D3F"/>
    <w:rsid w:val="00CF67FA"/>
    <w:rsid w:val="00D1272D"/>
    <w:rsid w:val="00D12B0A"/>
    <w:rsid w:val="00D13895"/>
    <w:rsid w:val="00D13AF8"/>
    <w:rsid w:val="00D13F06"/>
    <w:rsid w:val="00D14033"/>
    <w:rsid w:val="00D14956"/>
    <w:rsid w:val="00D161A4"/>
    <w:rsid w:val="00D25AE0"/>
    <w:rsid w:val="00D273DC"/>
    <w:rsid w:val="00D32312"/>
    <w:rsid w:val="00D323D0"/>
    <w:rsid w:val="00D33B92"/>
    <w:rsid w:val="00D34224"/>
    <w:rsid w:val="00D36F47"/>
    <w:rsid w:val="00D42A72"/>
    <w:rsid w:val="00D44A49"/>
    <w:rsid w:val="00D607A2"/>
    <w:rsid w:val="00D662B9"/>
    <w:rsid w:val="00D66DD1"/>
    <w:rsid w:val="00D77A36"/>
    <w:rsid w:val="00D80BBB"/>
    <w:rsid w:val="00D8127A"/>
    <w:rsid w:val="00D82449"/>
    <w:rsid w:val="00D86BA6"/>
    <w:rsid w:val="00D93D59"/>
    <w:rsid w:val="00DA0673"/>
    <w:rsid w:val="00DA1556"/>
    <w:rsid w:val="00DA15ED"/>
    <w:rsid w:val="00DA21AC"/>
    <w:rsid w:val="00DA40DA"/>
    <w:rsid w:val="00DA67EA"/>
    <w:rsid w:val="00DA69E3"/>
    <w:rsid w:val="00DB057D"/>
    <w:rsid w:val="00DB1BDE"/>
    <w:rsid w:val="00DB27CE"/>
    <w:rsid w:val="00DB2D8C"/>
    <w:rsid w:val="00DB47A0"/>
    <w:rsid w:val="00DB7FC1"/>
    <w:rsid w:val="00DC1533"/>
    <w:rsid w:val="00DD09FA"/>
    <w:rsid w:val="00DD0EEA"/>
    <w:rsid w:val="00DE08B5"/>
    <w:rsid w:val="00DE31A9"/>
    <w:rsid w:val="00DE6E42"/>
    <w:rsid w:val="00DF1687"/>
    <w:rsid w:val="00DF573B"/>
    <w:rsid w:val="00E00EB3"/>
    <w:rsid w:val="00E01A1B"/>
    <w:rsid w:val="00E03223"/>
    <w:rsid w:val="00E119AB"/>
    <w:rsid w:val="00E12670"/>
    <w:rsid w:val="00E12B6F"/>
    <w:rsid w:val="00E1387E"/>
    <w:rsid w:val="00E15164"/>
    <w:rsid w:val="00E15B60"/>
    <w:rsid w:val="00E203BF"/>
    <w:rsid w:val="00E2109F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64A7F"/>
    <w:rsid w:val="00E66E68"/>
    <w:rsid w:val="00E70358"/>
    <w:rsid w:val="00E723BF"/>
    <w:rsid w:val="00E72DDF"/>
    <w:rsid w:val="00E74A80"/>
    <w:rsid w:val="00E74AD2"/>
    <w:rsid w:val="00E74CFA"/>
    <w:rsid w:val="00E80E0C"/>
    <w:rsid w:val="00E81482"/>
    <w:rsid w:val="00E83693"/>
    <w:rsid w:val="00E916E4"/>
    <w:rsid w:val="00E95DF7"/>
    <w:rsid w:val="00EA48DD"/>
    <w:rsid w:val="00EA4ACA"/>
    <w:rsid w:val="00EA5BEE"/>
    <w:rsid w:val="00EB0D60"/>
    <w:rsid w:val="00EB33B1"/>
    <w:rsid w:val="00EB5A53"/>
    <w:rsid w:val="00EC1006"/>
    <w:rsid w:val="00EC30EE"/>
    <w:rsid w:val="00EC522D"/>
    <w:rsid w:val="00EC5AAD"/>
    <w:rsid w:val="00ED4CD2"/>
    <w:rsid w:val="00ED74D9"/>
    <w:rsid w:val="00ED7964"/>
    <w:rsid w:val="00EE08D9"/>
    <w:rsid w:val="00EE1217"/>
    <w:rsid w:val="00EF0694"/>
    <w:rsid w:val="00EF1AFE"/>
    <w:rsid w:val="00EF3E3D"/>
    <w:rsid w:val="00EF4936"/>
    <w:rsid w:val="00EF4AB6"/>
    <w:rsid w:val="00EF6454"/>
    <w:rsid w:val="00EF65E4"/>
    <w:rsid w:val="00EF7437"/>
    <w:rsid w:val="00F01BC5"/>
    <w:rsid w:val="00F05DD2"/>
    <w:rsid w:val="00F107A4"/>
    <w:rsid w:val="00F11A59"/>
    <w:rsid w:val="00F13806"/>
    <w:rsid w:val="00F22023"/>
    <w:rsid w:val="00F23C93"/>
    <w:rsid w:val="00F25AA7"/>
    <w:rsid w:val="00F35436"/>
    <w:rsid w:val="00F35E4E"/>
    <w:rsid w:val="00F411BD"/>
    <w:rsid w:val="00F42D14"/>
    <w:rsid w:val="00F43E05"/>
    <w:rsid w:val="00F50396"/>
    <w:rsid w:val="00F5303C"/>
    <w:rsid w:val="00F5613A"/>
    <w:rsid w:val="00F64276"/>
    <w:rsid w:val="00F66587"/>
    <w:rsid w:val="00F674B5"/>
    <w:rsid w:val="00F67565"/>
    <w:rsid w:val="00F701F9"/>
    <w:rsid w:val="00F74257"/>
    <w:rsid w:val="00F84DF2"/>
    <w:rsid w:val="00F8751A"/>
    <w:rsid w:val="00F90FE7"/>
    <w:rsid w:val="00F91E7D"/>
    <w:rsid w:val="00F97238"/>
    <w:rsid w:val="00FA0E01"/>
    <w:rsid w:val="00FA11CD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1E81"/>
    <w:rsid w:val="00FE3DF8"/>
    <w:rsid w:val="00FE65D2"/>
    <w:rsid w:val="00FE6DD9"/>
    <w:rsid w:val="00FF2664"/>
    <w:rsid w:val="1F77A6DC"/>
    <w:rsid w:val="224EB13E"/>
    <w:rsid w:val="2AEB50F9"/>
    <w:rsid w:val="3600154F"/>
    <w:rsid w:val="6D65E5F5"/>
    <w:rsid w:val="7275B634"/>
    <w:rsid w:val="785A9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390E3"/>
  <w15:docId w15:val="{C128D915-E9AE-40E9-BB39-D22160A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character" w:styleId="LineNumber">
    <w:name w:val="line number"/>
    <w:basedOn w:val="DefaultParagraphFont"/>
    <w:uiPriority w:val="99"/>
    <w:unhideWhenUsed/>
    <w:rsid w:val="000B558D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F642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1B0651F85848A6ED0470975CB2AD" ma:contentTypeVersion="12" ma:contentTypeDescription="Create a new document." ma:contentTypeScope="" ma:versionID="10de059af63c95a0b3c4cd8759a75639">
  <xsd:schema xmlns:xsd="http://www.w3.org/2001/XMLSchema" xmlns:xs="http://www.w3.org/2001/XMLSchema" xmlns:p="http://schemas.microsoft.com/office/2006/metadata/properties" xmlns:ns3="d05d9e4d-914c-4be2-977f-7a614b6ec314" xmlns:ns4="c8e0ff26-04e5-4868-b0a2-8a7ae538d59b" targetNamespace="http://schemas.microsoft.com/office/2006/metadata/properties" ma:root="true" ma:fieldsID="6394adbb32b3950462dfca29c8015bfe" ns3:_="" ns4:_="">
    <xsd:import namespace="d05d9e4d-914c-4be2-977f-7a614b6ec314"/>
    <xsd:import namespace="c8e0ff26-04e5-4868-b0a2-8a7ae538d5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d9e4d-914c-4be2-977f-7a614b6ec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0ff26-04e5-4868-b0a2-8a7ae538d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B635-060C-460F-A753-6F8E652F9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8880D-B20F-4B61-9968-7EE6F4A87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73D02-BBE0-47FD-80A3-A2A35C6BB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d9e4d-914c-4be2-977f-7a614b6ec314"/>
    <ds:schemaRef ds:uri="c8e0ff26-04e5-4868-b0a2-8a7ae538d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2DBC1-E5D1-44A7-9503-D0AE2E8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2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cp:lastModifiedBy>DelFranco, Ruthie</cp:lastModifiedBy>
  <cp:revision>2</cp:revision>
  <cp:lastPrinted>2018-10-29T16:00:00Z</cp:lastPrinted>
  <dcterms:created xsi:type="dcterms:W3CDTF">2021-10-07T16:33:00Z</dcterms:created>
  <dcterms:modified xsi:type="dcterms:W3CDTF">2021-10-07T16:33:00Z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0x010100E2B61B0651F85848A6ED0470975CB2AD</vt:lpwstr>
  </property>
</Properties>
</file>