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BD6C" w14:textId="77777777" w:rsidR="00B966F1" w:rsidRDefault="00B966F1" w:rsidP="00C2500C">
      <w:pPr>
        <w:tabs>
          <w:tab w:val="left" w:pos="0"/>
        </w:tabs>
        <w:jc w:val="right"/>
        <w:rPr>
          <w:sz w:val="22"/>
          <w:szCs w:val="22"/>
          <w:u w:val="single"/>
        </w:rPr>
      </w:pPr>
      <w:bookmarkStart w:id="0" w:name="_GoBack"/>
      <w:bookmarkEnd w:id="0"/>
    </w:p>
    <w:p w14:paraId="0398C95B" w14:textId="77777777" w:rsidR="00B966F1" w:rsidRDefault="00B966F1" w:rsidP="00C2500C">
      <w:pPr>
        <w:tabs>
          <w:tab w:val="left" w:pos="0"/>
        </w:tabs>
        <w:jc w:val="right"/>
        <w:rPr>
          <w:sz w:val="22"/>
          <w:szCs w:val="22"/>
          <w:u w:val="single"/>
        </w:rPr>
      </w:pPr>
    </w:p>
    <w:p w14:paraId="1D977F9A" w14:textId="77777777" w:rsidR="00B966F1" w:rsidRDefault="00B966F1" w:rsidP="00C2500C">
      <w:pPr>
        <w:tabs>
          <w:tab w:val="left" w:pos="0"/>
        </w:tabs>
        <w:jc w:val="right"/>
        <w:rPr>
          <w:sz w:val="22"/>
          <w:szCs w:val="22"/>
          <w:u w:val="single"/>
        </w:rPr>
      </w:pPr>
    </w:p>
    <w:p w14:paraId="6A697628" w14:textId="77777777" w:rsidR="00B966F1" w:rsidRDefault="00B966F1" w:rsidP="00C2500C">
      <w:pPr>
        <w:tabs>
          <w:tab w:val="left" w:pos="0"/>
        </w:tabs>
        <w:jc w:val="right"/>
        <w:rPr>
          <w:sz w:val="22"/>
          <w:szCs w:val="22"/>
          <w:u w:val="single"/>
        </w:rPr>
      </w:pPr>
    </w:p>
    <w:p w14:paraId="51428448" w14:textId="77777777" w:rsidR="00B966F1" w:rsidRDefault="00B966F1" w:rsidP="00C2500C">
      <w:pPr>
        <w:tabs>
          <w:tab w:val="left" w:pos="0"/>
        </w:tabs>
        <w:jc w:val="right"/>
        <w:rPr>
          <w:sz w:val="22"/>
          <w:szCs w:val="22"/>
          <w:u w:val="single"/>
        </w:rPr>
      </w:pPr>
    </w:p>
    <w:p w14:paraId="723C8641" w14:textId="77777777" w:rsidR="00B966F1" w:rsidRDefault="00B966F1" w:rsidP="00C2500C">
      <w:pPr>
        <w:tabs>
          <w:tab w:val="left" w:pos="0"/>
        </w:tabs>
        <w:jc w:val="right"/>
        <w:rPr>
          <w:sz w:val="22"/>
          <w:szCs w:val="22"/>
          <w:u w:val="single"/>
        </w:rPr>
      </w:pPr>
    </w:p>
    <w:p w14:paraId="5AF61318" w14:textId="77777777" w:rsidR="00B966F1" w:rsidRDefault="00B966F1" w:rsidP="00C2500C">
      <w:pPr>
        <w:tabs>
          <w:tab w:val="left" w:pos="0"/>
        </w:tabs>
        <w:jc w:val="right"/>
        <w:rPr>
          <w:sz w:val="22"/>
          <w:szCs w:val="22"/>
          <w:u w:val="single"/>
        </w:rPr>
      </w:pPr>
    </w:p>
    <w:p w14:paraId="37B3D428" w14:textId="77777777" w:rsidR="00B966F1" w:rsidRDefault="00B966F1" w:rsidP="00C2500C">
      <w:pPr>
        <w:tabs>
          <w:tab w:val="left" w:pos="0"/>
        </w:tabs>
        <w:jc w:val="right"/>
        <w:rPr>
          <w:sz w:val="22"/>
          <w:szCs w:val="22"/>
          <w:u w:val="single"/>
        </w:rPr>
      </w:pPr>
    </w:p>
    <w:p w14:paraId="4C7A78BC" w14:textId="7996E2A3" w:rsidR="00B966F1" w:rsidRDefault="00B966F1" w:rsidP="00C2500C">
      <w:pPr>
        <w:tabs>
          <w:tab w:val="left" w:pos="0"/>
        </w:tabs>
        <w:jc w:val="right"/>
        <w:rPr>
          <w:sz w:val="22"/>
          <w:szCs w:val="22"/>
          <w:u w:val="single"/>
        </w:rPr>
      </w:pPr>
    </w:p>
    <w:p w14:paraId="2C817AC1" w14:textId="01674B7C" w:rsidR="00B966F1" w:rsidRDefault="00B966F1" w:rsidP="00C2500C">
      <w:pPr>
        <w:tabs>
          <w:tab w:val="left" w:pos="0"/>
        </w:tabs>
        <w:jc w:val="right"/>
        <w:rPr>
          <w:sz w:val="22"/>
          <w:szCs w:val="22"/>
          <w:u w:val="single"/>
        </w:rPr>
      </w:pPr>
    </w:p>
    <w:p w14:paraId="72C7977B" w14:textId="753F7873" w:rsidR="00B966F1" w:rsidRDefault="00B966F1" w:rsidP="00C2500C">
      <w:pPr>
        <w:tabs>
          <w:tab w:val="left" w:pos="0"/>
        </w:tabs>
        <w:jc w:val="right"/>
        <w:rPr>
          <w:sz w:val="22"/>
          <w:szCs w:val="22"/>
          <w:u w:val="single"/>
        </w:rPr>
      </w:pPr>
    </w:p>
    <w:p w14:paraId="1EFCBBA1" w14:textId="2C214686" w:rsidR="00B966F1" w:rsidRDefault="00B966F1" w:rsidP="00C2500C">
      <w:pPr>
        <w:tabs>
          <w:tab w:val="left" w:pos="0"/>
        </w:tabs>
        <w:jc w:val="right"/>
        <w:rPr>
          <w:sz w:val="22"/>
          <w:szCs w:val="22"/>
          <w:u w:val="single"/>
        </w:rPr>
      </w:pPr>
    </w:p>
    <w:p w14:paraId="139B3F60" w14:textId="40277D66" w:rsidR="00B966F1" w:rsidRDefault="00B966F1" w:rsidP="00C2500C">
      <w:pPr>
        <w:tabs>
          <w:tab w:val="left" w:pos="0"/>
        </w:tabs>
        <w:jc w:val="right"/>
        <w:rPr>
          <w:sz w:val="22"/>
          <w:szCs w:val="22"/>
          <w:u w:val="single"/>
        </w:rPr>
      </w:pPr>
    </w:p>
    <w:p w14:paraId="4DECCC90" w14:textId="77777777" w:rsidR="00B966F1" w:rsidRPr="00B966F1" w:rsidRDefault="00B966F1" w:rsidP="00B966F1">
      <w:pPr>
        <w:tabs>
          <w:tab w:val="left" w:pos="0"/>
        </w:tabs>
        <w:jc w:val="right"/>
        <w:rPr>
          <w:sz w:val="22"/>
          <w:szCs w:val="22"/>
          <w:u w:val="single"/>
        </w:rPr>
      </w:pPr>
      <w:r w:rsidRPr="00B966F1">
        <w:rPr>
          <w:sz w:val="22"/>
          <w:szCs w:val="22"/>
          <w:u w:val="single"/>
        </w:rPr>
        <w:t>Health Committee Staff</w:t>
      </w:r>
    </w:p>
    <w:p w14:paraId="107097F1" w14:textId="2539BA73" w:rsidR="00B966F1" w:rsidRPr="00C2500C" w:rsidRDefault="00824C38" w:rsidP="00B966F1">
      <w:pPr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Harbani Ahuja</w:t>
      </w:r>
      <w:r w:rsidR="00B966F1" w:rsidRPr="00C2500C">
        <w:rPr>
          <w:sz w:val="22"/>
          <w:szCs w:val="22"/>
        </w:rPr>
        <w:t xml:space="preserve">, </w:t>
      </w:r>
      <w:r w:rsidR="00B966F1" w:rsidRPr="00C2500C">
        <w:rPr>
          <w:i/>
          <w:sz w:val="22"/>
          <w:szCs w:val="22"/>
        </w:rPr>
        <w:t>Legislative Counsel</w:t>
      </w:r>
    </w:p>
    <w:p w14:paraId="4A81B40B" w14:textId="5F6AB472" w:rsidR="00B966F1" w:rsidRPr="00C2500C" w:rsidRDefault="00B966F1" w:rsidP="00B966F1">
      <w:pPr>
        <w:tabs>
          <w:tab w:val="left" w:pos="0"/>
        </w:tabs>
        <w:jc w:val="right"/>
        <w:rPr>
          <w:sz w:val="22"/>
          <w:szCs w:val="22"/>
        </w:rPr>
      </w:pPr>
      <w:r w:rsidRPr="00C2500C">
        <w:rPr>
          <w:sz w:val="22"/>
          <w:szCs w:val="22"/>
        </w:rPr>
        <w:t xml:space="preserve">Sara Liss, </w:t>
      </w:r>
      <w:r w:rsidR="00824C38">
        <w:rPr>
          <w:i/>
          <w:sz w:val="22"/>
          <w:szCs w:val="22"/>
        </w:rPr>
        <w:t>Senior L</w:t>
      </w:r>
      <w:r w:rsidRPr="00C2500C">
        <w:rPr>
          <w:i/>
          <w:sz w:val="22"/>
          <w:szCs w:val="22"/>
        </w:rPr>
        <w:t>egislative Counsel</w:t>
      </w:r>
    </w:p>
    <w:p w14:paraId="6CE4EC60" w14:textId="3F595AF6" w:rsidR="00B966F1" w:rsidRPr="00C2500C" w:rsidRDefault="00B966F1" w:rsidP="00B966F1">
      <w:pPr>
        <w:tabs>
          <w:tab w:val="left" w:pos="0"/>
        </w:tabs>
        <w:jc w:val="right"/>
        <w:rPr>
          <w:sz w:val="22"/>
          <w:szCs w:val="22"/>
        </w:rPr>
      </w:pPr>
      <w:r w:rsidRPr="00C2500C">
        <w:rPr>
          <w:sz w:val="22"/>
          <w:szCs w:val="22"/>
        </w:rPr>
        <w:t xml:space="preserve">Em Balkan, </w:t>
      </w:r>
      <w:r w:rsidR="00824C38">
        <w:rPr>
          <w:i/>
          <w:iCs/>
          <w:sz w:val="22"/>
          <w:szCs w:val="22"/>
        </w:rPr>
        <w:t>Senior L</w:t>
      </w:r>
      <w:r w:rsidRPr="00824C38">
        <w:rPr>
          <w:i/>
          <w:iCs/>
          <w:sz w:val="22"/>
          <w:szCs w:val="22"/>
        </w:rPr>
        <w:t>egislative</w:t>
      </w:r>
      <w:r w:rsidRPr="00C2500C">
        <w:rPr>
          <w:sz w:val="22"/>
          <w:szCs w:val="22"/>
        </w:rPr>
        <w:t xml:space="preserve"> </w:t>
      </w:r>
      <w:r w:rsidRPr="00C2500C">
        <w:rPr>
          <w:i/>
          <w:sz w:val="22"/>
          <w:szCs w:val="22"/>
        </w:rPr>
        <w:t>Policy Analyst</w:t>
      </w:r>
    </w:p>
    <w:p w14:paraId="6BEB4810" w14:textId="3C38706B" w:rsidR="007E4384" w:rsidRPr="007E4384" w:rsidRDefault="00B966F1" w:rsidP="007E4384">
      <w:pPr>
        <w:tabs>
          <w:tab w:val="left" w:pos="0"/>
        </w:tabs>
        <w:jc w:val="right"/>
        <w:rPr>
          <w:i/>
          <w:sz w:val="22"/>
          <w:szCs w:val="22"/>
        </w:rPr>
      </w:pPr>
      <w:r w:rsidRPr="00C2500C">
        <w:rPr>
          <w:sz w:val="22"/>
          <w:szCs w:val="22"/>
        </w:rPr>
        <w:t xml:space="preserve">Lauren Hunt, </w:t>
      </w:r>
      <w:r w:rsidRPr="00C2500C">
        <w:rPr>
          <w:i/>
          <w:sz w:val="22"/>
          <w:szCs w:val="22"/>
        </w:rPr>
        <w:t>Finance</w:t>
      </w:r>
      <w:r w:rsidR="00C2500C">
        <w:rPr>
          <w:i/>
          <w:sz w:val="22"/>
          <w:szCs w:val="22"/>
        </w:rPr>
        <w:t xml:space="preserve"> Analyst</w:t>
      </w:r>
    </w:p>
    <w:p w14:paraId="583E3641" w14:textId="214BDE98" w:rsidR="00B966F1" w:rsidRPr="007E4384" w:rsidRDefault="007E4384" w:rsidP="00C2500C">
      <w:pPr>
        <w:tabs>
          <w:tab w:val="left" w:pos="0"/>
        </w:tabs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Brook Frye, </w:t>
      </w:r>
      <w:r>
        <w:rPr>
          <w:i/>
          <w:iCs/>
          <w:sz w:val="22"/>
          <w:szCs w:val="22"/>
        </w:rPr>
        <w:t>Data Analyst</w:t>
      </w:r>
    </w:p>
    <w:p w14:paraId="338AC393" w14:textId="77777777" w:rsidR="00B966F1" w:rsidRDefault="00B966F1" w:rsidP="00C2500C">
      <w:pPr>
        <w:tabs>
          <w:tab w:val="left" w:pos="0"/>
        </w:tabs>
        <w:jc w:val="right"/>
        <w:rPr>
          <w:sz w:val="22"/>
          <w:szCs w:val="22"/>
          <w:u w:val="single"/>
        </w:rPr>
      </w:pPr>
    </w:p>
    <w:p w14:paraId="489AB6D8" w14:textId="2498F5E8" w:rsidR="00CA01A9" w:rsidRDefault="007E4384" w:rsidP="00C2500C">
      <w:pPr>
        <w:tabs>
          <w:tab w:val="left" w:pos="0"/>
        </w:tabs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Hospital Committee</w:t>
      </w:r>
      <w:r w:rsidR="00CA01A9">
        <w:rPr>
          <w:sz w:val="22"/>
          <w:szCs w:val="22"/>
          <w:u w:val="single"/>
        </w:rPr>
        <w:t xml:space="preserve"> Staff</w:t>
      </w:r>
    </w:p>
    <w:p w14:paraId="0AF1F994" w14:textId="77777777" w:rsidR="007E4384" w:rsidRPr="00C2500C" w:rsidRDefault="007E4384" w:rsidP="007E4384">
      <w:pPr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Harbani Ahuja</w:t>
      </w:r>
      <w:r w:rsidRPr="00C2500C">
        <w:rPr>
          <w:sz w:val="22"/>
          <w:szCs w:val="22"/>
        </w:rPr>
        <w:t xml:space="preserve">, </w:t>
      </w:r>
      <w:r w:rsidRPr="00C2500C">
        <w:rPr>
          <w:i/>
          <w:sz w:val="22"/>
          <w:szCs w:val="22"/>
        </w:rPr>
        <w:t>Legislative Counsel</w:t>
      </w:r>
    </w:p>
    <w:p w14:paraId="26DCC700" w14:textId="77777777" w:rsidR="007E4384" w:rsidRPr="00C2500C" w:rsidRDefault="007E4384" w:rsidP="007E4384">
      <w:pPr>
        <w:tabs>
          <w:tab w:val="left" w:pos="0"/>
        </w:tabs>
        <w:jc w:val="right"/>
        <w:rPr>
          <w:sz w:val="22"/>
          <w:szCs w:val="22"/>
        </w:rPr>
      </w:pPr>
      <w:r w:rsidRPr="00C2500C">
        <w:rPr>
          <w:sz w:val="22"/>
          <w:szCs w:val="22"/>
        </w:rPr>
        <w:t xml:space="preserve">Em Balkan, </w:t>
      </w:r>
      <w:r>
        <w:rPr>
          <w:i/>
          <w:iCs/>
          <w:sz w:val="22"/>
          <w:szCs w:val="22"/>
        </w:rPr>
        <w:t>Senior L</w:t>
      </w:r>
      <w:r w:rsidRPr="00824C38">
        <w:rPr>
          <w:i/>
          <w:iCs/>
          <w:sz w:val="22"/>
          <w:szCs w:val="22"/>
        </w:rPr>
        <w:t>egislative</w:t>
      </w:r>
      <w:r w:rsidRPr="00C2500C">
        <w:rPr>
          <w:sz w:val="22"/>
          <w:szCs w:val="22"/>
        </w:rPr>
        <w:t xml:space="preserve"> </w:t>
      </w:r>
      <w:r w:rsidRPr="00C2500C">
        <w:rPr>
          <w:i/>
          <w:sz w:val="22"/>
          <w:szCs w:val="22"/>
        </w:rPr>
        <w:t>Policy Analyst</w:t>
      </w:r>
    </w:p>
    <w:p w14:paraId="7ECB1660" w14:textId="76A72842" w:rsidR="007E4384" w:rsidRDefault="007E4384" w:rsidP="007E4384">
      <w:pPr>
        <w:tabs>
          <w:tab w:val="left" w:pos="0"/>
        </w:tabs>
        <w:jc w:val="right"/>
        <w:rPr>
          <w:i/>
          <w:sz w:val="22"/>
          <w:szCs w:val="22"/>
        </w:rPr>
      </w:pPr>
      <w:r w:rsidRPr="00C2500C">
        <w:rPr>
          <w:sz w:val="22"/>
          <w:szCs w:val="22"/>
        </w:rPr>
        <w:t xml:space="preserve">Lauren Hunt, </w:t>
      </w:r>
      <w:r w:rsidRPr="00C2500C">
        <w:rPr>
          <w:i/>
          <w:sz w:val="22"/>
          <w:szCs w:val="22"/>
        </w:rPr>
        <w:t>Finance</w:t>
      </w:r>
      <w:r>
        <w:rPr>
          <w:i/>
          <w:sz w:val="22"/>
          <w:szCs w:val="22"/>
        </w:rPr>
        <w:t xml:space="preserve"> Analyst</w:t>
      </w:r>
    </w:p>
    <w:p w14:paraId="05C07147" w14:textId="12B8AF00" w:rsidR="007E4384" w:rsidRPr="007E4384" w:rsidRDefault="007E4384" w:rsidP="007E4384">
      <w:pPr>
        <w:tabs>
          <w:tab w:val="left" w:pos="0"/>
        </w:tabs>
        <w:jc w:val="right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Rachael Alexandroff, </w:t>
      </w:r>
      <w:r>
        <w:rPr>
          <w:i/>
          <w:sz w:val="22"/>
          <w:szCs w:val="22"/>
        </w:rPr>
        <w:t>Data Analyst</w:t>
      </w:r>
    </w:p>
    <w:p w14:paraId="50B8E96E" w14:textId="1A8C1442" w:rsidR="006074A7" w:rsidRDefault="00CA01A9" w:rsidP="00B966F1">
      <w:pPr>
        <w:tabs>
          <w:tab w:val="left" w:pos="0"/>
        </w:tabs>
        <w:jc w:val="right"/>
        <w:rPr>
          <w:sz w:val="22"/>
          <w:szCs w:val="22"/>
          <w:u w:val="single"/>
        </w:rPr>
        <w:sectPr w:rsidR="006074A7" w:rsidSect="006074A7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i/>
          <w:sz w:val="22"/>
          <w:szCs w:val="22"/>
        </w:rPr>
        <w:t xml:space="preserve"> </w:t>
      </w:r>
    </w:p>
    <w:p w14:paraId="6ADA4FF4" w14:textId="07E0A8D0" w:rsidR="006074A7" w:rsidRDefault="006074A7" w:rsidP="00B966F1">
      <w:pPr>
        <w:tabs>
          <w:tab w:val="left" w:pos="0"/>
        </w:tabs>
        <w:jc w:val="right"/>
        <w:rPr>
          <w:sz w:val="22"/>
          <w:szCs w:val="22"/>
          <w:u w:val="single"/>
        </w:rPr>
      </w:pPr>
    </w:p>
    <w:p w14:paraId="5ADA5B5B" w14:textId="77777777" w:rsidR="006074A7" w:rsidRDefault="006074A7" w:rsidP="00B966F1">
      <w:pPr>
        <w:tabs>
          <w:tab w:val="left" w:pos="0"/>
        </w:tabs>
        <w:jc w:val="right"/>
        <w:rPr>
          <w:sz w:val="22"/>
          <w:szCs w:val="22"/>
        </w:rPr>
        <w:sectPr w:rsidR="006074A7" w:rsidSect="006074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D5609E" w14:textId="77777777" w:rsidR="006074A7" w:rsidRDefault="006074A7" w:rsidP="00B966F1">
      <w:pPr>
        <w:tabs>
          <w:tab w:val="left" w:pos="0"/>
        </w:tabs>
        <w:jc w:val="right"/>
        <w:rPr>
          <w:sz w:val="22"/>
          <w:szCs w:val="22"/>
        </w:rPr>
        <w:sectPr w:rsidR="006074A7" w:rsidSect="006074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FBA3CA" w14:textId="6E41E404" w:rsidR="00C67A60" w:rsidRPr="00386FDA" w:rsidRDefault="00C67A60" w:rsidP="00B966F1">
      <w:pPr>
        <w:tabs>
          <w:tab w:val="left" w:pos="0"/>
        </w:tabs>
        <w:jc w:val="right"/>
        <w:rPr>
          <w:sz w:val="22"/>
          <w:szCs w:val="22"/>
        </w:rPr>
      </w:pPr>
    </w:p>
    <w:p w14:paraId="40BAA813" w14:textId="77777777" w:rsidR="007F4DBA" w:rsidRPr="00914FE4" w:rsidRDefault="37F853AE" w:rsidP="007F4DBA">
      <w:pPr>
        <w:tabs>
          <w:tab w:val="left" w:pos="7517"/>
        </w:tabs>
        <w:jc w:val="center"/>
      </w:pPr>
      <w:r>
        <w:rPr>
          <w:noProof/>
        </w:rPr>
        <w:drawing>
          <wp:inline distT="0" distB="0" distL="0" distR="0" wp14:anchorId="76EF721D" wp14:editId="7F578A06">
            <wp:extent cx="11715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EB066" w14:textId="58979705" w:rsidR="007F4DBA" w:rsidRPr="002D06E3" w:rsidRDefault="007C590A" w:rsidP="007F4DBA">
      <w:pPr>
        <w:pStyle w:val="Heading2"/>
        <w:jc w:val="center"/>
      </w:pPr>
      <w:r>
        <w:rPr>
          <w:bCs w:val="0"/>
          <w:u w:val="none"/>
        </w:rPr>
        <w:t>The Council of the City of New York</w:t>
      </w:r>
    </w:p>
    <w:p w14:paraId="771FED02" w14:textId="77777777" w:rsidR="009651C7" w:rsidRDefault="009651C7" w:rsidP="007F4DBA">
      <w:pPr>
        <w:pStyle w:val="Heading1"/>
        <w:jc w:val="center"/>
        <w:rPr>
          <w:b/>
          <w:caps/>
          <w:u w:val="single"/>
        </w:rPr>
      </w:pPr>
    </w:p>
    <w:p w14:paraId="3B522E8B" w14:textId="0DB4B612" w:rsidR="007F4DBA" w:rsidRPr="007C590A" w:rsidRDefault="007F4DBA" w:rsidP="007E4384">
      <w:pPr>
        <w:pStyle w:val="Heading1"/>
        <w:jc w:val="center"/>
        <w:rPr>
          <w:b/>
          <w:bCs/>
          <w:i/>
          <w:iCs/>
          <w:caps/>
          <w:u w:val="single"/>
        </w:rPr>
      </w:pPr>
      <w:r w:rsidRPr="001A075F">
        <w:rPr>
          <w:b/>
          <w:caps/>
          <w:u w:val="single"/>
        </w:rPr>
        <w:t>COMMITTEE REPORT OF THE HUMAN SERVICES</w:t>
      </w:r>
    </w:p>
    <w:p w14:paraId="5AD05D24" w14:textId="77777777" w:rsidR="007F4DBA" w:rsidRDefault="007F4DBA" w:rsidP="007F4DBA">
      <w:pPr>
        <w:jc w:val="center"/>
        <w:rPr>
          <w:i/>
        </w:rPr>
      </w:pPr>
      <w:r w:rsidRPr="001A075F">
        <w:t>Jeffrey Baker</w:t>
      </w:r>
      <w:r w:rsidRPr="00386FDA">
        <w:rPr>
          <w:i/>
        </w:rPr>
        <w:t>, Legislative Director</w:t>
      </w:r>
    </w:p>
    <w:p w14:paraId="06921555" w14:textId="7861E812" w:rsidR="007F4DBA" w:rsidRDefault="007F4DBA" w:rsidP="007F4DBA">
      <w:pPr>
        <w:jc w:val="center"/>
        <w:rPr>
          <w:i/>
        </w:rPr>
      </w:pPr>
      <w:r w:rsidRPr="001A075F">
        <w:t>Andrea Vazquez</w:t>
      </w:r>
      <w:r>
        <w:rPr>
          <w:i/>
        </w:rPr>
        <w:t>, Deputy Director, Human Services Division</w:t>
      </w:r>
      <w:r w:rsidRPr="00386FDA">
        <w:rPr>
          <w:i/>
        </w:rPr>
        <w:t xml:space="preserve"> </w:t>
      </w:r>
    </w:p>
    <w:p w14:paraId="2D491CE5" w14:textId="61CACA6A" w:rsidR="007F4DBA" w:rsidRDefault="007F4DBA" w:rsidP="007F4DBA">
      <w:pPr>
        <w:jc w:val="center"/>
        <w:rPr>
          <w:b/>
          <w:u w:val="single"/>
        </w:rPr>
      </w:pPr>
    </w:p>
    <w:p w14:paraId="3BC41E59" w14:textId="77777777" w:rsidR="009651C7" w:rsidRPr="00386FDA" w:rsidRDefault="009651C7" w:rsidP="007F4DBA">
      <w:pPr>
        <w:jc w:val="center"/>
        <w:rPr>
          <w:b/>
          <w:u w:val="single"/>
        </w:rPr>
      </w:pPr>
    </w:p>
    <w:p w14:paraId="68E64DD0" w14:textId="77777777" w:rsidR="007F4DBA" w:rsidRPr="00386FDA" w:rsidRDefault="007F4DBA" w:rsidP="007F4DBA">
      <w:pPr>
        <w:pStyle w:val="FootnoteText"/>
        <w:jc w:val="center"/>
        <w:rPr>
          <w:sz w:val="24"/>
          <w:szCs w:val="24"/>
        </w:rPr>
      </w:pPr>
      <w:r w:rsidRPr="00386FDA">
        <w:rPr>
          <w:b/>
          <w:sz w:val="24"/>
          <w:szCs w:val="24"/>
          <w:u w:val="single"/>
        </w:rPr>
        <w:t>COMMITTEE ON HEALTH</w:t>
      </w:r>
    </w:p>
    <w:p w14:paraId="66440F7C" w14:textId="5469D530" w:rsidR="007F4DBA" w:rsidRDefault="007F4DBA" w:rsidP="007F4DBA">
      <w:pPr>
        <w:jc w:val="center"/>
        <w:rPr>
          <w:i/>
        </w:rPr>
      </w:pPr>
      <w:r w:rsidRPr="001A075F">
        <w:t>Hon. Mark Levine</w:t>
      </w:r>
      <w:r w:rsidRPr="00FB17EF">
        <w:rPr>
          <w:i/>
        </w:rPr>
        <w:t>, Chair</w:t>
      </w:r>
    </w:p>
    <w:p w14:paraId="7B2483BA" w14:textId="41A1D9E4" w:rsidR="00105CE9" w:rsidRDefault="00105CE9" w:rsidP="007F4DBA">
      <w:pPr>
        <w:jc w:val="center"/>
        <w:rPr>
          <w:i/>
        </w:rPr>
      </w:pPr>
    </w:p>
    <w:p w14:paraId="7930D791" w14:textId="77777777" w:rsidR="009651C7" w:rsidRDefault="009651C7" w:rsidP="007F4DBA">
      <w:pPr>
        <w:jc w:val="center"/>
        <w:rPr>
          <w:i/>
        </w:rPr>
      </w:pPr>
    </w:p>
    <w:p w14:paraId="61740FDD" w14:textId="39FEEFB5" w:rsidR="00105CE9" w:rsidRPr="00386FDA" w:rsidRDefault="00105CE9" w:rsidP="00105CE9">
      <w:pPr>
        <w:pStyle w:val="FootnoteText"/>
        <w:jc w:val="center"/>
        <w:rPr>
          <w:sz w:val="24"/>
          <w:szCs w:val="24"/>
        </w:rPr>
      </w:pPr>
      <w:r w:rsidRPr="00386FDA">
        <w:rPr>
          <w:b/>
          <w:sz w:val="24"/>
          <w:szCs w:val="24"/>
          <w:u w:val="single"/>
        </w:rPr>
        <w:t xml:space="preserve">COMMITTEE ON </w:t>
      </w:r>
      <w:r w:rsidR="007E4384">
        <w:rPr>
          <w:b/>
          <w:sz w:val="24"/>
          <w:szCs w:val="24"/>
          <w:u w:val="single"/>
        </w:rPr>
        <w:t>HOSPITALS</w:t>
      </w:r>
    </w:p>
    <w:p w14:paraId="02A7D1AF" w14:textId="622D586F" w:rsidR="00105CE9" w:rsidRPr="003B5225" w:rsidRDefault="003B5225" w:rsidP="007F4DBA">
      <w:pPr>
        <w:jc w:val="center"/>
        <w:rPr>
          <w:i/>
        </w:rPr>
      </w:pPr>
      <w:r>
        <w:t xml:space="preserve">Hon. </w:t>
      </w:r>
      <w:r w:rsidR="007E4384">
        <w:t>Carlina Rivera</w:t>
      </w:r>
      <w:r>
        <w:t xml:space="preserve">, </w:t>
      </w:r>
      <w:r>
        <w:rPr>
          <w:i/>
        </w:rPr>
        <w:t>Chair</w:t>
      </w:r>
    </w:p>
    <w:p w14:paraId="49FAC0EA" w14:textId="4644A9C6" w:rsidR="00076600" w:rsidRDefault="00076600" w:rsidP="007F4DBA">
      <w:pPr>
        <w:jc w:val="center"/>
        <w:rPr>
          <w:i/>
        </w:rPr>
      </w:pPr>
    </w:p>
    <w:p w14:paraId="5331F6C2" w14:textId="77777777" w:rsidR="009651C7" w:rsidRDefault="009651C7" w:rsidP="007F4DBA">
      <w:pPr>
        <w:jc w:val="center"/>
        <w:rPr>
          <w:i/>
        </w:rPr>
      </w:pPr>
    </w:p>
    <w:p w14:paraId="5C12E99A" w14:textId="77777777" w:rsidR="007F4DBA" w:rsidRDefault="007F4DBA" w:rsidP="007F4DBA">
      <w:pPr>
        <w:pStyle w:val="Heading4"/>
        <w:rPr>
          <w:szCs w:val="24"/>
        </w:rPr>
      </w:pPr>
    </w:p>
    <w:p w14:paraId="0FE32AE7" w14:textId="17E06E44" w:rsidR="007F4DBA" w:rsidRDefault="007E4384" w:rsidP="00824C38">
      <w:pPr>
        <w:pStyle w:val="Heading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September 30</w:t>
      </w:r>
      <w:r w:rsidR="007F4DBA" w:rsidRPr="00307B3A">
        <w:rPr>
          <w:rFonts w:ascii="Times New Roman" w:hAnsi="Times New Roman"/>
          <w:szCs w:val="24"/>
        </w:rPr>
        <w:t>, 20</w:t>
      </w:r>
      <w:r w:rsidR="000814BE">
        <w:rPr>
          <w:rFonts w:ascii="Times New Roman" w:hAnsi="Times New Roman"/>
          <w:szCs w:val="24"/>
        </w:rPr>
        <w:t>21</w:t>
      </w:r>
    </w:p>
    <w:p w14:paraId="5BFDDE80" w14:textId="022BEB12" w:rsidR="00824C38" w:rsidRDefault="00824C38" w:rsidP="00824C38"/>
    <w:p w14:paraId="7056810E" w14:textId="77777777" w:rsidR="009651C7" w:rsidRDefault="009651C7" w:rsidP="00824C38"/>
    <w:p w14:paraId="003470A3" w14:textId="7C9EE1A2" w:rsidR="00824C38" w:rsidRDefault="007E4384" w:rsidP="007E4384">
      <w:pPr>
        <w:jc w:val="center"/>
      </w:pPr>
      <w:r w:rsidRPr="007E4384">
        <w:t xml:space="preserve">Oversight </w:t>
      </w:r>
      <w:r w:rsidR="00F31F49">
        <w:t>–</w:t>
      </w:r>
      <w:r w:rsidRPr="007E4384">
        <w:t xml:space="preserve"> </w:t>
      </w:r>
      <w:r w:rsidR="00F31F49">
        <w:t>Vaccine Hesitancy and Equity in NYC</w:t>
      </w:r>
    </w:p>
    <w:p w14:paraId="7642F8F6" w14:textId="5E1A85A3" w:rsidR="00B63167" w:rsidRDefault="00B63167" w:rsidP="00B63167"/>
    <w:p w14:paraId="1DFDC909" w14:textId="77777777" w:rsidR="00B63167" w:rsidRDefault="00B63167" w:rsidP="00B63167">
      <w:pPr>
        <w:ind w:left="5040" w:hanging="5040"/>
        <w:jc w:val="both"/>
        <w:rPr>
          <w:rFonts w:eastAsia="MS Mincho"/>
          <w:b/>
          <w:u w:val="single"/>
        </w:rPr>
      </w:pPr>
    </w:p>
    <w:p w14:paraId="41EC3059" w14:textId="77777777" w:rsidR="00B63167" w:rsidRDefault="00B63167" w:rsidP="00B63167">
      <w:pPr>
        <w:ind w:left="5040" w:hanging="5040"/>
        <w:jc w:val="both"/>
        <w:rPr>
          <w:rFonts w:eastAsia="MS Mincho"/>
          <w:b/>
          <w:u w:val="single"/>
        </w:rPr>
      </w:pPr>
    </w:p>
    <w:p w14:paraId="361DD5E6" w14:textId="41EEC1FB" w:rsidR="00B63167" w:rsidRPr="00E71521" w:rsidRDefault="00B63167" w:rsidP="00B63167">
      <w:pPr>
        <w:ind w:left="5040" w:hanging="5040"/>
        <w:jc w:val="both"/>
        <w:rPr>
          <w:rFonts w:eastAsia="MS Mincho"/>
        </w:rPr>
      </w:pPr>
      <w:r>
        <w:rPr>
          <w:rFonts w:eastAsia="MS Mincho"/>
          <w:b/>
          <w:u w:val="single"/>
        </w:rPr>
        <w:lastRenderedPageBreak/>
        <w:t xml:space="preserve">INT. </w:t>
      </w:r>
      <w:r w:rsidR="00E644BC">
        <w:rPr>
          <w:rFonts w:eastAsia="MS Mincho"/>
          <w:b/>
          <w:u w:val="single"/>
        </w:rPr>
        <w:t xml:space="preserve">NO. </w:t>
      </w:r>
      <w:r>
        <w:rPr>
          <w:rFonts w:eastAsia="MS Mincho"/>
          <w:b/>
          <w:u w:val="single"/>
        </w:rPr>
        <w:t>2373</w:t>
      </w:r>
      <w:r w:rsidRPr="00411549">
        <w:rPr>
          <w:rFonts w:eastAsia="MS Mincho"/>
          <w:b/>
          <w:u w:val="single"/>
        </w:rPr>
        <w:t>:</w:t>
      </w:r>
      <w:r>
        <w:rPr>
          <w:rFonts w:eastAsia="MS Mincho"/>
        </w:rPr>
        <w:t xml:space="preserve">                       </w:t>
      </w:r>
      <w:r>
        <w:rPr>
          <w:rFonts w:eastAsia="MS Mincho"/>
        </w:rPr>
        <w:tab/>
      </w:r>
      <w:r w:rsidRPr="00861D2C">
        <w:rPr>
          <w:rFonts w:eastAsia="MS Mincho"/>
          <w:sz w:val="23"/>
          <w:szCs w:val="23"/>
        </w:rPr>
        <w:t xml:space="preserve">By Council </w:t>
      </w:r>
      <w:r w:rsidRPr="00861D2C">
        <w:rPr>
          <w:color w:val="000000"/>
          <w:sz w:val="23"/>
          <w:szCs w:val="23"/>
          <w:shd w:val="clear" w:color="auto" w:fill="FFFFFF"/>
        </w:rPr>
        <w:t xml:space="preserve">Members </w:t>
      </w:r>
      <w:r>
        <w:rPr>
          <w:color w:val="000000"/>
          <w:shd w:val="clear" w:color="auto" w:fill="FFFFFF"/>
        </w:rPr>
        <w:t>Salamanca, Yeger, Brannan, Ampry-Samuel, Riley, Van Bramer, Lander, Rosenthal, Brooks-Powers, Powers, Koo, Dinowitz, Rivera, Rose, Adams, Koslowitz, D. Diaz, Dromm, Moya and Ayala</w:t>
      </w:r>
    </w:p>
    <w:p w14:paraId="31A3AA14" w14:textId="77777777" w:rsidR="00B63167" w:rsidRPr="00411549" w:rsidRDefault="00B63167" w:rsidP="00B63167">
      <w:pPr>
        <w:ind w:left="5040" w:hanging="5040"/>
        <w:jc w:val="both"/>
        <w:rPr>
          <w:rFonts w:eastAsia="MS Mincho"/>
        </w:rPr>
      </w:pPr>
    </w:p>
    <w:p w14:paraId="6EC08CB7" w14:textId="1848ACBA" w:rsidR="00B63167" w:rsidRDefault="00B63167" w:rsidP="00B63167">
      <w:pPr>
        <w:tabs>
          <w:tab w:val="left" w:pos="720"/>
          <w:tab w:val="left" w:pos="1440"/>
          <w:tab w:val="center" w:pos="4815"/>
        </w:tabs>
        <w:ind w:left="5040" w:hanging="5040"/>
        <w:rPr>
          <w:rFonts w:eastAsia="MS Mincho"/>
        </w:rPr>
      </w:pPr>
      <w:r w:rsidRPr="0033591F">
        <w:rPr>
          <w:rFonts w:eastAsia="MS Mincho"/>
          <w:b/>
          <w:u w:val="single"/>
        </w:rPr>
        <w:t>TITLE: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Pr="00E71521">
        <w:rPr>
          <w:rFonts w:eastAsia="MS Mincho"/>
        </w:rPr>
        <w:t>A Local Law t</w:t>
      </w:r>
      <w:r>
        <w:rPr>
          <w:rFonts w:eastAsia="MS Mincho"/>
        </w:rPr>
        <w:t xml:space="preserve">o amend the administrative code </w:t>
      </w:r>
      <w:r w:rsidRPr="00E71521">
        <w:rPr>
          <w:rFonts w:eastAsia="MS Mincho"/>
        </w:rPr>
        <w:t xml:space="preserve">of the city of New York, </w:t>
      </w:r>
      <w:r>
        <w:rPr>
          <w:color w:val="000000"/>
          <w:shd w:val="clear" w:color="auto" w:fill="FFFFFF"/>
        </w:rPr>
        <w:t>in relation to amending death certificates for deaths caused by COVID-19</w:t>
      </w:r>
    </w:p>
    <w:p w14:paraId="6BE3454F" w14:textId="77777777" w:rsidR="00B63167" w:rsidRDefault="00B63167" w:rsidP="00B63167">
      <w:pPr>
        <w:tabs>
          <w:tab w:val="left" w:pos="720"/>
          <w:tab w:val="left" w:pos="1440"/>
          <w:tab w:val="center" w:pos="4815"/>
        </w:tabs>
        <w:ind w:left="5040" w:hanging="5040"/>
        <w:rPr>
          <w:rFonts w:eastAsia="MS Mincho"/>
        </w:rPr>
      </w:pPr>
      <w:r>
        <w:rPr>
          <w:rFonts w:eastAsia="MS Mincho"/>
        </w:rPr>
        <w:tab/>
      </w:r>
    </w:p>
    <w:p w14:paraId="08E6D938" w14:textId="5621F498" w:rsidR="00B63167" w:rsidRPr="002253D5" w:rsidRDefault="00B63167" w:rsidP="00B63167">
      <w:pPr>
        <w:ind w:left="5040" w:hanging="5040"/>
        <w:jc w:val="both"/>
        <w:rPr>
          <w:rFonts w:eastAsia="MS Mincho"/>
          <w:bCs/>
        </w:rPr>
      </w:pPr>
      <w:r w:rsidRPr="0033591F">
        <w:rPr>
          <w:rFonts w:eastAsia="MS Mincho"/>
          <w:b/>
          <w:bCs/>
          <w:u w:val="single"/>
        </w:rPr>
        <w:t>ADMINISTRATIVE CODE</w:t>
      </w:r>
      <w:r w:rsidRPr="0033591F">
        <w:rPr>
          <w:rFonts w:eastAsia="MS Mincho"/>
          <w:b/>
          <w:bCs/>
        </w:rPr>
        <w:t>:</w:t>
      </w:r>
      <w:r w:rsidRPr="002253D5">
        <w:rPr>
          <w:rFonts w:eastAsia="MS Mincho"/>
          <w:bCs/>
        </w:rPr>
        <w:tab/>
        <w:t>A</w:t>
      </w:r>
      <w:r>
        <w:rPr>
          <w:rFonts w:eastAsia="MS Mincho"/>
          <w:bCs/>
        </w:rPr>
        <w:t>d</w:t>
      </w:r>
      <w:r w:rsidRPr="002253D5">
        <w:rPr>
          <w:rFonts w:eastAsia="MS Mincho"/>
          <w:bCs/>
        </w:rPr>
        <w:t>ds</w:t>
      </w:r>
      <w:r>
        <w:rPr>
          <w:rFonts w:eastAsia="MS Mincho"/>
          <w:bCs/>
        </w:rPr>
        <w:t xml:space="preserve"> a</w:t>
      </w:r>
      <w:r w:rsidRPr="002253D5">
        <w:rPr>
          <w:rFonts w:eastAsia="MS Mincho"/>
          <w:bCs/>
        </w:rPr>
        <w:t xml:space="preserve"> </w:t>
      </w:r>
      <w:r>
        <w:rPr>
          <w:rFonts w:eastAsia="MS Mincho"/>
          <w:bCs/>
        </w:rPr>
        <w:t xml:space="preserve">new </w:t>
      </w:r>
      <w:r w:rsidRPr="002253D5">
        <w:rPr>
          <w:rFonts w:eastAsia="MS Mincho"/>
          <w:bCs/>
        </w:rPr>
        <w:t xml:space="preserve">section </w:t>
      </w:r>
      <w:r>
        <w:rPr>
          <w:color w:val="000000"/>
          <w:shd w:val="clear" w:color="auto" w:fill="FFFFFF"/>
        </w:rPr>
        <w:t>17-169.1</w:t>
      </w:r>
    </w:p>
    <w:p w14:paraId="3A85A325" w14:textId="77777777" w:rsidR="00B63167" w:rsidRPr="00824C38" w:rsidRDefault="00B63167" w:rsidP="00B63167"/>
    <w:p w14:paraId="18F189CE" w14:textId="77777777" w:rsidR="007F4DBA" w:rsidRPr="004750C6" w:rsidRDefault="007F4DBA" w:rsidP="007F4DBA">
      <w:pPr>
        <w:spacing w:line="480" w:lineRule="auto"/>
        <w:ind w:firstLine="720"/>
        <w:jc w:val="both"/>
        <w:rPr>
          <w:rFonts w:ascii="Times New Roman Bold" w:hAnsi="Times New Roman Bold"/>
          <w:b/>
          <w:smallCaps/>
          <w:u w:val="single"/>
        </w:rPr>
      </w:pPr>
      <w:r>
        <w:rPr>
          <w:rFonts w:ascii="Times New Roman Bold" w:hAnsi="Times New Roman Bold"/>
          <w:b/>
          <w:smallCaps/>
          <w:u w:val="single"/>
        </w:rPr>
        <w:br w:type="page"/>
      </w:r>
      <w:r w:rsidRPr="004750C6">
        <w:rPr>
          <w:rFonts w:ascii="Times New Roman Bold" w:hAnsi="Times New Roman Bold"/>
          <w:b/>
          <w:smallCaps/>
          <w:u w:val="single"/>
        </w:rPr>
        <w:lastRenderedPageBreak/>
        <w:t>Introduction</w:t>
      </w:r>
    </w:p>
    <w:p w14:paraId="05406BEC" w14:textId="180392B5" w:rsidR="007F4DBA" w:rsidRPr="00D30617" w:rsidRDefault="007F4DBA" w:rsidP="00D30617">
      <w:pPr>
        <w:spacing w:line="480" w:lineRule="auto"/>
        <w:jc w:val="both"/>
      </w:pPr>
      <w:r w:rsidRPr="000A2061">
        <w:rPr>
          <w:bCs/>
        </w:rPr>
        <w:tab/>
      </w:r>
      <w:r>
        <w:rPr>
          <w:bCs/>
        </w:rPr>
        <w:t xml:space="preserve">On </w:t>
      </w:r>
      <w:r w:rsidR="00FD30A1">
        <w:rPr>
          <w:bCs/>
        </w:rPr>
        <w:t>September 30</w:t>
      </w:r>
      <w:r>
        <w:rPr>
          <w:bCs/>
        </w:rPr>
        <w:t>, 20</w:t>
      </w:r>
      <w:r w:rsidR="000814BE">
        <w:rPr>
          <w:bCs/>
        </w:rPr>
        <w:t>21</w:t>
      </w:r>
      <w:r w:rsidRPr="00307B3A">
        <w:rPr>
          <w:bCs/>
        </w:rPr>
        <w:t>, the Committee on Health, c</w:t>
      </w:r>
      <w:r w:rsidRPr="005B519F">
        <w:rPr>
          <w:bCs/>
        </w:rPr>
        <w:t xml:space="preserve">haired by Council Member </w:t>
      </w:r>
      <w:r>
        <w:rPr>
          <w:bCs/>
        </w:rPr>
        <w:t>Mark Levine</w:t>
      </w:r>
      <w:r w:rsidR="000814BE">
        <w:rPr>
          <w:bCs/>
        </w:rPr>
        <w:t>, and the Committee on</w:t>
      </w:r>
      <w:r w:rsidR="00AB4BC1">
        <w:rPr>
          <w:bCs/>
        </w:rPr>
        <w:t xml:space="preserve"> </w:t>
      </w:r>
      <w:r w:rsidR="00FD30A1">
        <w:rPr>
          <w:bCs/>
        </w:rPr>
        <w:t>Hospitals</w:t>
      </w:r>
      <w:r w:rsidR="00D42141">
        <w:rPr>
          <w:bCs/>
        </w:rPr>
        <w:t>,</w:t>
      </w:r>
      <w:r w:rsidR="006D0937">
        <w:rPr>
          <w:bCs/>
        </w:rPr>
        <w:t xml:space="preserve"> chaired by Council Member </w:t>
      </w:r>
      <w:r w:rsidR="00FD30A1">
        <w:rPr>
          <w:bCs/>
        </w:rPr>
        <w:t>Carlina Rivera</w:t>
      </w:r>
      <w:r w:rsidR="00136FE5">
        <w:rPr>
          <w:bCs/>
        </w:rPr>
        <w:t>,</w:t>
      </w:r>
      <w:r w:rsidRPr="005B519F">
        <w:rPr>
          <w:bCs/>
        </w:rPr>
        <w:t xml:space="preserve"> will hold a</w:t>
      </w:r>
      <w:r w:rsidR="000206E7">
        <w:rPr>
          <w:bCs/>
        </w:rPr>
        <w:t xml:space="preserve"> joint</w:t>
      </w:r>
      <w:r w:rsidRPr="005B519F">
        <w:rPr>
          <w:bCs/>
        </w:rPr>
        <w:t xml:space="preserve"> hearing </w:t>
      </w:r>
      <w:r w:rsidRPr="00921D5B">
        <w:t xml:space="preserve">on </w:t>
      </w:r>
      <w:r w:rsidR="00F31F49">
        <w:t>vaccine hesitancy and equity in New York City</w:t>
      </w:r>
      <w:r w:rsidR="00892A6A">
        <w:t xml:space="preserve">. </w:t>
      </w:r>
      <w:r w:rsidR="00B63167">
        <w:t>The Committee</w:t>
      </w:r>
      <w:r w:rsidR="000206E7">
        <w:t>s</w:t>
      </w:r>
      <w:r w:rsidR="00B63167">
        <w:t xml:space="preserve"> will hear Introduction Number 2373 (Int. </w:t>
      </w:r>
      <w:r w:rsidR="00E644BC">
        <w:t xml:space="preserve">No. </w:t>
      </w:r>
      <w:r w:rsidR="00B63167">
        <w:t xml:space="preserve">2373), sponsored by Council Member </w:t>
      </w:r>
      <w:r w:rsidR="00B63167" w:rsidRPr="00B63167">
        <w:rPr>
          <w:color w:val="000000"/>
        </w:rPr>
        <w:t>Salamanca, in relation to amending death certificates for deaths caused by COVID-19</w:t>
      </w:r>
      <w:r w:rsidR="00B63167">
        <w:rPr>
          <w:color w:val="000000"/>
        </w:rPr>
        <w:t>.</w:t>
      </w:r>
      <w:r w:rsidR="00B63167">
        <w:t xml:space="preserve"> </w:t>
      </w:r>
      <w:r w:rsidRPr="00307B3A">
        <w:rPr>
          <w:bCs/>
        </w:rPr>
        <w:t xml:space="preserve">Among those invited to testify are representatives from </w:t>
      </w:r>
      <w:r w:rsidR="008E03EB">
        <w:rPr>
          <w:bCs/>
        </w:rPr>
        <w:t>the New York City Department</w:t>
      </w:r>
      <w:r w:rsidR="00DF7918">
        <w:rPr>
          <w:bCs/>
        </w:rPr>
        <w:t xml:space="preserve"> of </w:t>
      </w:r>
      <w:r w:rsidR="00D30617">
        <w:rPr>
          <w:bCs/>
        </w:rPr>
        <w:t>Health and Mental Hygiene</w:t>
      </w:r>
      <w:r w:rsidR="003E0B2A">
        <w:rPr>
          <w:bCs/>
        </w:rPr>
        <w:t xml:space="preserve"> (</w:t>
      </w:r>
      <w:r w:rsidR="00D30617">
        <w:rPr>
          <w:bCs/>
        </w:rPr>
        <w:t>DOHMH</w:t>
      </w:r>
      <w:r w:rsidR="003E0B2A">
        <w:rPr>
          <w:bCs/>
        </w:rPr>
        <w:t>)</w:t>
      </w:r>
      <w:r w:rsidR="00B22205">
        <w:rPr>
          <w:bCs/>
        </w:rPr>
        <w:t xml:space="preserve"> and other members of the Administration, </w:t>
      </w:r>
      <w:r w:rsidRPr="00307B3A">
        <w:rPr>
          <w:bCs/>
        </w:rPr>
        <w:t>advocates, and other interested parties.</w:t>
      </w:r>
    </w:p>
    <w:p w14:paraId="1378E62C" w14:textId="77777777" w:rsidR="007F4DBA" w:rsidRPr="008E7C49" w:rsidRDefault="007F4DBA" w:rsidP="007F4DBA">
      <w:pPr>
        <w:spacing w:line="480" w:lineRule="auto"/>
        <w:ind w:firstLine="720"/>
        <w:jc w:val="both"/>
        <w:rPr>
          <w:highlight w:val="cyan"/>
          <w:lang w:val="en"/>
        </w:rPr>
      </w:pPr>
      <w:r w:rsidRPr="004750C6">
        <w:rPr>
          <w:rFonts w:ascii="Times New Roman Bold" w:hAnsi="Times New Roman Bold"/>
          <w:b/>
          <w:smallCaps/>
          <w:u w:val="single"/>
        </w:rPr>
        <w:t>Background</w:t>
      </w:r>
    </w:p>
    <w:p w14:paraId="5728E415" w14:textId="7CC9E8B1" w:rsidR="00B63167" w:rsidRPr="00B63167" w:rsidRDefault="00B63167" w:rsidP="000B3C73">
      <w:pPr>
        <w:spacing w:line="480" w:lineRule="auto"/>
        <w:jc w:val="both"/>
        <w:rPr>
          <w:i/>
        </w:rPr>
      </w:pPr>
      <w:r>
        <w:rPr>
          <w:i/>
        </w:rPr>
        <w:t>Vaccination</w:t>
      </w:r>
      <w:r w:rsidR="00E644BC">
        <w:rPr>
          <w:i/>
        </w:rPr>
        <w:t xml:space="preserve"> Rates</w:t>
      </w:r>
      <w:r>
        <w:rPr>
          <w:i/>
        </w:rPr>
        <w:t xml:space="preserve"> in New York City</w:t>
      </w:r>
    </w:p>
    <w:p w14:paraId="00E8C3C2" w14:textId="57D96AD3" w:rsidR="00B63167" w:rsidRDefault="00E82904" w:rsidP="00B63167">
      <w:pPr>
        <w:spacing w:line="480" w:lineRule="auto"/>
        <w:ind w:firstLine="720"/>
        <w:jc w:val="both"/>
      </w:pPr>
      <w:r w:rsidRPr="00E82904">
        <w:t>On December 14, 2020, Nurse Sandra Lindsey became the first person in the United States to receive the COVID-19 vaccine</w:t>
      </w:r>
      <w:r w:rsidR="00DB279A">
        <w:rPr>
          <w:rStyle w:val="FootnoteReference"/>
        </w:rPr>
        <w:footnoteReference w:id="1"/>
      </w:r>
      <w:r w:rsidRPr="00E82904">
        <w:t xml:space="preserve"> in a non-clinical trial, when she received the vaccine at New York’s Long Island Jewish Medical Center.</w:t>
      </w:r>
      <w:r w:rsidRPr="00E82904">
        <w:rPr>
          <w:vertAlign w:val="superscript"/>
        </w:rPr>
        <w:footnoteReference w:id="2"/>
      </w:r>
      <w:r w:rsidRPr="00E82904">
        <w:t xml:space="preserve"> New York City began the first portion of Phase 1a of vaccine distribution that same day, which included high-risk hospital staff, affiliates, volunteers</w:t>
      </w:r>
      <w:r w:rsidR="000B3C73">
        <w:t>,</w:t>
      </w:r>
      <w:r w:rsidRPr="00E82904">
        <w:t xml:space="preserve"> and contract staff.</w:t>
      </w:r>
      <w:r w:rsidRPr="00E82904">
        <w:rPr>
          <w:vertAlign w:val="superscript"/>
        </w:rPr>
        <w:footnoteReference w:id="3"/>
      </w:r>
      <w:r w:rsidRPr="00E82904">
        <w:t xml:space="preserve"> </w:t>
      </w:r>
      <w:r w:rsidR="00B616BB">
        <w:t xml:space="preserve">Today, all individuals </w:t>
      </w:r>
      <w:r w:rsidR="005E3284">
        <w:t xml:space="preserve">in New York City </w:t>
      </w:r>
      <w:r w:rsidR="00B616BB">
        <w:t>age 12 and over are eligible to receive a vaccine for COVID-19</w:t>
      </w:r>
      <w:r w:rsidR="000206E7">
        <w:t>.</w:t>
      </w:r>
      <w:r w:rsidR="00B616BB">
        <w:rPr>
          <w:rStyle w:val="FootnoteReference"/>
        </w:rPr>
        <w:footnoteReference w:id="4"/>
      </w:r>
    </w:p>
    <w:p w14:paraId="52EE2FFA" w14:textId="7D270893" w:rsidR="0020329C" w:rsidRDefault="00B63167" w:rsidP="00B63167">
      <w:pPr>
        <w:spacing w:line="480" w:lineRule="auto"/>
        <w:ind w:firstLine="720"/>
        <w:jc w:val="both"/>
      </w:pPr>
      <w:r>
        <w:t>As of July 2021, three in ten adults were unvaccinated nationally and about 14 percent of adults say they will “definitely not” get a COVID-19 vaccine.</w:t>
      </w:r>
      <w:r>
        <w:rPr>
          <w:rStyle w:val="FootnoteReference"/>
        </w:rPr>
        <w:footnoteReference w:id="5"/>
      </w:r>
      <w:r>
        <w:t xml:space="preserve"> A</w:t>
      </w:r>
      <w:r w:rsidR="004A33F9">
        <w:t>s of September 27</w:t>
      </w:r>
      <w:r w:rsidR="00B616BB">
        <w:t xml:space="preserve">, 2021, </w:t>
      </w:r>
      <w:r w:rsidR="004A33F9">
        <w:t>69.1%</w:t>
      </w:r>
      <w:r w:rsidR="00B616BB">
        <w:t xml:space="preserve"> of </w:t>
      </w:r>
      <w:r w:rsidR="004A33F9">
        <w:t>New Yor</w:t>
      </w:r>
      <w:r w:rsidR="001C2953">
        <w:t>k City residents</w:t>
      </w:r>
      <w:r w:rsidR="00B616BB">
        <w:t xml:space="preserve"> </w:t>
      </w:r>
      <w:r w:rsidR="004A33F9">
        <w:t xml:space="preserve">of all ages </w:t>
      </w:r>
      <w:r w:rsidR="00B616BB">
        <w:t>have received at least one dose of a vaccine</w:t>
      </w:r>
      <w:r w:rsidR="004A33F9">
        <w:t>, while 82% of adult New Yorkers have received at least one dose, and of those 65 and older, 82% have received at least one dose.</w:t>
      </w:r>
      <w:r w:rsidR="004A33F9" w:rsidRPr="004A33F9">
        <w:rPr>
          <w:rStyle w:val="FootnoteReference"/>
        </w:rPr>
        <w:t xml:space="preserve"> </w:t>
      </w:r>
      <w:r w:rsidR="004A33F9">
        <w:rPr>
          <w:rStyle w:val="FootnoteReference"/>
        </w:rPr>
        <w:footnoteReference w:id="6"/>
      </w:r>
      <w:r w:rsidR="004A33F9">
        <w:t xml:space="preserve"> The breakdown of those vaccinated by borough is as follows: </w:t>
      </w:r>
    </w:p>
    <w:p w14:paraId="1EAF939F" w14:textId="33437A5E" w:rsidR="004A33F9" w:rsidRDefault="004A33F9" w:rsidP="004A33F9">
      <w:pPr>
        <w:spacing w:line="480" w:lineRule="auto"/>
        <w:jc w:val="center"/>
      </w:pPr>
      <w:r>
        <w:rPr>
          <w:noProof/>
        </w:rPr>
        <w:drawing>
          <wp:inline distT="0" distB="0" distL="0" distR="0" wp14:anchorId="3F9DFF3C" wp14:editId="75AF3585">
            <wp:extent cx="5943600" cy="2443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A498E" w14:textId="4284F71D" w:rsidR="004A33F9" w:rsidRPr="004A33F9" w:rsidRDefault="004A33F9" w:rsidP="004A33F9">
      <w:pPr>
        <w:spacing w:line="480" w:lineRule="auto"/>
        <w:jc w:val="center"/>
        <w:rPr>
          <w:sz w:val="20"/>
          <w:szCs w:val="20"/>
        </w:rPr>
      </w:pPr>
      <w:r w:rsidRPr="004A33F9">
        <w:rPr>
          <w:sz w:val="20"/>
          <w:szCs w:val="20"/>
        </w:rPr>
        <w:t>DOHMH, COVID-19 Data</w:t>
      </w:r>
      <w:r>
        <w:rPr>
          <w:rStyle w:val="FootnoteReference"/>
          <w:sz w:val="20"/>
          <w:szCs w:val="20"/>
        </w:rPr>
        <w:footnoteReference w:id="7"/>
      </w:r>
    </w:p>
    <w:p w14:paraId="2CA61963" w14:textId="77777777" w:rsidR="004A33F9" w:rsidRDefault="004A33F9" w:rsidP="004A33F9">
      <w:pPr>
        <w:spacing w:line="480" w:lineRule="auto"/>
        <w:jc w:val="both"/>
        <w:rPr>
          <w:rFonts w:ascii="Times New Roman Bold" w:hAnsi="Times New Roman Bold"/>
          <w:b/>
          <w:smallCaps/>
          <w:u w:val="single"/>
        </w:rPr>
      </w:pPr>
    </w:p>
    <w:p w14:paraId="59DF1EB0" w14:textId="03865D1A" w:rsidR="004A33F9" w:rsidRDefault="004A33F9" w:rsidP="004A33F9">
      <w:pPr>
        <w:spacing w:line="480" w:lineRule="auto"/>
        <w:jc w:val="both"/>
        <w:rPr>
          <w:bCs/>
        </w:rPr>
      </w:pPr>
      <w:r>
        <w:rPr>
          <w:bCs/>
        </w:rPr>
        <w:t>DOHMH also collects vaccination data</w:t>
      </w:r>
      <w:r w:rsidR="000206E7">
        <w:rPr>
          <w:bCs/>
        </w:rPr>
        <w:t xml:space="preserve">, disaggregated </w:t>
      </w:r>
      <w:r>
        <w:rPr>
          <w:bCs/>
        </w:rPr>
        <w:t>demographic</w:t>
      </w:r>
      <w:r w:rsidR="000206E7">
        <w:rPr>
          <w:bCs/>
        </w:rPr>
        <w:t>ally</w:t>
      </w:r>
      <w:r>
        <w:rPr>
          <w:bCs/>
        </w:rPr>
        <w:t xml:space="preserve">, including </w:t>
      </w:r>
      <w:r w:rsidR="000206E7">
        <w:rPr>
          <w:bCs/>
        </w:rPr>
        <w:t xml:space="preserve">by </w:t>
      </w:r>
      <w:r>
        <w:rPr>
          <w:bCs/>
        </w:rPr>
        <w:t>race/ethnicity, age, and sex, as follows:</w:t>
      </w:r>
    </w:p>
    <w:p w14:paraId="490104B8" w14:textId="77777777" w:rsidR="004A33F9" w:rsidRDefault="004A33F9" w:rsidP="004A33F9">
      <w:pPr>
        <w:spacing w:line="480" w:lineRule="auto"/>
        <w:jc w:val="both"/>
        <w:rPr>
          <w:noProof/>
        </w:rPr>
      </w:pPr>
    </w:p>
    <w:p w14:paraId="122CBA12" w14:textId="3545920E" w:rsidR="004A33F9" w:rsidRDefault="004A33F9" w:rsidP="004A33F9">
      <w:pPr>
        <w:spacing w:line="480" w:lineRule="auto"/>
        <w:jc w:val="both"/>
        <w:rPr>
          <w:bCs/>
        </w:rPr>
      </w:pPr>
      <w:r>
        <w:rPr>
          <w:noProof/>
        </w:rPr>
        <w:drawing>
          <wp:inline distT="0" distB="0" distL="0" distR="0" wp14:anchorId="412C8CC4" wp14:editId="679684E8">
            <wp:extent cx="5695950" cy="4138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167"/>
                    <a:stretch/>
                  </pic:blipFill>
                  <pic:spPr bwMode="auto">
                    <a:xfrm>
                      <a:off x="0" y="0"/>
                      <a:ext cx="5695950" cy="4138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D7E2E5" w14:textId="79DB7EED" w:rsidR="004A33F9" w:rsidRDefault="004A33F9" w:rsidP="00E644BC">
      <w:pPr>
        <w:spacing w:line="480" w:lineRule="auto"/>
        <w:jc w:val="center"/>
        <w:rPr>
          <w:sz w:val="20"/>
          <w:szCs w:val="20"/>
        </w:rPr>
      </w:pPr>
      <w:r w:rsidRPr="004A33F9">
        <w:rPr>
          <w:sz w:val="20"/>
          <w:szCs w:val="20"/>
        </w:rPr>
        <w:t>DOHMH, COVID-19 Data</w:t>
      </w:r>
      <w:r>
        <w:rPr>
          <w:rStyle w:val="FootnoteReference"/>
          <w:sz w:val="20"/>
          <w:szCs w:val="20"/>
        </w:rPr>
        <w:footnoteReference w:id="8"/>
      </w:r>
    </w:p>
    <w:p w14:paraId="2BF6E8C0" w14:textId="24A3A18D" w:rsidR="00E644BC" w:rsidRPr="00E644BC" w:rsidRDefault="004A33F9" w:rsidP="004A33F9">
      <w:pPr>
        <w:spacing w:line="480" w:lineRule="auto"/>
        <w:jc w:val="both"/>
      </w:pPr>
      <w:r>
        <w:rPr>
          <w:bCs/>
        </w:rPr>
        <w:t>This data is further reported and disaggregated by borough, age and NYC residency.</w:t>
      </w:r>
      <w:r>
        <w:rPr>
          <w:rStyle w:val="FootnoteReference"/>
          <w:bCs/>
        </w:rPr>
        <w:footnoteReference w:id="9"/>
      </w:r>
      <w:r>
        <w:rPr>
          <w:bCs/>
        </w:rPr>
        <w:t xml:space="preserve"> </w:t>
      </w:r>
      <w:r w:rsidR="00E644BC">
        <w:rPr>
          <w:bCs/>
        </w:rPr>
        <w:t>DOHMH has qualified this data by explaining that w</w:t>
      </w:r>
      <w:r w:rsidR="00E644BC" w:rsidRPr="00993563">
        <w:t>hen a person gets vaccinated, they self-report their race/ethnicity, sex, location and other demographic</w:t>
      </w:r>
      <w:r w:rsidR="00E644BC">
        <w:t xml:space="preserve"> data, or the </w:t>
      </w:r>
      <w:r w:rsidR="00E644BC" w:rsidRPr="00993563">
        <w:t xml:space="preserve">information </w:t>
      </w:r>
      <w:r w:rsidR="00E644BC">
        <w:t>can</w:t>
      </w:r>
      <w:r w:rsidR="00E644BC" w:rsidRPr="00993563">
        <w:t xml:space="preserve"> be collected from electronic health records.</w:t>
      </w:r>
      <w:r w:rsidR="00E644BC" w:rsidRPr="00E644BC">
        <w:rPr>
          <w:rStyle w:val="FootnoteReference"/>
        </w:rPr>
        <w:t xml:space="preserve"> </w:t>
      </w:r>
      <w:r w:rsidR="00E644BC">
        <w:rPr>
          <w:rStyle w:val="FootnoteReference"/>
        </w:rPr>
        <w:footnoteReference w:id="10"/>
      </w:r>
      <w:r w:rsidR="00E644BC" w:rsidRPr="00993563">
        <w:t xml:space="preserve"> However, some vaccination records do n</w:t>
      </w:r>
      <w:r w:rsidR="00E644BC">
        <w:t>ot include race/ethnicity data, and while t</w:t>
      </w:r>
      <w:r w:rsidR="00E644BC" w:rsidRPr="00993563">
        <w:t>he CDC requires this data be reported, it has not always been a requirement and is inconsistently reported.</w:t>
      </w:r>
      <w:r w:rsidR="00E644BC">
        <w:rPr>
          <w:rStyle w:val="FootnoteReference"/>
        </w:rPr>
        <w:footnoteReference w:id="11"/>
      </w:r>
      <w:r w:rsidR="00E644BC">
        <w:t xml:space="preserve"> Additionally, t</w:t>
      </w:r>
      <w:r w:rsidR="00E644BC" w:rsidRPr="00993563">
        <w:t>he number of people vaccinated in some demographic groups and ZIP codes may exceed the total estimated p</w:t>
      </w:r>
      <w:r w:rsidR="00E644BC">
        <w:t xml:space="preserve">opulation of that group or area, which is more </w:t>
      </w:r>
      <w:r w:rsidR="00E644BC" w:rsidRPr="00993563">
        <w:t>likely to occur with smaller groups.</w:t>
      </w:r>
      <w:r w:rsidR="00E644BC">
        <w:rPr>
          <w:rStyle w:val="FootnoteReference"/>
        </w:rPr>
        <w:footnoteReference w:id="12"/>
      </w:r>
      <w:r w:rsidR="00E644BC" w:rsidRPr="00993563">
        <w:t xml:space="preserve"> In such instances, </w:t>
      </w:r>
      <w:r w:rsidR="00E644BC">
        <w:t xml:space="preserve">DOHMH reports the </w:t>
      </w:r>
      <w:r w:rsidR="00E644BC" w:rsidRPr="00993563">
        <w:t>group as 99% vaccinated.</w:t>
      </w:r>
      <w:r w:rsidR="00E644BC">
        <w:rPr>
          <w:rStyle w:val="FootnoteReference"/>
        </w:rPr>
        <w:footnoteReference w:id="13"/>
      </w:r>
      <w:r w:rsidR="00E644BC">
        <w:t xml:space="preserve"> Finally, DOHMH p</w:t>
      </w:r>
      <w:r w:rsidR="00E644BC" w:rsidRPr="00993563">
        <w:t>opulation counts are from 2019 and do not refle</w:t>
      </w:r>
      <w:r w:rsidR="00E644BC">
        <w:t>ct the most recent 2020 Census</w:t>
      </w:r>
      <w:r w:rsidR="00E644BC" w:rsidRPr="00993563">
        <w:t>.</w:t>
      </w:r>
      <w:r w:rsidR="00E644BC">
        <w:rPr>
          <w:rStyle w:val="FootnoteReference"/>
        </w:rPr>
        <w:footnoteReference w:id="14"/>
      </w:r>
    </w:p>
    <w:p w14:paraId="7D8C14E5" w14:textId="2B3F842E" w:rsidR="007E4384" w:rsidRDefault="00E644BC" w:rsidP="009D678E">
      <w:pPr>
        <w:spacing w:line="480" w:lineRule="auto"/>
        <w:jc w:val="both"/>
        <w:rPr>
          <w:bCs/>
        </w:rPr>
      </w:pPr>
      <w:r>
        <w:rPr>
          <w:bCs/>
        </w:rPr>
        <w:tab/>
        <w:t>Vaccination rate</w:t>
      </w:r>
      <w:r w:rsidR="000206E7">
        <w:rPr>
          <w:bCs/>
        </w:rPr>
        <w:t>s</w:t>
      </w:r>
      <w:r>
        <w:rPr>
          <w:bCs/>
        </w:rPr>
        <w:t xml:space="preserve"> in New York City can also be further broken out by professional sector. For example, m</w:t>
      </w:r>
      <w:r w:rsidR="00596528">
        <w:rPr>
          <w:bCs/>
        </w:rPr>
        <w:t>ore than a third of New York City’s municipal workforce is still holding out on getting a vaccine.</w:t>
      </w:r>
      <w:r w:rsidR="00A8625C">
        <w:rPr>
          <w:rStyle w:val="FootnoteReference"/>
          <w:bCs/>
        </w:rPr>
        <w:footnoteReference w:id="15"/>
      </w:r>
      <w:r w:rsidR="00033518">
        <w:rPr>
          <w:bCs/>
        </w:rPr>
        <w:t xml:space="preserve"> </w:t>
      </w:r>
      <w:r w:rsidR="0013064E">
        <w:rPr>
          <w:bCs/>
        </w:rPr>
        <w:t>According to data provided by the Mayor’s office, a</w:t>
      </w:r>
      <w:r w:rsidR="00033518">
        <w:rPr>
          <w:bCs/>
        </w:rPr>
        <w:t xml:space="preserve">s of September 7, </w:t>
      </w:r>
      <w:r w:rsidR="00BE5CAA">
        <w:rPr>
          <w:bCs/>
        </w:rPr>
        <w:t>2021, only 65 percent of city workers, or approximately 239,000 people, ha</w:t>
      </w:r>
      <w:r w:rsidR="00621550">
        <w:rPr>
          <w:bCs/>
        </w:rPr>
        <w:t>d</w:t>
      </w:r>
      <w:r w:rsidR="00BE5CAA">
        <w:rPr>
          <w:bCs/>
        </w:rPr>
        <w:t xml:space="preserve"> received </w:t>
      </w:r>
      <w:r w:rsidR="00621550">
        <w:rPr>
          <w:bCs/>
        </w:rPr>
        <w:t>at least one dose of the vaccine.</w:t>
      </w:r>
      <w:r w:rsidR="0013064E">
        <w:rPr>
          <w:rStyle w:val="FootnoteReference"/>
          <w:bCs/>
        </w:rPr>
        <w:footnoteReference w:id="16"/>
      </w:r>
      <w:r w:rsidR="0013064E">
        <w:rPr>
          <w:bCs/>
        </w:rPr>
        <w:t xml:space="preserve"> </w:t>
      </w:r>
      <w:r w:rsidR="00B379F6">
        <w:rPr>
          <w:bCs/>
        </w:rPr>
        <w:t>Dr. Denis Nash, an epidemiology professor at CUNY</w:t>
      </w:r>
      <w:r w:rsidR="000206E7">
        <w:rPr>
          <w:bCs/>
        </w:rPr>
        <w:t>,</w:t>
      </w:r>
      <w:r w:rsidR="00B379F6">
        <w:rPr>
          <w:bCs/>
        </w:rPr>
        <w:t xml:space="preserve"> stated that </w:t>
      </w:r>
      <w:r w:rsidR="00CE0219">
        <w:rPr>
          <w:bCs/>
        </w:rPr>
        <w:t>there seems to be a lot of vaccine hesitanc</w:t>
      </w:r>
      <w:r>
        <w:rPr>
          <w:bCs/>
        </w:rPr>
        <w:t>y in the city worker population,</w:t>
      </w:r>
      <w:r w:rsidR="00172976">
        <w:rPr>
          <w:rStyle w:val="FootnoteReference"/>
          <w:bCs/>
        </w:rPr>
        <w:footnoteReference w:id="17"/>
      </w:r>
      <w:r w:rsidR="00B379F6">
        <w:rPr>
          <w:bCs/>
        </w:rPr>
        <w:t xml:space="preserve"> </w:t>
      </w:r>
      <w:r>
        <w:rPr>
          <w:bCs/>
        </w:rPr>
        <w:t xml:space="preserve">and </w:t>
      </w:r>
      <w:r w:rsidR="00117DE8">
        <w:rPr>
          <w:bCs/>
        </w:rPr>
        <w:t>it appears that a large swath of city workers, from first responders to public housing employees, are willing to opt for weekly testing rather than getting vaccinated.</w:t>
      </w:r>
      <w:r w:rsidR="00117DE8">
        <w:rPr>
          <w:rStyle w:val="FootnoteReference"/>
          <w:bCs/>
        </w:rPr>
        <w:footnoteReference w:id="18"/>
      </w:r>
      <w:r w:rsidR="00117DE8">
        <w:rPr>
          <w:bCs/>
        </w:rPr>
        <w:t xml:space="preserve"> </w:t>
      </w:r>
      <w:r w:rsidR="00851558">
        <w:rPr>
          <w:bCs/>
        </w:rPr>
        <w:t>The breakdown of vaccination rates by a list of 47 city agencies showed a wide</w:t>
      </w:r>
      <w:r w:rsidR="00CA107A">
        <w:rPr>
          <w:bCs/>
        </w:rPr>
        <w:t xml:space="preserve"> range, from the highest level—92 percent of the Conflicts of Interest Board—to the lower 44 percent of the </w:t>
      </w:r>
      <w:r w:rsidR="00C00EBC">
        <w:rPr>
          <w:bCs/>
        </w:rPr>
        <w:t>City’s Sanitation Department.</w:t>
      </w:r>
      <w:r w:rsidR="00AC09FC">
        <w:rPr>
          <w:rStyle w:val="FootnoteReference"/>
          <w:bCs/>
        </w:rPr>
        <w:footnoteReference w:id="19"/>
      </w:r>
      <w:r w:rsidR="00C00EBC">
        <w:rPr>
          <w:bCs/>
        </w:rPr>
        <w:t xml:space="preserve"> </w:t>
      </w:r>
      <w:r w:rsidR="00BC511F">
        <w:rPr>
          <w:bCs/>
        </w:rPr>
        <w:t>One worrisome trend</w:t>
      </w:r>
      <w:r w:rsidR="00AB732A">
        <w:rPr>
          <w:bCs/>
        </w:rPr>
        <w:t xml:space="preserve"> is </w:t>
      </w:r>
      <w:r w:rsidR="006A6E35">
        <w:rPr>
          <w:bCs/>
        </w:rPr>
        <w:t>the coverage among the city’s first responders, who tend to have frequent</w:t>
      </w:r>
      <w:r w:rsidR="001C35AD">
        <w:rPr>
          <w:bCs/>
        </w:rPr>
        <w:t xml:space="preserve"> contact with the public: 57 percent of fire department employees have received one dose, </w:t>
      </w:r>
      <w:r w:rsidR="00B77103">
        <w:rPr>
          <w:bCs/>
        </w:rPr>
        <w:t xml:space="preserve">while the </w:t>
      </w:r>
      <w:r w:rsidR="001C35AD">
        <w:rPr>
          <w:bCs/>
        </w:rPr>
        <w:t>rate for emergency management workers is 54 percent</w:t>
      </w:r>
      <w:r w:rsidR="00EF1578">
        <w:rPr>
          <w:bCs/>
        </w:rPr>
        <w:t>, and the rate for NYPD employees is 53 percent.</w:t>
      </w:r>
      <w:r w:rsidR="00EF1578">
        <w:rPr>
          <w:rStyle w:val="FootnoteReference"/>
          <w:bCs/>
        </w:rPr>
        <w:footnoteReference w:id="20"/>
      </w:r>
      <w:r w:rsidR="00E44A85">
        <w:rPr>
          <w:bCs/>
        </w:rPr>
        <w:t xml:space="preserve"> </w:t>
      </w:r>
      <w:r w:rsidR="00AC2757">
        <w:rPr>
          <w:bCs/>
        </w:rPr>
        <w:t>Even amongst the city’s healthcare workers</w:t>
      </w:r>
      <w:r w:rsidR="00B77103">
        <w:rPr>
          <w:bCs/>
        </w:rPr>
        <w:t xml:space="preserve">, </w:t>
      </w:r>
      <w:r w:rsidR="00AC2757">
        <w:rPr>
          <w:bCs/>
        </w:rPr>
        <w:t>only 77 percent of Department of Health</w:t>
      </w:r>
      <w:r w:rsidR="000F049F">
        <w:rPr>
          <w:bCs/>
        </w:rPr>
        <w:t xml:space="preserve"> and Mental Hygiene</w:t>
      </w:r>
      <w:r w:rsidR="00AC2757">
        <w:rPr>
          <w:bCs/>
        </w:rPr>
        <w:t xml:space="preserve"> staffers and 77 percent of city hospital workers</w:t>
      </w:r>
      <w:r w:rsidR="00B77103">
        <w:rPr>
          <w:bCs/>
        </w:rPr>
        <w:t xml:space="preserve"> </w:t>
      </w:r>
      <w:r w:rsidR="0043327A">
        <w:rPr>
          <w:bCs/>
        </w:rPr>
        <w:t>were vaccinated.</w:t>
      </w:r>
      <w:r w:rsidR="000F049F">
        <w:rPr>
          <w:rStyle w:val="FootnoteReference"/>
          <w:bCs/>
        </w:rPr>
        <w:footnoteReference w:id="21"/>
      </w:r>
      <w:r w:rsidR="0043327A">
        <w:rPr>
          <w:bCs/>
        </w:rPr>
        <w:t xml:space="preserve"> </w:t>
      </w:r>
      <w:r w:rsidR="000F049F">
        <w:rPr>
          <w:bCs/>
        </w:rPr>
        <w:t>The Department of Education</w:t>
      </w:r>
      <w:r w:rsidR="00E279F4">
        <w:rPr>
          <w:bCs/>
        </w:rPr>
        <w:t>, whose 143,000 employees are also required to be immunized, has a vaccination rate of 72 percent.</w:t>
      </w:r>
      <w:r w:rsidR="00E279F4">
        <w:rPr>
          <w:rStyle w:val="FootnoteReference"/>
          <w:bCs/>
        </w:rPr>
        <w:footnoteReference w:id="22"/>
      </w:r>
      <w:r w:rsidR="00E279F4">
        <w:rPr>
          <w:bCs/>
        </w:rPr>
        <w:t xml:space="preserve"> </w:t>
      </w:r>
      <w:r w:rsidR="00E44A85" w:rsidRPr="00E44A85">
        <w:rPr>
          <w:bCs/>
        </w:rPr>
        <w:t>A spokesman for the mayor</w:t>
      </w:r>
      <w:r w:rsidR="00D501FB">
        <w:rPr>
          <w:bCs/>
        </w:rPr>
        <w:t>’s</w:t>
      </w:r>
      <w:r w:rsidR="00E44A85" w:rsidRPr="00E44A85">
        <w:rPr>
          <w:bCs/>
        </w:rPr>
        <w:t xml:space="preserve"> office noted that the city</w:t>
      </w:r>
      <w:r w:rsidR="00D501FB">
        <w:rPr>
          <w:bCs/>
        </w:rPr>
        <w:t>’s</w:t>
      </w:r>
      <w:r w:rsidR="00E44A85" w:rsidRPr="00E44A85">
        <w:rPr>
          <w:bCs/>
        </w:rPr>
        <w:t xml:space="preserve"> data on municipal employee vaccinations does not include workers who were vaccinated outside the city, meaning that the numbers were a </w:t>
      </w:r>
      <w:r w:rsidR="00D501FB">
        <w:rPr>
          <w:bCs/>
        </w:rPr>
        <w:t>“</w:t>
      </w:r>
      <w:r w:rsidR="00E44A85" w:rsidRPr="00E44A85">
        <w:rPr>
          <w:bCs/>
        </w:rPr>
        <w:t>conservative</w:t>
      </w:r>
      <w:r w:rsidR="00D501FB">
        <w:rPr>
          <w:bCs/>
        </w:rPr>
        <w:t>”</w:t>
      </w:r>
      <w:r w:rsidR="00E44A85" w:rsidRPr="00E44A85">
        <w:rPr>
          <w:bCs/>
        </w:rPr>
        <w:t xml:space="preserve"> estimate.</w:t>
      </w:r>
      <w:r w:rsidR="00D501FB">
        <w:rPr>
          <w:rStyle w:val="FootnoteReference"/>
          <w:bCs/>
        </w:rPr>
        <w:footnoteReference w:id="23"/>
      </w:r>
      <w:r w:rsidR="00BF1D4A">
        <w:rPr>
          <w:bCs/>
        </w:rPr>
        <w:t xml:space="preserve"> </w:t>
      </w:r>
      <w:r w:rsidR="00B62427">
        <w:rPr>
          <w:bCs/>
        </w:rPr>
        <w:t xml:space="preserve">On September 28, 2021, </w:t>
      </w:r>
      <w:r w:rsidR="00B62427" w:rsidRPr="00B62427">
        <w:rPr>
          <w:bCs/>
        </w:rPr>
        <w:t>President and CEO Dr. Mitchell Katz</w:t>
      </w:r>
      <w:r w:rsidR="00B62427">
        <w:rPr>
          <w:bCs/>
        </w:rPr>
        <w:t xml:space="preserve">  of </w:t>
      </w:r>
      <w:r w:rsidR="00B62427" w:rsidRPr="00B62427">
        <w:rPr>
          <w:bCs/>
        </w:rPr>
        <w:t>NYC Health + Hospitals</w:t>
      </w:r>
      <w:r w:rsidR="00B62427">
        <w:rPr>
          <w:bCs/>
        </w:rPr>
        <w:t xml:space="preserve"> (H+H),</w:t>
      </w:r>
      <w:r w:rsidR="00B62427" w:rsidRPr="00B62427">
        <w:rPr>
          <w:bCs/>
        </w:rPr>
        <w:t xml:space="preserve"> which runs 11 public hospitals across the five boroughs, </w:t>
      </w:r>
      <w:r w:rsidR="00B62427">
        <w:rPr>
          <w:bCs/>
        </w:rPr>
        <w:t xml:space="preserve">stated that to date, more than 91 percent of NYC H+H workers are </w:t>
      </w:r>
      <w:r w:rsidR="009D678E">
        <w:rPr>
          <w:bCs/>
        </w:rPr>
        <w:t>vaccinated.</w:t>
      </w:r>
      <w:r w:rsidR="009D678E">
        <w:rPr>
          <w:rStyle w:val="FootnoteReference"/>
          <w:bCs/>
        </w:rPr>
        <w:footnoteReference w:id="24"/>
      </w:r>
    </w:p>
    <w:p w14:paraId="19003F61" w14:textId="6CDE96C4" w:rsidR="00B63167" w:rsidRPr="00505FA3" w:rsidRDefault="002806B3" w:rsidP="00505FA3">
      <w:pPr>
        <w:spacing w:line="480" w:lineRule="auto"/>
        <w:jc w:val="both"/>
        <w:rPr>
          <w:bCs/>
        </w:rPr>
      </w:pPr>
      <w:r>
        <w:rPr>
          <w:bCs/>
        </w:rPr>
        <w:tab/>
        <w:t>Some unions have opposed the vax-or-test rule</w:t>
      </w:r>
      <w:r w:rsidR="00961FC8">
        <w:rPr>
          <w:bCs/>
        </w:rPr>
        <w:t xml:space="preserve">, </w:t>
      </w:r>
      <w:r w:rsidR="006A4356">
        <w:rPr>
          <w:bCs/>
        </w:rPr>
        <w:t>many of them arguing that the Mayor should have consulted them first.</w:t>
      </w:r>
      <w:r w:rsidR="006A4356">
        <w:rPr>
          <w:rStyle w:val="FootnoteReference"/>
          <w:bCs/>
        </w:rPr>
        <w:footnoteReference w:id="25"/>
      </w:r>
      <w:r w:rsidR="00B94CA6">
        <w:rPr>
          <w:bCs/>
        </w:rPr>
        <w:t xml:space="preserve"> Henry Garrido, president of the union DC37, stated that </w:t>
      </w:r>
      <w:r w:rsidR="00B030A4">
        <w:rPr>
          <w:bCs/>
        </w:rPr>
        <w:t>while they encourage everyone to get vaccinated and support measures to ensure their members’ health and wellbeing, weekly testing was “clearly subject to mandatory bargaining.</w:t>
      </w:r>
      <w:r w:rsidR="00273807">
        <w:rPr>
          <w:bCs/>
        </w:rPr>
        <w:t>”</w:t>
      </w:r>
      <w:r w:rsidR="00AA56B9">
        <w:rPr>
          <w:rStyle w:val="FootnoteReference"/>
          <w:bCs/>
        </w:rPr>
        <w:footnoteReference w:id="26"/>
      </w:r>
      <w:r w:rsidR="00A103E5">
        <w:rPr>
          <w:bCs/>
        </w:rPr>
        <w:t xml:space="preserve"> </w:t>
      </w:r>
      <w:r w:rsidR="00273807">
        <w:rPr>
          <w:bCs/>
        </w:rPr>
        <w:t xml:space="preserve">The United Federation of Teachers (UFT) </w:t>
      </w:r>
      <w:r w:rsidR="00C47252">
        <w:rPr>
          <w:bCs/>
        </w:rPr>
        <w:t>and the Mayoral administration have also been in discussions after a complaint was filed with the Public Employment Relations Board saying the city refused to accommodate teachers who cannot be vaccinated because of medical or religious reasons</w:t>
      </w:r>
      <w:r w:rsidR="002B3B4B">
        <w:rPr>
          <w:bCs/>
        </w:rPr>
        <w:t>.</w:t>
      </w:r>
      <w:r w:rsidR="002B3B4B">
        <w:rPr>
          <w:rStyle w:val="FootnoteReference"/>
          <w:bCs/>
        </w:rPr>
        <w:footnoteReference w:id="27"/>
      </w:r>
      <w:r w:rsidR="002B3B4B">
        <w:rPr>
          <w:bCs/>
        </w:rPr>
        <w:t xml:space="preserve"> According to Michael Mulgrew, president of the union, “The city has backed off its initial position that teachers with medical and religious exemptions to the vaccine be removed from payroll.</w:t>
      </w:r>
      <w:r w:rsidR="001A754F">
        <w:rPr>
          <w:rStyle w:val="FootnoteReference"/>
          <w:bCs/>
        </w:rPr>
        <w:footnoteReference w:id="28"/>
      </w:r>
      <w:r w:rsidR="002B3B4B">
        <w:rPr>
          <w:bCs/>
        </w:rPr>
        <w:t xml:space="preserve"> </w:t>
      </w:r>
      <w:r w:rsidR="001C2953">
        <w:rPr>
          <w:bCs/>
        </w:rPr>
        <w:t xml:space="preserve">But there are still many details of how </w:t>
      </w:r>
      <w:r w:rsidR="002B3B4B">
        <w:rPr>
          <w:bCs/>
        </w:rPr>
        <w:t>these exemptions will be applied—and how other teachers unwilling to take the vaccine will be treated</w:t>
      </w:r>
      <w:r w:rsidR="001C2953">
        <w:rPr>
          <w:bCs/>
        </w:rPr>
        <w:t>—that are now being worked through</w:t>
      </w:r>
      <w:r w:rsidR="002B3B4B">
        <w:rPr>
          <w:bCs/>
        </w:rPr>
        <w:t>.”</w:t>
      </w:r>
      <w:r w:rsidR="002B3B4B">
        <w:rPr>
          <w:rStyle w:val="FootnoteReference"/>
          <w:bCs/>
        </w:rPr>
        <w:footnoteReference w:id="29"/>
      </w:r>
    </w:p>
    <w:p w14:paraId="14BDD761" w14:textId="7D45CFB8" w:rsidR="00505FA3" w:rsidRDefault="00505FA3">
      <w:pPr>
        <w:spacing w:after="160" w:line="259" w:lineRule="auto"/>
        <w:rPr>
          <w:i/>
        </w:rPr>
      </w:pPr>
      <w:r>
        <w:rPr>
          <w:i/>
        </w:rPr>
        <w:t>Vaccination Hesitancy and Equity in New York City</w:t>
      </w:r>
    </w:p>
    <w:p w14:paraId="1B5D59D7" w14:textId="7125E090" w:rsidR="00EA026E" w:rsidRPr="00EA026E" w:rsidRDefault="005D32E3" w:rsidP="00DB5FEF">
      <w:pPr>
        <w:spacing w:line="480" w:lineRule="auto"/>
        <w:ind w:firstLine="720"/>
        <w:jc w:val="both"/>
      </w:pPr>
      <w:r>
        <w:t xml:space="preserve">According to </w:t>
      </w:r>
      <w:r w:rsidR="006A7EDB">
        <w:t xml:space="preserve">the World Health Organization (WHO), vaccination hesitancy refers to </w:t>
      </w:r>
      <w:r w:rsidR="001D23C1">
        <w:t>“</w:t>
      </w:r>
      <w:r w:rsidR="006A7EDB">
        <w:t>delay in acceptance or refusal of vaccines despite a</w:t>
      </w:r>
      <w:r w:rsidR="001D23C1">
        <w:t>vailability of vaccine services,” i</w:t>
      </w:r>
      <w:r w:rsidR="006A7EDB">
        <w:t xml:space="preserve">s </w:t>
      </w:r>
      <w:r w:rsidR="001D23C1">
        <w:t>“</w:t>
      </w:r>
      <w:r w:rsidR="006A7EDB">
        <w:t xml:space="preserve">complex and context specific varying </w:t>
      </w:r>
      <w:r w:rsidR="001D23C1">
        <w:t>across time, place and vaccines,” and i</w:t>
      </w:r>
      <w:r w:rsidR="006A7EDB">
        <w:t xml:space="preserve">s </w:t>
      </w:r>
      <w:r w:rsidR="001D23C1">
        <w:t>“</w:t>
      </w:r>
      <w:r w:rsidR="006A7EDB">
        <w:t>influenced by factors such as complacency, convenience and confidence.</w:t>
      </w:r>
      <w:r w:rsidR="001D23C1">
        <w:t>”</w:t>
      </w:r>
      <w:r w:rsidR="001D23C1">
        <w:rPr>
          <w:rStyle w:val="FootnoteReference"/>
        </w:rPr>
        <w:footnoteReference w:id="30"/>
      </w:r>
      <w:r w:rsidR="009F474A">
        <w:t xml:space="preserve"> Vaccine hesitancy has existed since the advent of vaccines, and certainly </w:t>
      </w:r>
      <w:r w:rsidR="009F474A" w:rsidRPr="00DB5FEF">
        <w:t>since before the COVID-19 pandemic.</w:t>
      </w:r>
      <w:r w:rsidR="009F474A" w:rsidRPr="00DB5FEF">
        <w:rPr>
          <w:rStyle w:val="FootnoteReference"/>
        </w:rPr>
        <w:footnoteReference w:id="31"/>
      </w:r>
      <w:r w:rsidR="009F474A" w:rsidRPr="00DB5FEF">
        <w:t xml:space="preserve"> </w:t>
      </w:r>
      <w:r w:rsidR="009F474A" w:rsidRPr="00DB5FEF">
        <w:rPr>
          <w:shd w:val="clear" w:color="auto" w:fill="FFFFFF"/>
        </w:rPr>
        <w:t>In 2019, the WHO listed vaccine hesitancy among </w:t>
      </w:r>
      <w:r w:rsidR="009F474A" w:rsidRPr="00DB5FEF">
        <w:rPr>
          <w:bCs/>
          <w:shd w:val="clear" w:color="auto" w:fill="FFFFFF"/>
        </w:rPr>
        <w:t>the top 10 threats to global health</w:t>
      </w:r>
      <w:r w:rsidR="009F474A" w:rsidRPr="00DB5FEF">
        <w:rPr>
          <w:shd w:val="clear" w:color="auto" w:fill="FFFFFF"/>
        </w:rPr>
        <w:t> because it “threatens to reverse progress made in tackling vaccine-preventable diseases.”</w:t>
      </w:r>
      <w:r w:rsidR="009F474A" w:rsidRPr="00DB5FEF">
        <w:rPr>
          <w:rStyle w:val="FootnoteReference"/>
          <w:shd w:val="clear" w:color="auto" w:fill="FFFFFF"/>
        </w:rPr>
        <w:footnoteReference w:id="32"/>
      </w:r>
      <w:r w:rsidR="00DB5FEF" w:rsidRPr="00DB5FEF">
        <w:rPr>
          <w:shd w:val="clear" w:color="auto" w:fill="FFFFFF"/>
        </w:rPr>
        <w:t xml:space="preserve"> To combat hesitancy,</w:t>
      </w:r>
      <w:r w:rsidR="00B77103">
        <w:rPr>
          <w:shd w:val="clear" w:color="auto" w:fill="FFFFFF"/>
        </w:rPr>
        <w:t xml:space="preserve"> the</w:t>
      </w:r>
      <w:r w:rsidR="00DB5FEF" w:rsidRPr="00DB5FEF">
        <w:rPr>
          <w:shd w:val="clear" w:color="auto" w:fill="FFFFFF"/>
        </w:rPr>
        <w:t xml:space="preserve"> WHO suggests that “</w:t>
      </w:r>
      <w:r w:rsidR="00DB5FEF" w:rsidRPr="00DB5FEF">
        <w:t xml:space="preserve">Health workers, especially those in communities, remain the most trusted advisor and influencer of </w:t>
      </w:r>
      <w:r w:rsidR="00DB5FEF" w:rsidRPr="00EA026E">
        <w:t>vaccination decisions, and they must be supported to provide trusted, credible information on vaccines.”</w:t>
      </w:r>
      <w:r w:rsidR="00DB5FEF" w:rsidRPr="00EA026E">
        <w:rPr>
          <w:rStyle w:val="FootnoteReference"/>
        </w:rPr>
        <w:footnoteReference w:id="33"/>
      </w:r>
      <w:r w:rsidR="00DB5FEF" w:rsidRPr="00EA026E">
        <w:t xml:space="preserve"> The causes and reasons for vaccine hesitancy are varied: The W</w:t>
      </w:r>
      <w:r w:rsidR="00B77103">
        <w:t>HO</w:t>
      </w:r>
      <w:r w:rsidR="00DB5FEF" w:rsidRPr="00EA026E">
        <w:t xml:space="preserve"> has cited the degree of </w:t>
      </w:r>
      <w:r w:rsidR="00EA026E" w:rsidRPr="00EA026E">
        <w:t>“</w:t>
      </w:r>
      <w:r w:rsidR="00DB5FEF" w:rsidRPr="00EA026E">
        <w:t>trust in vaccines, healthcare systems, and policy makers (</w:t>
      </w:r>
      <w:r w:rsidR="00DB5FEF" w:rsidRPr="00EA026E">
        <w:rPr>
          <w:rStyle w:val="Emphasis"/>
        </w:rPr>
        <w:t>confidence</w:t>
      </w:r>
      <w:r w:rsidR="00DB5FEF" w:rsidRPr="00EA026E">
        <w:t>), a perception of low risks from disease (</w:t>
      </w:r>
      <w:r w:rsidR="00DB5FEF" w:rsidRPr="00EA026E">
        <w:rPr>
          <w:rStyle w:val="Emphasis"/>
        </w:rPr>
        <w:t>complacency</w:t>
      </w:r>
      <w:r w:rsidR="00DB5FEF" w:rsidRPr="00EA026E">
        <w:t>, which paradoxically arises because effective vaccines lead to low disease risk in the first place), and access challenges (</w:t>
      </w:r>
      <w:r w:rsidR="00DB5FEF" w:rsidRPr="00EA026E">
        <w:rPr>
          <w:rStyle w:val="Emphasis"/>
        </w:rPr>
        <w:t>convenience</w:t>
      </w:r>
      <w:r w:rsidR="00DB5FEF" w:rsidRPr="00EA026E">
        <w:t>) as reasons for vaccine hesitancy.</w:t>
      </w:r>
      <w:r w:rsidR="00EA026E" w:rsidRPr="00EA026E">
        <w:t>”</w:t>
      </w:r>
      <w:r w:rsidR="00EA026E" w:rsidRPr="00EA026E">
        <w:rPr>
          <w:rStyle w:val="FootnoteReference"/>
        </w:rPr>
        <w:footnoteReference w:id="34"/>
      </w:r>
      <w:r w:rsidR="00DB5FEF" w:rsidRPr="00EA026E">
        <w:rPr>
          <w:color w:val="222222"/>
        </w:rPr>
        <w:t> </w:t>
      </w:r>
      <w:r w:rsidR="00EA026E" w:rsidRPr="00EA026E">
        <w:rPr>
          <w:color w:val="222222"/>
        </w:rPr>
        <w:t>According to a</w:t>
      </w:r>
      <w:r w:rsidR="00DB5FEF" w:rsidRPr="00EA026E">
        <w:rPr>
          <w:b/>
          <w:bCs/>
          <w:color w:val="222222"/>
        </w:rPr>
        <w:t xml:space="preserve"> </w:t>
      </w:r>
      <w:r w:rsidR="00DB5FEF" w:rsidRPr="00EA026E">
        <w:rPr>
          <w:bCs/>
          <w:color w:val="222222"/>
        </w:rPr>
        <w:t>survey</w:t>
      </w:r>
      <w:r w:rsidR="00DB5FEF" w:rsidRPr="00EA026E">
        <w:rPr>
          <w:color w:val="222222"/>
        </w:rPr>
        <w:t> conducted by Carnegie Mellon University and the University of Maryland i</w:t>
      </w:r>
      <w:r w:rsidR="00EA026E" w:rsidRPr="00EA026E">
        <w:t xml:space="preserve">n a collaboration with Facebook: </w:t>
      </w:r>
      <w:r w:rsidR="00DB5FEF" w:rsidRPr="00EA026E">
        <w:t>70% of vaccine-hesitant adults are worried about potential side effects of COVID-19 vaccines.</w:t>
      </w:r>
      <w:r w:rsidR="00EA026E" w:rsidRPr="00EA026E">
        <w:rPr>
          <w:rStyle w:val="FootnoteReference"/>
        </w:rPr>
        <w:footnoteReference w:id="35"/>
      </w:r>
      <w:r w:rsidR="00DB5FEF" w:rsidRPr="00EA026E">
        <w:t> </w:t>
      </w:r>
      <w:r w:rsidR="00EA026E" w:rsidRPr="00EA026E">
        <w:t>T</w:t>
      </w:r>
      <w:r w:rsidR="00DB5FEF" w:rsidRPr="00EA026E">
        <w:t xml:space="preserve">he Centers for Disease Control and Prevention (CDC) have identified other factors beyond safety, </w:t>
      </w:r>
      <w:r w:rsidR="00EA026E" w:rsidRPr="00EA026E">
        <w:t>including a</w:t>
      </w:r>
      <w:r w:rsidR="00DB5FEF" w:rsidRPr="00EA026E">
        <w:t xml:space="preserve"> reliance on a “wait and see” approach, a lack of trust in the government, and concerns about the speed at which COVID-19 vaccines were developed.</w:t>
      </w:r>
      <w:r w:rsidR="00EA026E" w:rsidRPr="00EA026E">
        <w:rPr>
          <w:rStyle w:val="FootnoteReference"/>
        </w:rPr>
        <w:footnoteReference w:id="36"/>
      </w:r>
    </w:p>
    <w:p w14:paraId="7FCC3934" w14:textId="5524F410" w:rsidR="00EA026E" w:rsidRDefault="00EA026E" w:rsidP="00EA026E">
      <w:pPr>
        <w:spacing w:line="480" w:lineRule="auto"/>
        <w:ind w:firstLine="720"/>
        <w:jc w:val="both"/>
      </w:pPr>
      <w:r w:rsidRPr="00EA026E">
        <w:t>Additionally, for many communities of color, immigrant communities, and religious communities, vaccine hesitancy has been attributed to a history of racist or discriminatory medical experimentation by the government, fostered by ongoing discrimination against people of color in the health care system and other barriers that limit access</w:t>
      </w:r>
      <w:r>
        <w:t>.</w:t>
      </w:r>
      <w:r w:rsidRPr="00EA026E">
        <w:rPr>
          <w:rStyle w:val="FootnoteReference"/>
        </w:rPr>
        <w:footnoteReference w:id="37"/>
      </w:r>
      <w:r>
        <w:t xml:space="preserve"> Such health inequities exist in New York City – according to DOHMH:</w:t>
      </w:r>
    </w:p>
    <w:p w14:paraId="2572777D" w14:textId="71AA3111" w:rsidR="005755E2" w:rsidRDefault="00EA026E" w:rsidP="00EA026E">
      <w:pPr>
        <w:spacing w:line="480" w:lineRule="auto"/>
        <w:ind w:left="720" w:right="720"/>
        <w:jc w:val="both"/>
      </w:pPr>
      <w:r>
        <w:t>D</w:t>
      </w:r>
      <w:r w:rsidR="005755E2" w:rsidRPr="00993563">
        <w:t>ifferences in health outcomes and vaccination coverage among racial and ethnic groups are due to long-term structural racism, not biological or personal traits.</w:t>
      </w:r>
      <w:r>
        <w:t xml:space="preserve"> </w:t>
      </w:r>
      <w:r w:rsidR="005755E2" w:rsidRPr="00993563">
        <w:t>Structural racism — centuries of racist policies and discriminatory practices across institutions, including government agencies, and society — prevents communities of color from accessing vital resources (such as health care, housing and food) and opportunities (such as employment and education), and negatively affects overall health and well-being. The disproportionate impact of COVID-19 on New Yorkers of color highlights how these inequities negatively influence health outcomes.</w:t>
      </w:r>
      <w:r>
        <w:rPr>
          <w:rStyle w:val="FootnoteReference"/>
        </w:rPr>
        <w:footnoteReference w:id="38"/>
      </w:r>
    </w:p>
    <w:p w14:paraId="29294719" w14:textId="2B8CD2F5" w:rsidR="00EA026E" w:rsidRDefault="009F2233" w:rsidP="00EA026E">
      <w:pPr>
        <w:spacing w:line="480" w:lineRule="auto"/>
        <w:ind w:right="720"/>
        <w:jc w:val="both"/>
      </w:pPr>
      <w:r>
        <w:tab/>
        <w:t xml:space="preserve">Still, vaccine hesitancy cannot simply be drawn along racial or ethnic lines; the issue is also largely related to political beliefs, and people who are not vaccinated are not a monolith. According to the Kaiser Family Foundation (KFF), vaccine hesitation can be </w:t>
      </w:r>
      <w:r w:rsidRPr="009F2233">
        <w:t>divided into those with a “wait and see” attitude, and those who will “definitely not” get vaccinated.</w:t>
      </w:r>
      <w:r w:rsidRPr="009F2233">
        <w:rPr>
          <w:rStyle w:val="FootnoteReference"/>
        </w:rPr>
        <w:footnoteReference w:id="39"/>
      </w:r>
      <w:r w:rsidRPr="009F2233">
        <w:t xml:space="preserve"> </w:t>
      </w:r>
      <w:r w:rsidRPr="009F2233">
        <w:rPr>
          <w:shd w:val="clear" w:color="auto" w:fill="FFFFFF"/>
        </w:rPr>
        <w:t xml:space="preserve">Four in ten of those in the “wait and see” group are people of color while 50% are White adults, while those who say they will “definitely not” get a COVID-19 vaccine overwhelmingly </w:t>
      </w:r>
      <w:r w:rsidR="00E76680">
        <w:rPr>
          <w:shd w:val="clear" w:color="auto" w:fill="FFFFFF"/>
        </w:rPr>
        <w:t xml:space="preserve">are </w:t>
      </w:r>
      <w:r w:rsidRPr="009F2233">
        <w:rPr>
          <w:shd w:val="clear" w:color="auto" w:fill="FFFFFF"/>
        </w:rPr>
        <w:t>White adults (65% of the group).</w:t>
      </w:r>
      <w:r w:rsidRPr="009F2233">
        <w:rPr>
          <w:rStyle w:val="FootnoteReference"/>
          <w:shd w:val="clear" w:color="auto" w:fill="FFFFFF"/>
        </w:rPr>
        <w:footnoteReference w:id="40"/>
      </w:r>
      <w:r w:rsidRPr="009F2233">
        <w:rPr>
          <w:shd w:val="clear" w:color="auto" w:fill="FFFFFF"/>
        </w:rPr>
        <w:t xml:space="preserve"> Political identification also plays a major role with more than half (58%) of the “definitely not” group identifying as Republican or Republican-leaning.</w:t>
      </w:r>
      <w:r w:rsidRPr="009F2233">
        <w:rPr>
          <w:rStyle w:val="FootnoteReference"/>
          <w:shd w:val="clear" w:color="auto" w:fill="FFFFFF"/>
        </w:rPr>
        <w:footnoteReference w:id="41"/>
      </w:r>
      <w:r w:rsidRPr="009F2233">
        <w:rPr>
          <w:shd w:val="clear" w:color="auto" w:fill="FFFFFF"/>
        </w:rPr>
        <w:t xml:space="preserve"> In addition, religious identity also plays a role as White Evangelical Christians make up nearly twice the share of the “definitely not” group (32%) as the “wait and see” group.</w:t>
      </w:r>
      <w:r w:rsidRPr="009F2233">
        <w:rPr>
          <w:rStyle w:val="FootnoteReference"/>
          <w:shd w:val="clear" w:color="auto" w:fill="FFFFFF"/>
        </w:rPr>
        <w:footnoteReference w:id="42"/>
      </w:r>
      <w:r w:rsidRPr="009F2233">
        <w:rPr>
          <w:shd w:val="clear" w:color="auto" w:fill="FFFFFF"/>
        </w:rPr>
        <w:t xml:space="preserve"> In New York City, there is also a discrepancy of vaccination rate between boroughs, with </w:t>
      </w:r>
      <w:r w:rsidR="00EA026E" w:rsidRPr="009F2233">
        <w:t xml:space="preserve">79% of Manhattan </w:t>
      </w:r>
      <w:r w:rsidRPr="009F2233">
        <w:t>residents</w:t>
      </w:r>
      <w:r w:rsidR="00EA026E" w:rsidRPr="009F2233">
        <w:t xml:space="preserve"> </w:t>
      </w:r>
      <w:r w:rsidRPr="009F2233">
        <w:t xml:space="preserve">and 76% of Queens residents </w:t>
      </w:r>
      <w:r w:rsidR="00EA026E" w:rsidRPr="009F2233">
        <w:t>hav</w:t>
      </w:r>
      <w:r w:rsidR="00E76680">
        <w:t>ing</w:t>
      </w:r>
      <w:r w:rsidR="00EA026E" w:rsidRPr="009F2233">
        <w:t xml:space="preserve"> received at least one dose</w:t>
      </w:r>
      <w:r w:rsidRPr="009F2233">
        <w:t>,</w:t>
      </w:r>
      <w:r w:rsidR="00EA026E" w:rsidRPr="009F2233">
        <w:t xml:space="preserve"> while </w:t>
      </w:r>
      <w:r>
        <w:t xml:space="preserve">only </w:t>
      </w:r>
      <w:r w:rsidRPr="009F2233">
        <w:t xml:space="preserve">64% </w:t>
      </w:r>
      <w:r>
        <w:t xml:space="preserve">of </w:t>
      </w:r>
      <w:r w:rsidRPr="009F2233">
        <w:t>Bronx</w:t>
      </w:r>
      <w:r>
        <w:t>,</w:t>
      </w:r>
      <w:r w:rsidRPr="009F2233">
        <w:t xml:space="preserve"> 62% </w:t>
      </w:r>
      <w:r>
        <w:t xml:space="preserve">of </w:t>
      </w:r>
      <w:r w:rsidRPr="009F2233">
        <w:t>Brooklyn</w:t>
      </w:r>
      <w:r>
        <w:t>,</w:t>
      </w:r>
      <w:r w:rsidRPr="009F2233">
        <w:t xml:space="preserve"> and 65% of Staten Island</w:t>
      </w:r>
      <w:r>
        <w:t xml:space="preserve"> residents hav</w:t>
      </w:r>
      <w:r w:rsidR="00E76680">
        <w:t>e</w:t>
      </w:r>
      <w:r>
        <w:t xml:space="preserve"> gotten at least one dose.</w:t>
      </w:r>
    </w:p>
    <w:p w14:paraId="594AE0C4" w14:textId="4BFE8E02" w:rsidR="007A64FF" w:rsidRDefault="009F2233" w:rsidP="00EA026E">
      <w:pPr>
        <w:spacing w:line="480" w:lineRule="auto"/>
        <w:ind w:right="720"/>
        <w:jc w:val="both"/>
      </w:pPr>
      <w:r>
        <w:tab/>
        <w:t xml:space="preserve">While this issue remains incredibly complicated and </w:t>
      </w:r>
      <w:r w:rsidR="00CF2223">
        <w:t xml:space="preserve">nuanced, any approach that seeks to scapegoat, vilify, or </w:t>
      </w:r>
      <w:r w:rsidR="001C2953">
        <w:t xml:space="preserve">put down </w:t>
      </w:r>
      <w:r w:rsidR="00CF2223">
        <w:t>those that are unvaccinated seems destined to fail.</w:t>
      </w:r>
      <w:r w:rsidR="00CF2223">
        <w:rPr>
          <w:rStyle w:val="FootnoteReference"/>
        </w:rPr>
        <w:footnoteReference w:id="43"/>
      </w:r>
      <w:r w:rsidR="007A64FF">
        <w:t xml:space="preserve"> DOHMH has implemented an “Equity Action Plan” to advance equitable policies and practices in the City’s COVID-19 response, utilizing focused messaging and increased engagement with community and health care partners in neighborhoods with a disproportionate burden of COVID-19 cases, hospitalizations</w:t>
      </w:r>
      <w:r w:rsidR="00402029">
        <w:t>,</w:t>
      </w:r>
      <w:r w:rsidR="007A64FF">
        <w:t xml:space="preserve"> and deaths.</w:t>
      </w:r>
      <w:r w:rsidR="007A64FF">
        <w:rPr>
          <w:rStyle w:val="FootnoteReference"/>
        </w:rPr>
        <w:footnoteReference w:id="44"/>
      </w:r>
      <w:r w:rsidR="007A64FF">
        <w:t xml:space="preserve"> The Equity Action Plan uses a “racial justice framework” and “population-specific strategies” to better reach community members.</w:t>
      </w:r>
      <w:r w:rsidR="007A64FF">
        <w:rPr>
          <w:rStyle w:val="FootnoteReference"/>
        </w:rPr>
        <w:footnoteReference w:id="45"/>
      </w:r>
      <w:r w:rsidR="007A64FF">
        <w:t xml:space="preserve"> The plan has three parts:</w:t>
      </w:r>
    </w:p>
    <w:p w14:paraId="505B84F5" w14:textId="2A89D449" w:rsidR="007A64FF" w:rsidRDefault="007A64FF" w:rsidP="007A64FF">
      <w:pPr>
        <w:pStyle w:val="ListParagraph"/>
        <w:numPr>
          <w:ilvl w:val="0"/>
          <w:numId w:val="8"/>
        </w:numPr>
        <w:spacing w:line="480" w:lineRule="auto"/>
        <w:ind w:right="720"/>
        <w:jc w:val="both"/>
      </w:pPr>
      <w:r>
        <w:t>Engage with health care providers;</w:t>
      </w:r>
    </w:p>
    <w:p w14:paraId="1C1906F9" w14:textId="4D7823AE" w:rsidR="007A64FF" w:rsidRDefault="007A64FF" w:rsidP="007A64FF">
      <w:pPr>
        <w:pStyle w:val="ListParagraph"/>
        <w:numPr>
          <w:ilvl w:val="0"/>
          <w:numId w:val="8"/>
        </w:numPr>
        <w:spacing w:line="480" w:lineRule="auto"/>
        <w:ind w:right="720"/>
        <w:jc w:val="both"/>
      </w:pPr>
      <w:r>
        <w:t>Engage with community partners; and</w:t>
      </w:r>
    </w:p>
    <w:p w14:paraId="14FD99DD" w14:textId="0656730F" w:rsidR="007A64FF" w:rsidRDefault="007A64FF" w:rsidP="007A64FF">
      <w:pPr>
        <w:pStyle w:val="ListParagraph"/>
        <w:numPr>
          <w:ilvl w:val="0"/>
          <w:numId w:val="8"/>
        </w:numPr>
        <w:spacing w:line="480" w:lineRule="auto"/>
        <w:ind w:right="720"/>
        <w:jc w:val="both"/>
      </w:pPr>
      <w:r>
        <w:t>Communicate with the community.</w:t>
      </w:r>
      <w:r>
        <w:rPr>
          <w:rStyle w:val="FootnoteReference"/>
        </w:rPr>
        <w:footnoteReference w:id="46"/>
      </w:r>
    </w:p>
    <w:p w14:paraId="3D88AB77" w14:textId="5485CDF4" w:rsidR="00402029" w:rsidRPr="009F2233" w:rsidRDefault="00402029" w:rsidP="00402029">
      <w:pPr>
        <w:spacing w:line="480" w:lineRule="auto"/>
        <w:ind w:right="720"/>
        <w:jc w:val="both"/>
      </w:pPr>
      <w:r>
        <w:t xml:space="preserve">The Committees look forward to learning more about this </w:t>
      </w:r>
      <w:r w:rsidR="00E76680">
        <w:t>p</w:t>
      </w:r>
      <w:r>
        <w:t xml:space="preserve">lan and other methods that the City is utilizing in addressing vaccine hesitancy and inequity. </w:t>
      </w:r>
    </w:p>
    <w:p w14:paraId="4CE0E3AD" w14:textId="5066D9C9" w:rsidR="00E644BC" w:rsidRDefault="00E644BC">
      <w:pPr>
        <w:spacing w:after="160" w:line="259" w:lineRule="auto"/>
        <w:rPr>
          <w:rFonts w:ascii="Times New Roman Bold" w:hAnsi="Times New Roman Bold"/>
          <w:b/>
          <w:smallCaps/>
          <w:u w:val="single"/>
        </w:rPr>
      </w:pPr>
      <w:r>
        <w:rPr>
          <w:rFonts w:ascii="Times New Roman Bold" w:hAnsi="Times New Roman Bold"/>
          <w:b/>
          <w:smallCaps/>
          <w:u w:val="single"/>
        </w:rPr>
        <w:t>Bill analysis</w:t>
      </w:r>
    </w:p>
    <w:p w14:paraId="2D857C65" w14:textId="77777777" w:rsidR="00505FA3" w:rsidRDefault="00E644BC" w:rsidP="00505FA3">
      <w:pPr>
        <w:widowControl w:val="0"/>
        <w:suppressLineNumbers/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B63167">
        <w:rPr>
          <w:color w:val="000000"/>
          <w:u w:val="single"/>
        </w:rPr>
        <w:t>Int. No. 2373</w:t>
      </w:r>
      <w:r w:rsidRPr="00505FA3">
        <w:rPr>
          <w:bCs/>
          <w:u w:val="single"/>
        </w:rPr>
        <w:t xml:space="preserve">, </w:t>
      </w:r>
      <w:r w:rsidR="00505FA3" w:rsidRPr="00B63167">
        <w:rPr>
          <w:color w:val="000000"/>
          <w:u w:val="single"/>
        </w:rPr>
        <w:t>in relation to amending death certificates for deaths caused by COVID-19</w:t>
      </w:r>
      <w:r w:rsidRPr="00F20702">
        <w:rPr>
          <w:b/>
        </w:rPr>
        <w:tab/>
      </w:r>
    </w:p>
    <w:p w14:paraId="69EB9365" w14:textId="7C196E05" w:rsidR="00E644BC" w:rsidRPr="00505FA3" w:rsidRDefault="00505FA3" w:rsidP="00505FA3">
      <w:pPr>
        <w:widowControl w:val="0"/>
        <w:suppressLineNumbers/>
        <w:tabs>
          <w:tab w:val="left" w:pos="720"/>
        </w:tabs>
        <w:autoSpaceDE w:val="0"/>
        <w:autoSpaceDN w:val="0"/>
        <w:adjustRightInd w:val="0"/>
        <w:spacing w:line="480" w:lineRule="auto"/>
        <w:jc w:val="both"/>
      </w:pPr>
      <w:r>
        <w:rPr>
          <w:b/>
        </w:rPr>
        <w:tab/>
      </w:r>
      <w:r w:rsidRPr="00505FA3">
        <w:rPr>
          <w:color w:val="000000"/>
          <w:shd w:val="clear" w:color="auto" w:fill="FFFFFF"/>
        </w:rPr>
        <w:t>This bill would require the Department of Health and Mental Hygiene to waive the $40 fee for applicants requesting to amend a death certificate to list the cause of death as COVID-19 or health complications caused by COVID-19.</w:t>
      </w:r>
    </w:p>
    <w:p w14:paraId="0D828C1C" w14:textId="77777777" w:rsidR="00E644BC" w:rsidRPr="00505FA3" w:rsidRDefault="00E644BC" w:rsidP="00E644BC">
      <w:pPr>
        <w:pStyle w:val="NoSpacing"/>
        <w:spacing w:line="480" w:lineRule="auto"/>
        <w:jc w:val="both"/>
      </w:pPr>
      <w:r w:rsidRPr="00505FA3">
        <w:t xml:space="preserve">This bill would take effect immediately. </w:t>
      </w:r>
    </w:p>
    <w:p w14:paraId="143BA3BC" w14:textId="02B09F6E" w:rsidR="00B63167" w:rsidRDefault="00E644BC">
      <w:pPr>
        <w:spacing w:after="160" w:line="259" w:lineRule="auto"/>
      </w:pPr>
      <w:r>
        <w:t xml:space="preserve"> </w:t>
      </w:r>
      <w:r w:rsidR="00B63167"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63167" w:rsidRPr="00B63167" w14:paraId="1C5F3215" w14:textId="77777777" w:rsidTr="00B6316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1A8305" w14:textId="77777777" w:rsidR="00B63167" w:rsidRPr="00B63167" w:rsidRDefault="00B63167" w:rsidP="00B63167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</w:rPr>
              <w:t>Int. No. 2373</w:t>
            </w:r>
          </w:p>
          <w:p w14:paraId="50214C61" w14:textId="77777777" w:rsidR="00B63167" w:rsidRPr="00B63167" w:rsidRDefault="00B63167" w:rsidP="00B63167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</w:rPr>
              <w:t> </w:t>
            </w:r>
          </w:p>
          <w:p w14:paraId="287BFEEE" w14:textId="77777777" w:rsidR="00B63167" w:rsidRPr="00B63167" w:rsidRDefault="00B63167" w:rsidP="00B6316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</w:rPr>
              <w:t>By Council Members Salamanca, Yeger, Brannan, Ampry-Samuel, Riley, Van Bramer, Lander, Rosenthal, Brooks-Powers, Powers, Koo, Dinowitz, Rivera, Rose, Adams, Koslowitz, D. Diaz, Dromm, Moya and Ayala</w:t>
            </w:r>
          </w:p>
          <w:p w14:paraId="37EFB432" w14:textId="77777777" w:rsidR="00B63167" w:rsidRPr="00B63167" w:rsidRDefault="00B63167" w:rsidP="00B6316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</w:rPr>
              <w:t> </w:t>
            </w:r>
          </w:p>
          <w:p w14:paraId="01E0C3CD" w14:textId="77777777" w:rsidR="00B63167" w:rsidRPr="00B63167" w:rsidRDefault="00B63167" w:rsidP="00B6316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</w:rPr>
              <w:t>A Local Law to amend the administrative code of the city of New York, in relation to amending death certificates for deaths caused by COVID-19</w:t>
            </w:r>
          </w:p>
          <w:p w14:paraId="26C43696" w14:textId="77777777" w:rsidR="00B63167" w:rsidRPr="00B63167" w:rsidRDefault="00B63167" w:rsidP="00B6316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</w:rPr>
              <w:t> </w:t>
            </w:r>
          </w:p>
          <w:p w14:paraId="506EEB4A" w14:textId="77777777" w:rsidR="00B63167" w:rsidRPr="00B63167" w:rsidRDefault="00B63167" w:rsidP="00B6316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  <w:u w:val="single"/>
              </w:rPr>
              <w:t>Be it enacted by the Council as follows:</w:t>
            </w:r>
          </w:p>
          <w:p w14:paraId="4A455BB6" w14:textId="77777777" w:rsidR="00B63167" w:rsidRPr="00B63167" w:rsidRDefault="00B63167" w:rsidP="00B63167">
            <w:pPr>
              <w:shd w:val="clear" w:color="auto" w:fill="FFFFFF"/>
              <w:ind w:firstLine="720"/>
              <w:jc w:val="both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</w:rPr>
              <w:t> </w:t>
            </w:r>
          </w:p>
          <w:p w14:paraId="61DC292F" w14:textId="77777777" w:rsidR="00B63167" w:rsidRPr="00B63167" w:rsidRDefault="00B63167" w:rsidP="00B63167">
            <w:pPr>
              <w:shd w:val="clear" w:color="auto" w:fill="FFFFFF"/>
              <w:spacing w:line="480" w:lineRule="auto"/>
              <w:ind w:firstLine="720"/>
              <w:jc w:val="both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</w:rPr>
              <w:t>Section 1. Chapter 1 of title 17 of the administrative code of the city of New York is amended by adding a new section 17-169.1 to read as follows:</w:t>
            </w:r>
          </w:p>
          <w:p w14:paraId="5624E8A2" w14:textId="77777777" w:rsidR="00B63167" w:rsidRPr="00B63167" w:rsidRDefault="00B63167" w:rsidP="00B63167">
            <w:pPr>
              <w:shd w:val="clear" w:color="auto" w:fill="FFFFFF"/>
              <w:spacing w:line="480" w:lineRule="auto"/>
              <w:ind w:firstLine="720"/>
              <w:jc w:val="both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  <w:u w:val="single"/>
              </w:rPr>
              <w:t>§ 17-169.1 Amending death certificates; certain fees prohibited. a. Definitions. As used in this section, the term “COVID-19” means the disease caused by the severe acute respiratory syndrome coronavirus 2 (SARS-CoV-2).</w:t>
            </w:r>
          </w:p>
          <w:p w14:paraId="60FD72A8" w14:textId="77777777" w:rsidR="00B63167" w:rsidRPr="00B63167" w:rsidRDefault="00B63167" w:rsidP="00B63167">
            <w:pPr>
              <w:shd w:val="clear" w:color="auto" w:fill="FFFFFF"/>
              <w:spacing w:line="480" w:lineRule="auto"/>
              <w:ind w:firstLine="720"/>
              <w:jc w:val="both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  <w:u w:val="single"/>
              </w:rPr>
              <w:t>b. Deaths caused by COVID-19. The department shall not charge a fee to an applicant applying to amend a death certificate where such amendment would change the cause of death to COVID-19 or health complications caused by COVID-19.</w:t>
            </w:r>
          </w:p>
          <w:p w14:paraId="76246EC5" w14:textId="77777777" w:rsidR="00B63167" w:rsidRPr="00B63167" w:rsidRDefault="00B63167" w:rsidP="00B63167">
            <w:pPr>
              <w:shd w:val="clear" w:color="auto" w:fill="FFFFFF"/>
              <w:spacing w:line="480" w:lineRule="auto"/>
              <w:ind w:firstLine="720"/>
              <w:jc w:val="both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</w:rPr>
              <w:t>§ 2. This local law takes effect immediately.</w:t>
            </w:r>
          </w:p>
          <w:p w14:paraId="6EBA704D" w14:textId="77777777" w:rsidR="00B63167" w:rsidRPr="00B63167" w:rsidRDefault="00B63167" w:rsidP="00B6316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  <w:sz w:val="18"/>
                <w:szCs w:val="18"/>
              </w:rPr>
              <w:t> </w:t>
            </w:r>
          </w:p>
          <w:p w14:paraId="01733A2E" w14:textId="77777777" w:rsidR="00B63167" w:rsidRPr="00B63167" w:rsidRDefault="00B63167" w:rsidP="00B6316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  <w:sz w:val="18"/>
                <w:szCs w:val="18"/>
              </w:rPr>
              <w:t> </w:t>
            </w:r>
          </w:p>
          <w:p w14:paraId="3C8BA218" w14:textId="77777777" w:rsidR="00B63167" w:rsidRPr="00B63167" w:rsidRDefault="00B63167" w:rsidP="00B6316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  <w:sz w:val="18"/>
                <w:szCs w:val="18"/>
              </w:rPr>
              <w:t> </w:t>
            </w:r>
          </w:p>
          <w:p w14:paraId="53D65314" w14:textId="77777777" w:rsidR="00B63167" w:rsidRPr="00B63167" w:rsidRDefault="00B63167" w:rsidP="00B6316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  <w:sz w:val="18"/>
                <w:szCs w:val="18"/>
              </w:rPr>
              <w:t> </w:t>
            </w:r>
          </w:p>
          <w:p w14:paraId="603DFBD5" w14:textId="77777777" w:rsidR="00B63167" w:rsidRPr="00B63167" w:rsidRDefault="00B63167" w:rsidP="00B6316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  <w:sz w:val="18"/>
                <w:szCs w:val="18"/>
              </w:rPr>
              <w:t>JEF</w:t>
            </w:r>
          </w:p>
          <w:p w14:paraId="44F304DA" w14:textId="77777777" w:rsidR="00B63167" w:rsidRPr="00B63167" w:rsidRDefault="00B63167" w:rsidP="00B6316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  <w:sz w:val="18"/>
                <w:szCs w:val="18"/>
              </w:rPr>
              <w:t>LS #17943</w:t>
            </w:r>
          </w:p>
          <w:p w14:paraId="3A0DFD4E" w14:textId="77777777" w:rsidR="00B63167" w:rsidRPr="00B63167" w:rsidRDefault="00B63167" w:rsidP="00B63167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  <w:sz w:val="18"/>
                <w:szCs w:val="18"/>
              </w:rPr>
              <w:t>7/21/2021</w:t>
            </w:r>
          </w:p>
          <w:p w14:paraId="45BB7892" w14:textId="77777777" w:rsidR="00B63167" w:rsidRPr="00B63167" w:rsidRDefault="00B63167" w:rsidP="00B63167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  <w:sz w:val="18"/>
                <w:szCs w:val="18"/>
              </w:rPr>
              <w:t> </w:t>
            </w:r>
          </w:p>
          <w:p w14:paraId="440D4DB5" w14:textId="77777777" w:rsidR="00B63167" w:rsidRPr="00B63167" w:rsidRDefault="00B63167" w:rsidP="00B63167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  <w:sz w:val="18"/>
                <w:szCs w:val="18"/>
              </w:rPr>
              <w:t> </w:t>
            </w:r>
          </w:p>
          <w:p w14:paraId="4D6AFC55" w14:textId="77777777" w:rsidR="00B63167" w:rsidRPr="00B63167" w:rsidRDefault="00B63167" w:rsidP="00B63167">
            <w:pPr>
              <w:shd w:val="clear" w:color="auto" w:fill="FFFFFF"/>
              <w:ind w:firstLine="720"/>
              <w:rPr>
                <w:color w:val="000000"/>
                <w:sz w:val="27"/>
                <w:szCs w:val="27"/>
              </w:rPr>
            </w:pPr>
            <w:r w:rsidRPr="00B63167">
              <w:rPr>
                <w:color w:val="000000"/>
              </w:rPr>
              <w:t> </w:t>
            </w:r>
          </w:p>
        </w:tc>
      </w:tr>
    </w:tbl>
    <w:p w14:paraId="7DC1E358" w14:textId="0B110402" w:rsidR="003D7BC4" w:rsidRDefault="00B63167" w:rsidP="00FA5499">
      <w:pPr>
        <w:spacing w:line="480" w:lineRule="auto"/>
        <w:ind w:firstLine="720"/>
        <w:jc w:val="both"/>
      </w:pPr>
      <w:r w:rsidRPr="00B63167">
        <w:rPr>
          <w:color w:val="000000"/>
          <w:sz w:val="27"/>
          <w:szCs w:val="27"/>
        </w:rPr>
        <w:br/>
      </w:r>
    </w:p>
    <w:p w14:paraId="262B51A6" w14:textId="77777777" w:rsidR="003D7BC4" w:rsidRPr="003D7BC4" w:rsidRDefault="003D7BC4" w:rsidP="003D7BC4"/>
    <w:p w14:paraId="725DD1AE" w14:textId="77777777" w:rsidR="003D7BC4" w:rsidRPr="003D7BC4" w:rsidRDefault="003D7BC4" w:rsidP="003D7BC4"/>
    <w:p w14:paraId="42BAB865" w14:textId="77777777" w:rsidR="003D7BC4" w:rsidRPr="003D7BC4" w:rsidRDefault="003D7BC4" w:rsidP="003D7BC4"/>
    <w:p w14:paraId="1FE47113" w14:textId="77777777" w:rsidR="003D7BC4" w:rsidRPr="003D7BC4" w:rsidRDefault="003D7BC4" w:rsidP="003D7BC4"/>
    <w:p w14:paraId="6783596A" w14:textId="33F6D392" w:rsidR="003D7BC4" w:rsidRPr="003D7BC4" w:rsidRDefault="003D7BC4" w:rsidP="000F23F2">
      <w:pPr>
        <w:tabs>
          <w:tab w:val="left" w:pos="2097"/>
        </w:tabs>
      </w:pPr>
    </w:p>
    <w:sectPr w:rsidR="003D7BC4" w:rsidRPr="003D7BC4" w:rsidSect="006074A7">
      <w:footerReference w:type="defaul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AEEF" w14:textId="77777777" w:rsidR="00E65F4B" w:rsidRDefault="00E65F4B" w:rsidP="007F4DBA">
      <w:r>
        <w:separator/>
      </w:r>
    </w:p>
  </w:endnote>
  <w:endnote w:type="continuationSeparator" w:id="0">
    <w:p w14:paraId="616965FF" w14:textId="77777777" w:rsidR="00E65F4B" w:rsidRDefault="00E65F4B" w:rsidP="007F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166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4BD4B" w14:textId="237300B7" w:rsidR="009F2233" w:rsidRDefault="009F22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B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EEDE0E" w14:textId="77777777" w:rsidR="009F2233" w:rsidRDefault="009F22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FCD94" w14:textId="697D59A7" w:rsidR="009F2233" w:rsidRDefault="009F22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B7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1DE6B1A" w14:textId="77777777" w:rsidR="009F2233" w:rsidRDefault="009F22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E3EF5" w14:textId="4681FE05" w:rsidR="009F2233" w:rsidRDefault="009F22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531EC95" w14:textId="77777777" w:rsidR="009F2233" w:rsidRDefault="009F2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E5BE" w14:textId="77777777" w:rsidR="00E65F4B" w:rsidRDefault="00E65F4B" w:rsidP="007F4DBA">
      <w:r>
        <w:separator/>
      </w:r>
    </w:p>
  </w:footnote>
  <w:footnote w:type="continuationSeparator" w:id="0">
    <w:p w14:paraId="0C6A7D98" w14:textId="77777777" w:rsidR="00E65F4B" w:rsidRDefault="00E65F4B" w:rsidP="007F4DBA">
      <w:r>
        <w:continuationSeparator/>
      </w:r>
    </w:p>
  </w:footnote>
  <w:footnote w:id="1">
    <w:p w14:paraId="461660F3" w14:textId="64E88DB8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Today, there are three COVID-19 vaccines available in the United States: Pfizer-BioNTech, Moderna, &amp; Johnson &amp; Johnson / Janssen. For more information, see: </w:t>
      </w:r>
      <w:hyperlink r:id="rId1" w:history="1">
        <w:r w:rsidRPr="00954518">
          <w:rPr>
            <w:rStyle w:val="Hyperlink"/>
            <w:rFonts w:ascii="Times New Roman" w:hAnsi="Times New Roman"/>
            <w:sz w:val="20"/>
            <w:szCs w:val="20"/>
          </w:rPr>
          <w:t>https://www.cdc.gov/coronavirus/2019-ncov/vaccines/different-vaccines.html</w:t>
        </w:r>
      </w:hyperlink>
      <w:r>
        <w:t xml:space="preserve"> </w:t>
      </w:r>
    </w:p>
  </w:footnote>
  <w:footnote w:id="2">
    <w:p w14:paraId="6556A058" w14:textId="77777777" w:rsidR="009F2233" w:rsidRPr="00CA395A" w:rsidRDefault="009F2233" w:rsidP="00E82904">
      <w:pPr>
        <w:pStyle w:val="FootnoteText"/>
      </w:pPr>
      <w:r w:rsidRPr="00CA395A">
        <w:rPr>
          <w:rStyle w:val="FootnoteReference"/>
        </w:rPr>
        <w:footnoteRef/>
      </w:r>
      <w:r w:rsidRPr="00CA395A">
        <w:t xml:space="preserve"> See, e.g., “NYC Nurse Is Among The 1st To Get COVID-19 Vaccine In The U.S.,” NPR, Dec. 14, 2020, available at </w:t>
      </w:r>
      <w:hyperlink r:id="rId2">
        <w:r w:rsidRPr="00CA395A">
          <w:rPr>
            <w:rStyle w:val="Hyperlink"/>
            <w:rFonts w:ascii="Times New Roman" w:hAnsi="Times New Roman"/>
            <w:sz w:val="20"/>
            <w:szCs w:val="20"/>
          </w:rPr>
          <w:t>https://www.npr.org/2020/12/14/946253331/new-york-city-nurse-among-the-first-to-get-coronavirus-vaccine-in-the-u-s</w:t>
        </w:r>
      </w:hyperlink>
      <w:r w:rsidRPr="00CA395A">
        <w:rPr>
          <w:color w:val="767676"/>
        </w:rPr>
        <w:t>.</w:t>
      </w:r>
    </w:p>
  </w:footnote>
  <w:footnote w:id="3">
    <w:p w14:paraId="47524F7F" w14:textId="77777777" w:rsidR="009F2233" w:rsidRPr="00CA395A" w:rsidRDefault="009F2233" w:rsidP="00E82904">
      <w:pPr>
        <w:pStyle w:val="FootnoteText"/>
      </w:pPr>
      <w:r w:rsidRPr="00CA395A">
        <w:rPr>
          <w:rStyle w:val="FootnoteReference"/>
        </w:rPr>
        <w:footnoteRef/>
      </w:r>
      <w:r w:rsidRPr="00CA395A">
        <w:t xml:space="preserve"> “Guidance for Facilities, Providers, and Local Health Departments Receiving COVID-19 Vaccine Weeks 1-5 New York State Vaccination Program Phase 1A Only,” NYS DOH, available at </w:t>
      </w:r>
      <w:hyperlink r:id="rId3">
        <w:r w:rsidRPr="00CA395A">
          <w:rPr>
            <w:rStyle w:val="Hyperlink"/>
            <w:rFonts w:ascii="Times New Roman" w:hAnsi="Times New Roman"/>
            <w:sz w:val="20"/>
            <w:szCs w:val="20"/>
          </w:rPr>
          <w:t>https://coronavirus.health.ny.gov/system/files/documents/2021/01/guidance_facilitiesreceivingcovid19vaccineweeks1-5.pdf</w:t>
        </w:r>
      </w:hyperlink>
      <w:r w:rsidRPr="00CA395A">
        <w:t>.</w:t>
      </w:r>
    </w:p>
  </w:footnote>
  <w:footnote w:id="4">
    <w:p w14:paraId="4A25A2B1" w14:textId="26AB44FE" w:rsidR="009F2233" w:rsidRDefault="009F2233">
      <w:pPr>
        <w:pStyle w:val="FootnoteText"/>
      </w:pPr>
      <w:r w:rsidRPr="00CA395A">
        <w:rPr>
          <w:rStyle w:val="FootnoteReference"/>
        </w:rPr>
        <w:footnoteRef/>
      </w:r>
      <w:r w:rsidRPr="00CA395A">
        <w:t xml:space="preserve"> New York City Department of Health and Mental Hygiene, “COVID-19: Vaccine.” Accessed at: </w:t>
      </w:r>
      <w:hyperlink r:id="rId4" w:history="1">
        <w:r w:rsidRPr="00CA395A">
          <w:rPr>
            <w:rStyle w:val="Hyperlink"/>
            <w:rFonts w:ascii="Times New Roman" w:hAnsi="Times New Roman"/>
            <w:sz w:val="20"/>
            <w:szCs w:val="20"/>
          </w:rPr>
          <w:t>https://www1.nyc.gov/site/doh/covid/covid-19-vaccine-eligibility.page</w:t>
        </w:r>
      </w:hyperlink>
      <w:r>
        <w:t xml:space="preserve"> </w:t>
      </w:r>
    </w:p>
  </w:footnote>
  <w:footnote w:id="5">
    <w:p w14:paraId="13004011" w14:textId="77777777" w:rsidR="009F2233" w:rsidRPr="009E5C13" w:rsidRDefault="009F2233" w:rsidP="00B63167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6">
    <w:p w14:paraId="552256B1" w14:textId="77777777" w:rsidR="009F2233" w:rsidRDefault="009F2233" w:rsidP="004A33F9">
      <w:pPr>
        <w:pStyle w:val="FootnoteText"/>
      </w:pPr>
      <w:r>
        <w:rPr>
          <w:rStyle w:val="FootnoteReference"/>
        </w:rPr>
        <w:footnoteRef/>
      </w:r>
      <w:r>
        <w:t xml:space="preserve"> NYC DOHMH, COVID-19: Data, available at </w:t>
      </w:r>
      <w:hyperlink r:id="rId5" w:history="1">
        <w:r w:rsidRPr="005E11DA">
          <w:rPr>
            <w:rStyle w:val="Hyperlink"/>
            <w:rFonts w:ascii="Times New Roman" w:hAnsi="Times New Roman"/>
            <w:sz w:val="20"/>
            <w:szCs w:val="20"/>
          </w:rPr>
          <w:t>https://www1.nyc.gov/site/doh/covid/covid-19-data-vaccines.page</w:t>
        </w:r>
      </w:hyperlink>
      <w:r>
        <w:t xml:space="preserve">.  </w:t>
      </w:r>
    </w:p>
  </w:footnote>
  <w:footnote w:id="7">
    <w:p w14:paraId="0208FBFD" w14:textId="2765B98E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33F9">
        <w:rPr>
          <w:i/>
        </w:rPr>
        <w:t>Id</w:t>
      </w:r>
      <w:r>
        <w:t>.</w:t>
      </w:r>
    </w:p>
  </w:footnote>
  <w:footnote w:id="8">
    <w:p w14:paraId="6C46B0FB" w14:textId="77777777" w:rsidR="009F2233" w:rsidRDefault="009F2233" w:rsidP="004A33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33F9">
        <w:rPr>
          <w:i/>
        </w:rPr>
        <w:t>Id</w:t>
      </w:r>
      <w:r>
        <w:t>.</w:t>
      </w:r>
    </w:p>
  </w:footnote>
  <w:footnote w:id="9">
    <w:p w14:paraId="7FBBF6E1" w14:textId="152FF926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33F9">
        <w:rPr>
          <w:i/>
        </w:rPr>
        <w:t>Id</w:t>
      </w:r>
      <w:r>
        <w:t>.</w:t>
      </w:r>
    </w:p>
  </w:footnote>
  <w:footnote w:id="10">
    <w:p w14:paraId="6976C38E" w14:textId="77777777" w:rsidR="009F2233" w:rsidRDefault="009F2233" w:rsidP="00E644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4BC">
        <w:rPr>
          <w:i/>
        </w:rPr>
        <w:t>Id</w:t>
      </w:r>
      <w:r>
        <w:t>.</w:t>
      </w:r>
    </w:p>
  </w:footnote>
  <w:footnote w:id="11">
    <w:p w14:paraId="56F82F25" w14:textId="77777777" w:rsidR="009F2233" w:rsidRDefault="009F2233" w:rsidP="00E644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4BC">
        <w:rPr>
          <w:i/>
        </w:rPr>
        <w:t>Id</w:t>
      </w:r>
      <w:r>
        <w:t>.</w:t>
      </w:r>
    </w:p>
  </w:footnote>
  <w:footnote w:id="12">
    <w:p w14:paraId="6364C370" w14:textId="77777777" w:rsidR="009F2233" w:rsidRDefault="009F2233" w:rsidP="00E644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4BC">
        <w:rPr>
          <w:i/>
        </w:rPr>
        <w:t>Id</w:t>
      </w:r>
      <w:r>
        <w:t>.</w:t>
      </w:r>
    </w:p>
  </w:footnote>
  <w:footnote w:id="13">
    <w:p w14:paraId="6F4BEEBD" w14:textId="77777777" w:rsidR="009F2233" w:rsidRDefault="009F2233" w:rsidP="00E644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4BC">
        <w:rPr>
          <w:i/>
        </w:rPr>
        <w:t>Id</w:t>
      </w:r>
      <w:r>
        <w:t>.</w:t>
      </w:r>
    </w:p>
  </w:footnote>
  <w:footnote w:id="14">
    <w:p w14:paraId="1B11D4E9" w14:textId="77777777" w:rsidR="009F2233" w:rsidRDefault="009F2233" w:rsidP="00E644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4BC">
        <w:rPr>
          <w:i/>
        </w:rPr>
        <w:t>Id</w:t>
      </w:r>
      <w:r>
        <w:t>.</w:t>
      </w:r>
    </w:p>
  </w:footnote>
  <w:footnote w:id="15">
    <w:p w14:paraId="542FA87C" w14:textId="705A1567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Elizabeth Kim, </w:t>
      </w:r>
      <w:r w:rsidRPr="006E33F3">
        <w:rPr>
          <w:i/>
          <w:iCs/>
        </w:rPr>
        <w:t>Despite 'Vax-Or-Test' Order, One Third Of NYC Workforce Has Not Been Vaccinated</w:t>
      </w:r>
      <w:r>
        <w:t xml:space="preserve">, </w:t>
      </w:r>
      <w:r w:rsidRPr="006E33F3">
        <w:rPr>
          <w:smallCaps/>
        </w:rPr>
        <w:t>Gothamist</w:t>
      </w:r>
      <w:r>
        <w:t xml:space="preserve">, Sept. 9, 2021, </w:t>
      </w:r>
      <w:hyperlink r:id="rId6" w:history="1">
        <w:r w:rsidRPr="00D1041A">
          <w:rPr>
            <w:rStyle w:val="Hyperlink"/>
            <w:rFonts w:ascii="Times New Roman" w:hAnsi="Times New Roman"/>
            <w:sz w:val="20"/>
            <w:szCs w:val="20"/>
          </w:rPr>
          <w:t>https://gothamist.com/news/despite-vax-or-test-order-one-third-nyc-workforce-has-not-been-vaccinated</w:t>
        </w:r>
      </w:hyperlink>
      <w:r>
        <w:t xml:space="preserve">. </w:t>
      </w:r>
    </w:p>
  </w:footnote>
  <w:footnote w:id="16">
    <w:p w14:paraId="72C9AF48" w14:textId="22524E9E" w:rsidR="009F2233" w:rsidRPr="006E33F3" w:rsidRDefault="009F2233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17">
    <w:p w14:paraId="46F24C0F" w14:textId="11A09D76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18">
    <w:p w14:paraId="56F56AB5" w14:textId="59C58438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19">
    <w:p w14:paraId="5BB0073D" w14:textId="096E35B5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20">
    <w:p w14:paraId="6A72C347" w14:textId="640F20AA" w:rsidR="009F2233" w:rsidRDefault="009F2233">
      <w:pPr>
        <w:pStyle w:val="FootnoteText"/>
      </w:pPr>
      <w:r>
        <w:rPr>
          <w:rStyle w:val="FootnoteReference"/>
        </w:rPr>
        <w:footnoteRef/>
      </w:r>
      <w:r>
        <w:rPr>
          <w:i/>
          <w:iCs/>
        </w:rPr>
        <w:t>Id.</w:t>
      </w:r>
    </w:p>
  </w:footnote>
  <w:footnote w:id="21">
    <w:p w14:paraId="5B664BBC" w14:textId="336517A3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22">
    <w:p w14:paraId="35E45F6C" w14:textId="4848A80C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23">
    <w:p w14:paraId="255D54BB" w14:textId="2663BA6A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24">
    <w:p w14:paraId="3EBEAF7B" w14:textId="7D513B63" w:rsidR="009D678E" w:rsidRPr="009D678E" w:rsidRDefault="009D678E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</w:t>
      </w:r>
      <w:r w:rsidRPr="009D678E">
        <w:rPr>
          <w:i/>
          <w:iCs/>
        </w:rPr>
        <w:t>More NY Health Workers Get Vaccinated, Others Lose Jobs or Pay as Hochul Deadline Hits</w:t>
      </w:r>
      <w:r>
        <w:rPr>
          <w:i/>
          <w:iCs/>
        </w:rPr>
        <w:t xml:space="preserve">, </w:t>
      </w:r>
      <w:r w:rsidRPr="009D678E">
        <w:rPr>
          <w:smallCaps/>
        </w:rPr>
        <w:t>NBC New York</w:t>
      </w:r>
      <w:r>
        <w:t xml:space="preserve">, Sept. 28, 2021, </w:t>
      </w:r>
      <w:r w:rsidRPr="009D678E">
        <w:t>https://www.nbcnewyork.com/news/coronavirus/more-ny-health-workers-get-vaccinated-as-hochul-deadline-looms/3295558/</w:t>
      </w:r>
      <w:r>
        <w:t>.</w:t>
      </w:r>
    </w:p>
  </w:footnote>
  <w:footnote w:id="25">
    <w:p w14:paraId="0723BDC6" w14:textId="0437FB50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D678E">
        <w:t xml:space="preserve">Elizabeth Kim, </w:t>
      </w:r>
      <w:r w:rsidR="009D678E">
        <w:rPr>
          <w:i/>
          <w:iCs/>
        </w:rPr>
        <w:t xml:space="preserve">supra </w:t>
      </w:r>
      <w:r w:rsidR="009D678E">
        <w:t>note 15.</w:t>
      </w:r>
    </w:p>
  </w:footnote>
  <w:footnote w:id="26">
    <w:p w14:paraId="7A3015B0" w14:textId="3F966618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27">
    <w:p w14:paraId="18FDDCED" w14:textId="32952E08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Christina Veiga, </w:t>
      </w:r>
      <w:r w:rsidRPr="00BE36EA">
        <w:rPr>
          <w:i/>
          <w:iCs/>
        </w:rPr>
        <w:t>NYC, teachers union continue negotiations over COVID vaccine mandate</w:t>
      </w:r>
      <w:r>
        <w:t xml:space="preserve">, </w:t>
      </w:r>
      <w:r w:rsidRPr="00BE36EA">
        <w:rPr>
          <w:smallCaps/>
        </w:rPr>
        <w:t>Chalkbeat New York</w:t>
      </w:r>
      <w:r>
        <w:t xml:space="preserve">, Sept. 8, 2021, </w:t>
      </w:r>
      <w:hyperlink r:id="rId7" w:history="1">
        <w:r w:rsidRPr="00D1041A">
          <w:rPr>
            <w:rStyle w:val="Hyperlink"/>
            <w:rFonts w:ascii="Times New Roman" w:hAnsi="Times New Roman"/>
            <w:sz w:val="20"/>
            <w:szCs w:val="20"/>
          </w:rPr>
          <w:t>https://ny.chalkbeat.org/2021/9/8/22663061/nyc-teachers-union-negotiations-covid-vaccine-mandate</w:t>
        </w:r>
      </w:hyperlink>
      <w:r>
        <w:t xml:space="preserve">. </w:t>
      </w:r>
    </w:p>
  </w:footnote>
  <w:footnote w:id="28">
    <w:p w14:paraId="6008B9B3" w14:textId="39995C9E" w:rsidR="009F2233" w:rsidRPr="00BE36EA" w:rsidRDefault="009F2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29">
    <w:p w14:paraId="1637B244" w14:textId="477CB3AD" w:rsidR="009F2233" w:rsidRPr="00BE36EA" w:rsidRDefault="009F2233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  <w:footnote w:id="30">
    <w:p w14:paraId="2C1B979D" w14:textId="6C8B0A5F" w:rsidR="009F2233" w:rsidRPr="001D23C1" w:rsidRDefault="009F2233" w:rsidP="001D23C1">
      <w:pPr>
        <w:jc w:val="both"/>
        <w:rPr>
          <w:sz w:val="20"/>
          <w:szCs w:val="20"/>
        </w:rPr>
      </w:pPr>
      <w:r w:rsidRPr="001D23C1">
        <w:rPr>
          <w:rStyle w:val="FootnoteReference"/>
          <w:sz w:val="20"/>
          <w:szCs w:val="20"/>
        </w:rPr>
        <w:footnoteRef/>
      </w:r>
      <w:r w:rsidRPr="001D23C1">
        <w:rPr>
          <w:sz w:val="20"/>
          <w:szCs w:val="20"/>
        </w:rPr>
        <w:t xml:space="preserve"> “Vaccine Hesitancy: what it means and what we need to know in order to tackle it,” WHO, available at </w:t>
      </w:r>
      <w:hyperlink r:id="rId8" w:history="1">
        <w:r w:rsidRPr="001D23C1">
          <w:rPr>
            <w:rStyle w:val="Hyperlink"/>
            <w:rFonts w:ascii="Times New Roman" w:hAnsi="Times New Roman"/>
            <w:sz w:val="20"/>
            <w:szCs w:val="20"/>
          </w:rPr>
          <w:t>https://www.who.int/immunization/research/forums_and_initiatives/1_RButler_VH_Threat_Child_Health_gvirf16.pdf</w:t>
        </w:r>
      </w:hyperlink>
      <w:r w:rsidRPr="001D23C1">
        <w:rPr>
          <w:sz w:val="20"/>
          <w:szCs w:val="20"/>
        </w:rPr>
        <w:t xml:space="preserve">. </w:t>
      </w:r>
    </w:p>
  </w:footnote>
  <w:footnote w:id="31">
    <w:p w14:paraId="2C4233FD" w14:textId="411E47F8" w:rsidR="009F2233" w:rsidRPr="00DB5FEF" w:rsidRDefault="009F2233" w:rsidP="009F474A">
      <w:pPr>
        <w:pStyle w:val="Heading1"/>
        <w:shd w:val="clear" w:color="auto" w:fill="FFFFFF"/>
        <w:rPr>
          <w:sz w:val="20"/>
          <w:szCs w:val="20"/>
        </w:rPr>
      </w:pPr>
      <w:r w:rsidRPr="009F474A">
        <w:rPr>
          <w:rStyle w:val="FootnoteReference"/>
          <w:sz w:val="20"/>
          <w:szCs w:val="20"/>
        </w:rPr>
        <w:footnoteRef/>
      </w:r>
      <w:r w:rsidRPr="009F474A">
        <w:rPr>
          <w:sz w:val="20"/>
          <w:szCs w:val="20"/>
        </w:rPr>
        <w:t xml:space="preserve"> “</w:t>
      </w:r>
      <w:r w:rsidRPr="00DB5FEF">
        <w:rPr>
          <w:sz w:val="20"/>
          <w:szCs w:val="20"/>
        </w:rPr>
        <w:t xml:space="preserve">Vaccine hesitancy: More than a pandemic,” </w:t>
      </w:r>
      <w:r w:rsidRPr="00EA026E">
        <w:rPr>
          <w:rStyle w:val="Emphasis"/>
          <w:i w:val="0"/>
          <w:color w:val="222222"/>
          <w:sz w:val="20"/>
          <w:szCs w:val="20"/>
          <w:shd w:val="clear" w:color="auto" w:fill="FFFFFF"/>
        </w:rPr>
        <w:t>Edward Chen</w:t>
      </w:r>
      <w:r w:rsidRPr="00DB5FEF">
        <w:rPr>
          <w:rStyle w:val="Emphasis"/>
          <w:i w:val="0"/>
          <w:color w:val="222222"/>
          <w:sz w:val="20"/>
          <w:szCs w:val="20"/>
          <w:shd w:val="clear" w:color="auto" w:fill="FFFFFF"/>
        </w:rPr>
        <w:t xml:space="preserve">, Harvard University, June 29, 2021 available at </w:t>
      </w:r>
      <w:hyperlink r:id="rId9" w:history="1">
        <w:r w:rsidRPr="00DB5FEF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https://sitn.hms.harvard.edu/flash/2021/vaccine-hesitancy-more-than-a-pandemic/</w:t>
        </w:r>
      </w:hyperlink>
      <w:r w:rsidRPr="00DB5FEF">
        <w:rPr>
          <w:rStyle w:val="Emphasis"/>
          <w:i w:val="0"/>
          <w:color w:val="222222"/>
          <w:sz w:val="20"/>
          <w:szCs w:val="20"/>
          <w:shd w:val="clear" w:color="auto" w:fill="FFFFFF"/>
        </w:rPr>
        <w:t xml:space="preserve">. </w:t>
      </w:r>
    </w:p>
  </w:footnote>
  <w:footnote w:id="32">
    <w:p w14:paraId="4C839ED5" w14:textId="1E50350E" w:rsidR="009F2233" w:rsidRDefault="009F2233">
      <w:pPr>
        <w:pStyle w:val="FootnoteText"/>
      </w:pPr>
      <w:r w:rsidRPr="00DB5FEF">
        <w:rPr>
          <w:rStyle w:val="FootnoteReference"/>
        </w:rPr>
        <w:footnoteRef/>
      </w:r>
      <w:r w:rsidRPr="00DB5FEF">
        <w:t xml:space="preserve"> “</w:t>
      </w:r>
      <w:r w:rsidRPr="00DB5FEF">
        <w:rPr>
          <w:bCs/>
        </w:rPr>
        <w:t>Ten threats to global health in 2019,</w:t>
      </w:r>
      <w:r w:rsidRPr="00DB5FEF">
        <w:t xml:space="preserve">” WHO, available at </w:t>
      </w:r>
      <w:hyperlink r:id="rId10" w:history="1">
        <w:r w:rsidRPr="00DB5FEF">
          <w:rPr>
            <w:rStyle w:val="Hyperlink"/>
            <w:rFonts w:ascii="Times New Roman" w:hAnsi="Times New Roman"/>
            <w:sz w:val="20"/>
            <w:szCs w:val="20"/>
          </w:rPr>
          <w:t>https://www.who.int/news-room/spotlight/ten-threats-to-global-health-in-2019</w:t>
        </w:r>
      </w:hyperlink>
      <w:r w:rsidRPr="00DB5FEF">
        <w:t>.</w:t>
      </w:r>
      <w:r>
        <w:t xml:space="preserve"> </w:t>
      </w:r>
    </w:p>
  </w:footnote>
  <w:footnote w:id="33">
    <w:p w14:paraId="1576F8BC" w14:textId="6E9F622F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5FEF">
        <w:rPr>
          <w:i/>
        </w:rPr>
        <w:t>Id</w:t>
      </w:r>
      <w:r>
        <w:t>.</w:t>
      </w:r>
    </w:p>
  </w:footnote>
  <w:footnote w:id="34">
    <w:p w14:paraId="073A4E09" w14:textId="2CEB6874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474A">
        <w:t>“</w:t>
      </w:r>
      <w:r w:rsidRPr="00DB5FEF">
        <w:t xml:space="preserve">Vaccine hesitancy: More than a pandemic,” </w:t>
      </w:r>
      <w:r w:rsidRPr="00EA026E">
        <w:rPr>
          <w:rStyle w:val="Emphasis"/>
          <w:i w:val="0"/>
          <w:color w:val="222222"/>
          <w:shd w:val="clear" w:color="auto" w:fill="FFFFFF"/>
        </w:rPr>
        <w:t>Edward Chen</w:t>
      </w:r>
      <w:r w:rsidRPr="00DB5FEF">
        <w:rPr>
          <w:rStyle w:val="Emphasis"/>
          <w:i w:val="0"/>
          <w:color w:val="222222"/>
          <w:shd w:val="clear" w:color="auto" w:fill="FFFFFF"/>
        </w:rPr>
        <w:t xml:space="preserve">, Harvard University, June 29, 2021 available at </w:t>
      </w:r>
      <w:hyperlink r:id="rId11" w:history="1">
        <w:r w:rsidRPr="00DB5FEF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https://sitn.hms.harvard.edu/flash/2021/vaccine-hesitancy-more-than-a-pandemic/</w:t>
        </w:r>
      </w:hyperlink>
      <w:r w:rsidRPr="00DB5FEF">
        <w:rPr>
          <w:rStyle w:val="Emphasis"/>
          <w:i w:val="0"/>
          <w:color w:val="222222"/>
          <w:shd w:val="clear" w:color="auto" w:fill="FFFFFF"/>
        </w:rPr>
        <w:t>.</w:t>
      </w:r>
    </w:p>
  </w:footnote>
  <w:footnote w:id="35">
    <w:p w14:paraId="230EB08F" w14:textId="6FC28A14" w:rsidR="009F2233" w:rsidRPr="00EA026E" w:rsidRDefault="009F2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026E">
        <w:rPr>
          <w:i/>
        </w:rPr>
        <w:t>Id</w:t>
      </w:r>
      <w:r>
        <w:t>.</w:t>
      </w:r>
    </w:p>
  </w:footnote>
  <w:footnote w:id="36">
    <w:p w14:paraId="07646DF7" w14:textId="77777777" w:rsidR="009F2233" w:rsidRPr="00EA026E" w:rsidRDefault="009F2233" w:rsidP="00EA02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026E">
        <w:rPr>
          <w:i/>
        </w:rPr>
        <w:t>Id</w:t>
      </w:r>
      <w:r>
        <w:t>.</w:t>
      </w:r>
    </w:p>
  </w:footnote>
  <w:footnote w:id="37">
    <w:p w14:paraId="57769A5C" w14:textId="77777777" w:rsidR="009F2233" w:rsidRPr="00EA026E" w:rsidRDefault="009F2233" w:rsidP="00EA02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026E">
        <w:rPr>
          <w:i/>
        </w:rPr>
        <w:t>Id</w:t>
      </w:r>
      <w:r>
        <w:t>.</w:t>
      </w:r>
    </w:p>
  </w:footnote>
  <w:footnote w:id="38">
    <w:p w14:paraId="4C8DEE96" w14:textId="581C82A7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NYC DOHMH, COVID-19: Data, available at </w:t>
      </w:r>
      <w:hyperlink r:id="rId12" w:history="1">
        <w:r w:rsidRPr="005E11DA">
          <w:rPr>
            <w:rStyle w:val="Hyperlink"/>
            <w:rFonts w:ascii="Times New Roman" w:hAnsi="Times New Roman"/>
            <w:sz w:val="20"/>
            <w:szCs w:val="20"/>
          </w:rPr>
          <w:t>https://www1.nyc.gov/site/doh/covid/covid-19-data-vaccines.page</w:t>
        </w:r>
      </w:hyperlink>
      <w:r>
        <w:t>.</w:t>
      </w:r>
    </w:p>
  </w:footnote>
  <w:footnote w:id="39">
    <w:p w14:paraId="048812DB" w14:textId="7888A208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Pr="009F2233">
        <w:t>COVID-19 Vaccine Monitor</w:t>
      </w:r>
      <w:r>
        <w:t xml:space="preserve">,” KFF, available at </w:t>
      </w:r>
      <w:hyperlink r:id="rId13" w:history="1">
        <w:r w:rsidRPr="005E11DA">
          <w:rPr>
            <w:rStyle w:val="Hyperlink"/>
            <w:rFonts w:ascii="Times New Roman" w:hAnsi="Times New Roman"/>
            <w:sz w:val="20"/>
            <w:szCs w:val="20"/>
          </w:rPr>
          <w:t>https://www.kff.org/coronavirus-covid-19/dashboard/kff-covid-19-vaccine-monitor-dashboard/</w:t>
        </w:r>
      </w:hyperlink>
      <w:r>
        <w:t xml:space="preserve">. </w:t>
      </w:r>
    </w:p>
  </w:footnote>
  <w:footnote w:id="40">
    <w:p w14:paraId="41744E89" w14:textId="0824FC44" w:rsidR="009F2233" w:rsidRDefault="009F2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2233">
        <w:rPr>
          <w:i/>
        </w:rPr>
        <w:t>Id</w:t>
      </w:r>
      <w:r>
        <w:t>.</w:t>
      </w:r>
    </w:p>
  </w:footnote>
  <w:footnote w:id="41">
    <w:p w14:paraId="0B2740C5" w14:textId="77777777" w:rsidR="009F2233" w:rsidRDefault="009F2233" w:rsidP="009F2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2233">
        <w:rPr>
          <w:i/>
        </w:rPr>
        <w:t>Id</w:t>
      </w:r>
      <w:r>
        <w:t>.</w:t>
      </w:r>
    </w:p>
  </w:footnote>
  <w:footnote w:id="42">
    <w:p w14:paraId="1A166900" w14:textId="77777777" w:rsidR="009F2233" w:rsidRDefault="009F2233" w:rsidP="009F22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2233">
        <w:rPr>
          <w:i/>
        </w:rPr>
        <w:t>Id</w:t>
      </w:r>
      <w:r>
        <w:t>.</w:t>
      </w:r>
    </w:p>
  </w:footnote>
  <w:footnote w:id="43">
    <w:p w14:paraId="76F5DA74" w14:textId="23F282FD" w:rsidR="00CF2223" w:rsidRPr="00CF2223" w:rsidRDefault="00CF2223">
      <w:pPr>
        <w:pStyle w:val="FootnoteText"/>
      </w:pPr>
      <w:r w:rsidRPr="00CF2223">
        <w:rPr>
          <w:rStyle w:val="FootnoteReference"/>
        </w:rPr>
        <w:footnoteRef/>
      </w:r>
      <w:r w:rsidRPr="00CF2223">
        <w:t xml:space="preserve"> </w:t>
      </w:r>
      <w:r w:rsidRPr="007A64FF">
        <w:rPr>
          <w:i/>
        </w:rPr>
        <w:t>See, e.g.</w:t>
      </w:r>
      <w:r w:rsidRPr="00CF2223">
        <w:t>, “</w:t>
      </w:r>
      <w:r w:rsidRPr="00CF2223">
        <w:rPr>
          <w:bCs/>
          <w:color w:val="000000"/>
        </w:rPr>
        <w:t xml:space="preserve">America Is Getting Unvaccinated People All Wrong,” </w:t>
      </w:r>
      <w:r w:rsidRPr="00CF2223">
        <w:rPr>
          <w:i/>
          <w:iCs/>
          <w:color w:val="000000"/>
        </w:rPr>
        <w:t>Ed Yong</w:t>
      </w:r>
      <w:r w:rsidRPr="00CF2223">
        <w:t xml:space="preserve">, The Atlantic, July 22, 2021, available at </w:t>
      </w:r>
      <w:hyperlink r:id="rId14" w:history="1">
        <w:r w:rsidRPr="00CF2223">
          <w:rPr>
            <w:rStyle w:val="Hyperlink"/>
            <w:rFonts w:ascii="Times New Roman" w:hAnsi="Times New Roman"/>
            <w:sz w:val="20"/>
            <w:szCs w:val="20"/>
          </w:rPr>
          <w:t>https://www.theatlantic.com/health/archive/2021/07/unvaccinated-different-anti-vax/619523/</w:t>
        </w:r>
      </w:hyperlink>
      <w:r w:rsidRPr="00CF2223">
        <w:t xml:space="preserve">. </w:t>
      </w:r>
    </w:p>
  </w:footnote>
  <w:footnote w:id="44">
    <w:p w14:paraId="3689F328" w14:textId="1C2C8211" w:rsidR="007A64FF" w:rsidRDefault="007A64FF">
      <w:pPr>
        <w:pStyle w:val="FootnoteText"/>
      </w:pPr>
      <w:r>
        <w:rPr>
          <w:rStyle w:val="FootnoteReference"/>
        </w:rPr>
        <w:footnoteRef/>
      </w:r>
      <w:r>
        <w:t xml:space="preserve"> “Overview of the NYC Department of Health and Mental Hygiene’s COVID-19 Equity Action Plan,” DOHMH, available at </w:t>
      </w:r>
      <w:hyperlink r:id="rId15" w:history="1">
        <w:r w:rsidRPr="005E11DA">
          <w:rPr>
            <w:rStyle w:val="Hyperlink"/>
            <w:rFonts w:ascii="Times New Roman" w:hAnsi="Times New Roman"/>
            <w:sz w:val="20"/>
            <w:szCs w:val="20"/>
          </w:rPr>
          <w:t>https://www1.nyc.gov/assets/doh/downloads/pdf/imm/covid-19-equity-action-plan.pdf</w:t>
        </w:r>
      </w:hyperlink>
      <w:r>
        <w:t xml:space="preserve">. </w:t>
      </w:r>
    </w:p>
  </w:footnote>
  <w:footnote w:id="45">
    <w:p w14:paraId="40A23430" w14:textId="77777777" w:rsidR="007A64FF" w:rsidRDefault="007A64FF" w:rsidP="007A64FF">
      <w:pPr>
        <w:pStyle w:val="FootnoteText"/>
      </w:pPr>
      <w:r>
        <w:rPr>
          <w:rStyle w:val="FootnoteReference"/>
        </w:rPr>
        <w:footnoteRef/>
      </w:r>
      <w:r>
        <w:t xml:space="preserve"> “Overview of the NYC Department of Health and Mental Hygiene’s COVID-19 Equity Action Plan,” DOHMH, available at </w:t>
      </w:r>
      <w:hyperlink r:id="rId16" w:history="1">
        <w:r w:rsidRPr="005E11DA">
          <w:rPr>
            <w:rStyle w:val="Hyperlink"/>
            <w:rFonts w:ascii="Times New Roman" w:hAnsi="Times New Roman"/>
            <w:sz w:val="20"/>
            <w:szCs w:val="20"/>
          </w:rPr>
          <w:t>https://www1.nyc.gov/assets/doh/downloads/pdf/imm/covid-19-equity-action-plan.pdf</w:t>
        </w:r>
      </w:hyperlink>
      <w:r>
        <w:t xml:space="preserve">. </w:t>
      </w:r>
    </w:p>
  </w:footnote>
  <w:footnote w:id="46">
    <w:p w14:paraId="67BECBA8" w14:textId="77777777" w:rsidR="007A64FF" w:rsidRDefault="007A64FF" w:rsidP="007A64FF">
      <w:pPr>
        <w:pStyle w:val="FootnoteText"/>
      </w:pPr>
      <w:r>
        <w:rPr>
          <w:rStyle w:val="FootnoteReference"/>
        </w:rPr>
        <w:footnoteRef/>
      </w:r>
      <w:r>
        <w:t xml:space="preserve"> “Overview of the NYC Department of Health and Mental Hygiene’s COVID-19 Equity Action Plan,” DOHMH, available at </w:t>
      </w:r>
      <w:hyperlink r:id="rId17" w:history="1">
        <w:r w:rsidRPr="005E11DA">
          <w:rPr>
            <w:rStyle w:val="Hyperlink"/>
            <w:rFonts w:ascii="Times New Roman" w:hAnsi="Times New Roman"/>
            <w:sz w:val="20"/>
            <w:szCs w:val="20"/>
          </w:rPr>
          <w:t>https://www1.nyc.gov/assets/doh/downloads/pdf/imm/covid-19-equity-action-plan.pdf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FFFE7" w14:textId="77777777" w:rsidR="009F2233" w:rsidRDefault="009F2233">
    <w:pPr>
      <w:pStyle w:val="Header"/>
    </w:pPr>
  </w:p>
  <w:p w14:paraId="6FA8F5D1" w14:textId="77777777" w:rsidR="009F2233" w:rsidRDefault="009F2233"/>
  <w:p w14:paraId="3FEB35E8" w14:textId="77777777" w:rsidR="009F2233" w:rsidRDefault="009F22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562"/>
    <w:multiLevelType w:val="hybridMultilevel"/>
    <w:tmpl w:val="13D2C822"/>
    <w:lvl w:ilvl="0" w:tplc="27DA5A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3869"/>
    <w:multiLevelType w:val="hybridMultilevel"/>
    <w:tmpl w:val="BCAC9612"/>
    <w:lvl w:ilvl="0" w:tplc="A288E232">
      <w:start w:val="1"/>
      <w:numFmt w:val="upperLetter"/>
      <w:lvlText w:val="%1."/>
      <w:lvlJc w:val="left"/>
      <w:pPr>
        <w:ind w:left="-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6B101AB"/>
    <w:multiLevelType w:val="hybridMultilevel"/>
    <w:tmpl w:val="4D4C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A0EC5"/>
    <w:multiLevelType w:val="hybridMultilevel"/>
    <w:tmpl w:val="A436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64D97"/>
    <w:multiLevelType w:val="multilevel"/>
    <w:tmpl w:val="D334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53529"/>
    <w:multiLevelType w:val="hybridMultilevel"/>
    <w:tmpl w:val="6A8C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D525C"/>
    <w:multiLevelType w:val="hybridMultilevel"/>
    <w:tmpl w:val="A92C7E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5CA3F7D"/>
    <w:multiLevelType w:val="hybridMultilevel"/>
    <w:tmpl w:val="5F1E8940"/>
    <w:lvl w:ilvl="0" w:tplc="D8C47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A"/>
    <w:rsid w:val="00005711"/>
    <w:rsid w:val="000206E7"/>
    <w:rsid w:val="00020C93"/>
    <w:rsid w:val="00027BA7"/>
    <w:rsid w:val="00033518"/>
    <w:rsid w:val="00037ECC"/>
    <w:rsid w:val="00047EB4"/>
    <w:rsid w:val="000511B8"/>
    <w:rsid w:val="00052096"/>
    <w:rsid w:val="0006068D"/>
    <w:rsid w:val="00076600"/>
    <w:rsid w:val="000814BE"/>
    <w:rsid w:val="00082D41"/>
    <w:rsid w:val="00085E8D"/>
    <w:rsid w:val="000A0C6A"/>
    <w:rsid w:val="000A29C3"/>
    <w:rsid w:val="000B336F"/>
    <w:rsid w:val="000B3C73"/>
    <w:rsid w:val="000C4DBB"/>
    <w:rsid w:val="000C5A56"/>
    <w:rsid w:val="000D10CF"/>
    <w:rsid w:val="000E29FA"/>
    <w:rsid w:val="000E67F4"/>
    <w:rsid w:val="000E68BF"/>
    <w:rsid w:val="000F049F"/>
    <w:rsid w:val="000F23F2"/>
    <w:rsid w:val="00102509"/>
    <w:rsid w:val="00102F43"/>
    <w:rsid w:val="00105CE9"/>
    <w:rsid w:val="00111BE3"/>
    <w:rsid w:val="00113857"/>
    <w:rsid w:val="001138FD"/>
    <w:rsid w:val="00117DE8"/>
    <w:rsid w:val="00120520"/>
    <w:rsid w:val="0013064E"/>
    <w:rsid w:val="00136FE5"/>
    <w:rsid w:val="00147A07"/>
    <w:rsid w:val="0015355B"/>
    <w:rsid w:val="00161469"/>
    <w:rsid w:val="00167C46"/>
    <w:rsid w:val="001700D4"/>
    <w:rsid w:val="00172976"/>
    <w:rsid w:val="00173E4F"/>
    <w:rsid w:val="00177E4D"/>
    <w:rsid w:val="00182C2D"/>
    <w:rsid w:val="001836E9"/>
    <w:rsid w:val="00187F33"/>
    <w:rsid w:val="001A075F"/>
    <w:rsid w:val="001A754F"/>
    <w:rsid w:val="001B35F6"/>
    <w:rsid w:val="001B47C5"/>
    <w:rsid w:val="001B4F2A"/>
    <w:rsid w:val="001C2953"/>
    <w:rsid w:val="001C35AD"/>
    <w:rsid w:val="001C776A"/>
    <w:rsid w:val="001D23C1"/>
    <w:rsid w:val="001D5790"/>
    <w:rsid w:val="001D5CB3"/>
    <w:rsid w:val="001D5E67"/>
    <w:rsid w:val="001F41B1"/>
    <w:rsid w:val="001F7D3E"/>
    <w:rsid w:val="00201290"/>
    <w:rsid w:val="0020329C"/>
    <w:rsid w:val="00215CDF"/>
    <w:rsid w:val="002169EE"/>
    <w:rsid w:val="0022449C"/>
    <w:rsid w:val="0022662B"/>
    <w:rsid w:val="002304E4"/>
    <w:rsid w:val="00231DFB"/>
    <w:rsid w:val="002410A1"/>
    <w:rsid w:val="00257290"/>
    <w:rsid w:val="00260D4D"/>
    <w:rsid w:val="0026109F"/>
    <w:rsid w:val="00267EDF"/>
    <w:rsid w:val="00273807"/>
    <w:rsid w:val="002806B3"/>
    <w:rsid w:val="00293563"/>
    <w:rsid w:val="00293C8E"/>
    <w:rsid w:val="002961BF"/>
    <w:rsid w:val="00296819"/>
    <w:rsid w:val="002B06EF"/>
    <w:rsid w:val="002B3B4B"/>
    <w:rsid w:val="002B7D68"/>
    <w:rsid w:val="002D6DF1"/>
    <w:rsid w:val="002E149D"/>
    <w:rsid w:val="002E36DC"/>
    <w:rsid w:val="002E53B7"/>
    <w:rsid w:val="002F0941"/>
    <w:rsid w:val="003035B9"/>
    <w:rsid w:val="00304C52"/>
    <w:rsid w:val="0030793A"/>
    <w:rsid w:val="0031068D"/>
    <w:rsid w:val="00321CBE"/>
    <w:rsid w:val="003314DD"/>
    <w:rsid w:val="00333584"/>
    <w:rsid w:val="0033384C"/>
    <w:rsid w:val="00333DDD"/>
    <w:rsid w:val="0034056B"/>
    <w:rsid w:val="00347594"/>
    <w:rsid w:val="00351133"/>
    <w:rsid w:val="003515C1"/>
    <w:rsid w:val="00364AA3"/>
    <w:rsid w:val="00365D81"/>
    <w:rsid w:val="00367C76"/>
    <w:rsid w:val="0037276C"/>
    <w:rsid w:val="00375C41"/>
    <w:rsid w:val="00382049"/>
    <w:rsid w:val="003945D1"/>
    <w:rsid w:val="003A11E4"/>
    <w:rsid w:val="003B5225"/>
    <w:rsid w:val="003C7667"/>
    <w:rsid w:val="003D2135"/>
    <w:rsid w:val="003D3322"/>
    <w:rsid w:val="003D7BC4"/>
    <w:rsid w:val="003E0B2A"/>
    <w:rsid w:val="003F18D1"/>
    <w:rsid w:val="003F4234"/>
    <w:rsid w:val="003F4837"/>
    <w:rsid w:val="003F77C7"/>
    <w:rsid w:val="00400191"/>
    <w:rsid w:val="00402029"/>
    <w:rsid w:val="00410BFE"/>
    <w:rsid w:val="004171AC"/>
    <w:rsid w:val="004223CA"/>
    <w:rsid w:val="00423EC2"/>
    <w:rsid w:val="00430B99"/>
    <w:rsid w:val="004323A5"/>
    <w:rsid w:val="0043327A"/>
    <w:rsid w:val="00437033"/>
    <w:rsid w:val="00440E4C"/>
    <w:rsid w:val="00442C3E"/>
    <w:rsid w:val="00453E14"/>
    <w:rsid w:val="0045646E"/>
    <w:rsid w:val="00494141"/>
    <w:rsid w:val="004977E7"/>
    <w:rsid w:val="004A0885"/>
    <w:rsid w:val="004A2924"/>
    <w:rsid w:val="004A33F9"/>
    <w:rsid w:val="004A5C8A"/>
    <w:rsid w:val="004A5EAD"/>
    <w:rsid w:val="004A70D6"/>
    <w:rsid w:val="004A7E81"/>
    <w:rsid w:val="004B4F84"/>
    <w:rsid w:val="004B59A9"/>
    <w:rsid w:val="004B67A4"/>
    <w:rsid w:val="004C2008"/>
    <w:rsid w:val="004D580F"/>
    <w:rsid w:val="004E0DB4"/>
    <w:rsid w:val="004E38A3"/>
    <w:rsid w:val="004E3A5B"/>
    <w:rsid w:val="004F1DF7"/>
    <w:rsid w:val="004F2B94"/>
    <w:rsid w:val="004F4244"/>
    <w:rsid w:val="0050503E"/>
    <w:rsid w:val="00505FA3"/>
    <w:rsid w:val="00511B09"/>
    <w:rsid w:val="00512F56"/>
    <w:rsid w:val="00516F65"/>
    <w:rsid w:val="00517885"/>
    <w:rsid w:val="0052316C"/>
    <w:rsid w:val="00526A0A"/>
    <w:rsid w:val="00527A64"/>
    <w:rsid w:val="00547410"/>
    <w:rsid w:val="0055124A"/>
    <w:rsid w:val="00555062"/>
    <w:rsid w:val="00557E12"/>
    <w:rsid w:val="00567F9A"/>
    <w:rsid w:val="00571CBF"/>
    <w:rsid w:val="0057247B"/>
    <w:rsid w:val="005755E2"/>
    <w:rsid w:val="00586BCD"/>
    <w:rsid w:val="00594F96"/>
    <w:rsid w:val="00596528"/>
    <w:rsid w:val="005A4E8C"/>
    <w:rsid w:val="005B2F6B"/>
    <w:rsid w:val="005B3137"/>
    <w:rsid w:val="005B6272"/>
    <w:rsid w:val="005C6F84"/>
    <w:rsid w:val="005D32E3"/>
    <w:rsid w:val="005E28D3"/>
    <w:rsid w:val="005E3284"/>
    <w:rsid w:val="005E483B"/>
    <w:rsid w:val="005F5AED"/>
    <w:rsid w:val="005F5CB6"/>
    <w:rsid w:val="006074A7"/>
    <w:rsid w:val="00607A12"/>
    <w:rsid w:val="00607FB4"/>
    <w:rsid w:val="00612E20"/>
    <w:rsid w:val="00614ABC"/>
    <w:rsid w:val="00615E7C"/>
    <w:rsid w:val="00621550"/>
    <w:rsid w:val="00625922"/>
    <w:rsid w:val="00625E9F"/>
    <w:rsid w:val="006365E5"/>
    <w:rsid w:val="0064275B"/>
    <w:rsid w:val="0064630A"/>
    <w:rsid w:val="00650AB3"/>
    <w:rsid w:val="00651930"/>
    <w:rsid w:val="00667B32"/>
    <w:rsid w:val="00672C7B"/>
    <w:rsid w:val="00672FFA"/>
    <w:rsid w:val="00694AFE"/>
    <w:rsid w:val="00696D96"/>
    <w:rsid w:val="006A4356"/>
    <w:rsid w:val="006A6384"/>
    <w:rsid w:val="006A6E35"/>
    <w:rsid w:val="006A7EDB"/>
    <w:rsid w:val="006B1EA1"/>
    <w:rsid w:val="006B40FE"/>
    <w:rsid w:val="006C0050"/>
    <w:rsid w:val="006C2044"/>
    <w:rsid w:val="006C5AD3"/>
    <w:rsid w:val="006D0937"/>
    <w:rsid w:val="006D4D2E"/>
    <w:rsid w:val="006E13E5"/>
    <w:rsid w:val="006E33F3"/>
    <w:rsid w:val="006E48BA"/>
    <w:rsid w:val="006F2B1C"/>
    <w:rsid w:val="006F60F2"/>
    <w:rsid w:val="00707292"/>
    <w:rsid w:val="007102E8"/>
    <w:rsid w:val="0071490E"/>
    <w:rsid w:val="00715D04"/>
    <w:rsid w:val="00715DEF"/>
    <w:rsid w:val="00722F02"/>
    <w:rsid w:val="00732231"/>
    <w:rsid w:val="007352C5"/>
    <w:rsid w:val="00742F8C"/>
    <w:rsid w:val="00743FAC"/>
    <w:rsid w:val="00752622"/>
    <w:rsid w:val="00753D2C"/>
    <w:rsid w:val="0075547D"/>
    <w:rsid w:val="0075553F"/>
    <w:rsid w:val="0076152F"/>
    <w:rsid w:val="0076674F"/>
    <w:rsid w:val="00775057"/>
    <w:rsid w:val="00784073"/>
    <w:rsid w:val="0078799B"/>
    <w:rsid w:val="007908A5"/>
    <w:rsid w:val="007942AB"/>
    <w:rsid w:val="007A0670"/>
    <w:rsid w:val="007A123A"/>
    <w:rsid w:val="007A5B74"/>
    <w:rsid w:val="007A64FF"/>
    <w:rsid w:val="007A6E2A"/>
    <w:rsid w:val="007B0FE7"/>
    <w:rsid w:val="007B221D"/>
    <w:rsid w:val="007C1F0B"/>
    <w:rsid w:val="007C2425"/>
    <w:rsid w:val="007C590A"/>
    <w:rsid w:val="007C5CAC"/>
    <w:rsid w:val="007D0274"/>
    <w:rsid w:val="007D20E5"/>
    <w:rsid w:val="007D737F"/>
    <w:rsid w:val="007E4191"/>
    <w:rsid w:val="007E4384"/>
    <w:rsid w:val="007E45AB"/>
    <w:rsid w:val="007E5504"/>
    <w:rsid w:val="007F4DBA"/>
    <w:rsid w:val="007F64BD"/>
    <w:rsid w:val="00805B0C"/>
    <w:rsid w:val="00813479"/>
    <w:rsid w:val="00814375"/>
    <w:rsid w:val="00816B32"/>
    <w:rsid w:val="00824C38"/>
    <w:rsid w:val="0083529C"/>
    <w:rsid w:val="00847F6D"/>
    <w:rsid w:val="00851558"/>
    <w:rsid w:val="008578F3"/>
    <w:rsid w:val="00863A8B"/>
    <w:rsid w:val="008677BF"/>
    <w:rsid w:val="00874FFB"/>
    <w:rsid w:val="008837D0"/>
    <w:rsid w:val="00886E74"/>
    <w:rsid w:val="00892A6A"/>
    <w:rsid w:val="008939CE"/>
    <w:rsid w:val="008B0A23"/>
    <w:rsid w:val="008B6E9B"/>
    <w:rsid w:val="008D69A9"/>
    <w:rsid w:val="008E03EB"/>
    <w:rsid w:val="008E1E8C"/>
    <w:rsid w:val="008F3AD8"/>
    <w:rsid w:val="0090252F"/>
    <w:rsid w:val="00904B21"/>
    <w:rsid w:val="00907A9F"/>
    <w:rsid w:val="00910D64"/>
    <w:rsid w:val="00911AF3"/>
    <w:rsid w:val="00927D91"/>
    <w:rsid w:val="00934DCD"/>
    <w:rsid w:val="009357D1"/>
    <w:rsid w:val="00942421"/>
    <w:rsid w:val="0094441D"/>
    <w:rsid w:val="009467CC"/>
    <w:rsid w:val="00946BBD"/>
    <w:rsid w:val="00947BBC"/>
    <w:rsid w:val="0096021C"/>
    <w:rsid w:val="00961FC8"/>
    <w:rsid w:val="009651C7"/>
    <w:rsid w:val="00965281"/>
    <w:rsid w:val="00965AD0"/>
    <w:rsid w:val="00971ACF"/>
    <w:rsid w:val="0097237D"/>
    <w:rsid w:val="0097566A"/>
    <w:rsid w:val="00976E58"/>
    <w:rsid w:val="00982C20"/>
    <w:rsid w:val="00994C60"/>
    <w:rsid w:val="00995A75"/>
    <w:rsid w:val="009A083C"/>
    <w:rsid w:val="009A771E"/>
    <w:rsid w:val="009B0CBF"/>
    <w:rsid w:val="009B3457"/>
    <w:rsid w:val="009C4364"/>
    <w:rsid w:val="009D678E"/>
    <w:rsid w:val="009E4A28"/>
    <w:rsid w:val="009E5C13"/>
    <w:rsid w:val="009F2233"/>
    <w:rsid w:val="009F3B70"/>
    <w:rsid w:val="009F474A"/>
    <w:rsid w:val="00A01F8B"/>
    <w:rsid w:val="00A027BC"/>
    <w:rsid w:val="00A054E6"/>
    <w:rsid w:val="00A07C8C"/>
    <w:rsid w:val="00A103E5"/>
    <w:rsid w:val="00A109E2"/>
    <w:rsid w:val="00A11141"/>
    <w:rsid w:val="00A11ADA"/>
    <w:rsid w:val="00A238BB"/>
    <w:rsid w:val="00A26615"/>
    <w:rsid w:val="00A27728"/>
    <w:rsid w:val="00A503D2"/>
    <w:rsid w:val="00A508E8"/>
    <w:rsid w:val="00A5447B"/>
    <w:rsid w:val="00A60BEB"/>
    <w:rsid w:val="00A62301"/>
    <w:rsid w:val="00A819F3"/>
    <w:rsid w:val="00A8625C"/>
    <w:rsid w:val="00A93FD4"/>
    <w:rsid w:val="00A94268"/>
    <w:rsid w:val="00AA35AC"/>
    <w:rsid w:val="00AA56B9"/>
    <w:rsid w:val="00AB025B"/>
    <w:rsid w:val="00AB4BC1"/>
    <w:rsid w:val="00AB732A"/>
    <w:rsid w:val="00AC09FC"/>
    <w:rsid w:val="00AC2757"/>
    <w:rsid w:val="00AC546F"/>
    <w:rsid w:val="00AE32A7"/>
    <w:rsid w:val="00AF57CD"/>
    <w:rsid w:val="00AF7052"/>
    <w:rsid w:val="00AF7885"/>
    <w:rsid w:val="00B018CA"/>
    <w:rsid w:val="00B030A4"/>
    <w:rsid w:val="00B11B4A"/>
    <w:rsid w:val="00B22205"/>
    <w:rsid w:val="00B27CB6"/>
    <w:rsid w:val="00B33CED"/>
    <w:rsid w:val="00B34CA7"/>
    <w:rsid w:val="00B379F6"/>
    <w:rsid w:val="00B40ABF"/>
    <w:rsid w:val="00B42DDE"/>
    <w:rsid w:val="00B538B0"/>
    <w:rsid w:val="00B53FF2"/>
    <w:rsid w:val="00B57FA5"/>
    <w:rsid w:val="00B616BB"/>
    <w:rsid w:val="00B62427"/>
    <w:rsid w:val="00B63167"/>
    <w:rsid w:val="00B71681"/>
    <w:rsid w:val="00B77103"/>
    <w:rsid w:val="00B83D2E"/>
    <w:rsid w:val="00B83EFD"/>
    <w:rsid w:val="00B87742"/>
    <w:rsid w:val="00B927D6"/>
    <w:rsid w:val="00B94CA6"/>
    <w:rsid w:val="00B94EBD"/>
    <w:rsid w:val="00B966F1"/>
    <w:rsid w:val="00BC511F"/>
    <w:rsid w:val="00BD2748"/>
    <w:rsid w:val="00BD704D"/>
    <w:rsid w:val="00BE08E6"/>
    <w:rsid w:val="00BE0EF5"/>
    <w:rsid w:val="00BE36EA"/>
    <w:rsid w:val="00BE44F4"/>
    <w:rsid w:val="00BE5CAA"/>
    <w:rsid w:val="00BE7BD9"/>
    <w:rsid w:val="00BF1D4A"/>
    <w:rsid w:val="00BF6267"/>
    <w:rsid w:val="00C00EBC"/>
    <w:rsid w:val="00C01BE5"/>
    <w:rsid w:val="00C11025"/>
    <w:rsid w:val="00C1484A"/>
    <w:rsid w:val="00C20D80"/>
    <w:rsid w:val="00C22C73"/>
    <w:rsid w:val="00C2500C"/>
    <w:rsid w:val="00C34BE0"/>
    <w:rsid w:val="00C4121F"/>
    <w:rsid w:val="00C47252"/>
    <w:rsid w:val="00C531B8"/>
    <w:rsid w:val="00C60130"/>
    <w:rsid w:val="00C63EA4"/>
    <w:rsid w:val="00C67A60"/>
    <w:rsid w:val="00C75D47"/>
    <w:rsid w:val="00C76031"/>
    <w:rsid w:val="00C7730C"/>
    <w:rsid w:val="00C84778"/>
    <w:rsid w:val="00C86AE2"/>
    <w:rsid w:val="00C90674"/>
    <w:rsid w:val="00C90B53"/>
    <w:rsid w:val="00C91F7D"/>
    <w:rsid w:val="00CA01A9"/>
    <w:rsid w:val="00CA0AEA"/>
    <w:rsid w:val="00CA107A"/>
    <w:rsid w:val="00CA254D"/>
    <w:rsid w:val="00CA395A"/>
    <w:rsid w:val="00CB5FC8"/>
    <w:rsid w:val="00CB636A"/>
    <w:rsid w:val="00CB6B69"/>
    <w:rsid w:val="00CC4006"/>
    <w:rsid w:val="00CD005F"/>
    <w:rsid w:val="00CE0219"/>
    <w:rsid w:val="00CE3718"/>
    <w:rsid w:val="00CF0B32"/>
    <w:rsid w:val="00CF2223"/>
    <w:rsid w:val="00CF3458"/>
    <w:rsid w:val="00CF3BA9"/>
    <w:rsid w:val="00CF5015"/>
    <w:rsid w:val="00D1532C"/>
    <w:rsid w:val="00D2708C"/>
    <w:rsid w:val="00D30617"/>
    <w:rsid w:val="00D336C6"/>
    <w:rsid w:val="00D34715"/>
    <w:rsid w:val="00D42141"/>
    <w:rsid w:val="00D42C1E"/>
    <w:rsid w:val="00D46D9F"/>
    <w:rsid w:val="00D501FB"/>
    <w:rsid w:val="00D71291"/>
    <w:rsid w:val="00D7542A"/>
    <w:rsid w:val="00D7546E"/>
    <w:rsid w:val="00D76796"/>
    <w:rsid w:val="00D76C78"/>
    <w:rsid w:val="00D80C2C"/>
    <w:rsid w:val="00D81CD7"/>
    <w:rsid w:val="00D838F6"/>
    <w:rsid w:val="00D908D1"/>
    <w:rsid w:val="00D914C0"/>
    <w:rsid w:val="00D96273"/>
    <w:rsid w:val="00D97AA9"/>
    <w:rsid w:val="00DA4F37"/>
    <w:rsid w:val="00DB279A"/>
    <w:rsid w:val="00DB5FEF"/>
    <w:rsid w:val="00DB72DA"/>
    <w:rsid w:val="00DC2733"/>
    <w:rsid w:val="00DD4566"/>
    <w:rsid w:val="00DE6D9A"/>
    <w:rsid w:val="00DF7918"/>
    <w:rsid w:val="00E01094"/>
    <w:rsid w:val="00E17665"/>
    <w:rsid w:val="00E21086"/>
    <w:rsid w:val="00E22204"/>
    <w:rsid w:val="00E26596"/>
    <w:rsid w:val="00E279F4"/>
    <w:rsid w:val="00E313B7"/>
    <w:rsid w:val="00E35B59"/>
    <w:rsid w:val="00E364BF"/>
    <w:rsid w:val="00E424B9"/>
    <w:rsid w:val="00E43800"/>
    <w:rsid w:val="00E44A85"/>
    <w:rsid w:val="00E478F3"/>
    <w:rsid w:val="00E51BD1"/>
    <w:rsid w:val="00E52817"/>
    <w:rsid w:val="00E52BD2"/>
    <w:rsid w:val="00E571D5"/>
    <w:rsid w:val="00E62C2E"/>
    <w:rsid w:val="00E62ECC"/>
    <w:rsid w:val="00E644BC"/>
    <w:rsid w:val="00E65F4B"/>
    <w:rsid w:val="00E76680"/>
    <w:rsid w:val="00E77C9B"/>
    <w:rsid w:val="00E80C6D"/>
    <w:rsid w:val="00E82904"/>
    <w:rsid w:val="00E90EA6"/>
    <w:rsid w:val="00EA026E"/>
    <w:rsid w:val="00EB3F0A"/>
    <w:rsid w:val="00EB50C1"/>
    <w:rsid w:val="00EB76BF"/>
    <w:rsid w:val="00EC2FFC"/>
    <w:rsid w:val="00EC629C"/>
    <w:rsid w:val="00ED303F"/>
    <w:rsid w:val="00EE1DF7"/>
    <w:rsid w:val="00EF1578"/>
    <w:rsid w:val="00EF30A5"/>
    <w:rsid w:val="00EF3FDB"/>
    <w:rsid w:val="00F01C13"/>
    <w:rsid w:val="00F0797D"/>
    <w:rsid w:val="00F103CA"/>
    <w:rsid w:val="00F120B1"/>
    <w:rsid w:val="00F12480"/>
    <w:rsid w:val="00F15978"/>
    <w:rsid w:val="00F22511"/>
    <w:rsid w:val="00F24AD2"/>
    <w:rsid w:val="00F2680E"/>
    <w:rsid w:val="00F30FEF"/>
    <w:rsid w:val="00F31F49"/>
    <w:rsid w:val="00F33F69"/>
    <w:rsid w:val="00F37679"/>
    <w:rsid w:val="00F54726"/>
    <w:rsid w:val="00F5581B"/>
    <w:rsid w:val="00F55E78"/>
    <w:rsid w:val="00F57B6E"/>
    <w:rsid w:val="00F63DE0"/>
    <w:rsid w:val="00F67C91"/>
    <w:rsid w:val="00F71703"/>
    <w:rsid w:val="00F76DC0"/>
    <w:rsid w:val="00F833DF"/>
    <w:rsid w:val="00F868A1"/>
    <w:rsid w:val="00FA0F14"/>
    <w:rsid w:val="00FA5499"/>
    <w:rsid w:val="00FA583F"/>
    <w:rsid w:val="00FB2A21"/>
    <w:rsid w:val="00FB50F1"/>
    <w:rsid w:val="00FB6ECD"/>
    <w:rsid w:val="00FC4112"/>
    <w:rsid w:val="00FD1424"/>
    <w:rsid w:val="00FD30A1"/>
    <w:rsid w:val="00FD37DC"/>
    <w:rsid w:val="00FE2537"/>
    <w:rsid w:val="00FE7DD5"/>
    <w:rsid w:val="00FF5E78"/>
    <w:rsid w:val="00FF6164"/>
    <w:rsid w:val="01A65F34"/>
    <w:rsid w:val="12D2CC9B"/>
    <w:rsid w:val="1797F207"/>
    <w:rsid w:val="17EF763D"/>
    <w:rsid w:val="1B901415"/>
    <w:rsid w:val="1E435394"/>
    <w:rsid w:val="2113802C"/>
    <w:rsid w:val="2FC5A6A1"/>
    <w:rsid w:val="2FD1559B"/>
    <w:rsid w:val="37522651"/>
    <w:rsid w:val="37F853AE"/>
    <w:rsid w:val="4103B52C"/>
    <w:rsid w:val="442F4EF3"/>
    <w:rsid w:val="4822BADE"/>
    <w:rsid w:val="48B6702D"/>
    <w:rsid w:val="4D551D85"/>
    <w:rsid w:val="50B19DEF"/>
    <w:rsid w:val="57537BD8"/>
    <w:rsid w:val="5846942F"/>
    <w:rsid w:val="58BBA8FD"/>
    <w:rsid w:val="5A7E2181"/>
    <w:rsid w:val="5B302D66"/>
    <w:rsid w:val="5B3289B3"/>
    <w:rsid w:val="5E94A9E4"/>
    <w:rsid w:val="63B06D54"/>
    <w:rsid w:val="6A455CB0"/>
    <w:rsid w:val="6AAA9F93"/>
    <w:rsid w:val="6D196FCF"/>
    <w:rsid w:val="6F3965E7"/>
    <w:rsid w:val="726BBD9E"/>
    <w:rsid w:val="7641022A"/>
    <w:rsid w:val="7C3BDFFC"/>
    <w:rsid w:val="7E73624F"/>
    <w:rsid w:val="7F578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8C726"/>
  <w15:chartTrackingRefBased/>
  <w15:docId w15:val="{36FA6779-AF85-4CB8-9B9C-554C9D8D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4DBA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F4DBA"/>
    <w:pPr>
      <w:keepNext/>
      <w:spacing w:line="48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C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7F4DBA"/>
    <w:pPr>
      <w:keepNext/>
      <w:jc w:val="center"/>
      <w:outlineLvl w:val="3"/>
    </w:pPr>
    <w:rPr>
      <w:rFonts w:ascii="Arial" w:hAnsi="Arial"/>
      <w:b/>
      <w:noProof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DB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F4DB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F4DBA"/>
    <w:rPr>
      <w:rFonts w:ascii="Arial" w:eastAsia="Times New Roman" w:hAnsi="Arial" w:cs="Times New Roman"/>
      <w:b/>
      <w:noProof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7F4DBA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7F4DBA"/>
    <w:rPr>
      <w:rFonts w:ascii="Garamond" w:eastAsia="Times New Roman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F4DBA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uiPriority w:val="99"/>
    <w:rsid w:val="007F4DBA"/>
    <w:rPr>
      <w:rFonts w:ascii="Garamond" w:eastAsia="Times New Roman" w:hAnsi="Garamond" w:cs="Times New Roman"/>
      <w:sz w:val="24"/>
      <w:szCs w:val="24"/>
    </w:rPr>
  </w:style>
  <w:style w:type="paragraph" w:styleId="FootnoteText">
    <w:name w:val="footnote text"/>
    <w:aliases w:val="FT"/>
    <w:basedOn w:val="Normal"/>
    <w:link w:val="FootnoteTextChar"/>
    <w:uiPriority w:val="99"/>
    <w:rsid w:val="007F4DBA"/>
    <w:rPr>
      <w:sz w:val="20"/>
      <w:szCs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7F4D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F4DBA"/>
    <w:rPr>
      <w:vertAlign w:val="superscript"/>
    </w:rPr>
  </w:style>
  <w:style w:type="character" w:styleId="Hyperlink">
    <w:name w:val="Hyperlink"/>
    <w:rsid w:val="007F4DBA"/>
    <w:rPr>
      <w:rFonts w:ascii="Verdana" w:hAnsi="Verdana" w:hint="default"/>
      <w:color w:val="0066CC"/>
      <w:sz w:val="17"/>
      <w:szCs w:val="17"/>
      <w:u w:val="single"/>
    </w:rPr>
  </w:style>
  <w:style w:type="character" w:customStyle="1" w:styleId="st1">
    <w:name w:val="st1"/>
    <w:basedOn w:val="DefaultParagraphFont"/>
    <w:rsid w:val="007F4DBA"/>
  </w:style>
  <w:style w:type="paragraph" w:styleId="NormalWeb">
    <w:name w:val="Normal (Web)"/>
    <w:basedOn w:val="Normal"/>
    <w:uiPriority w:val="99"/>
    <w:unhideWhenUsed/>
    <w:rsid w:val="007F4DBA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D5C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3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C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C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8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472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9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D7BC4"/>
    <w:pPr>
      <w:spacing w:line="480" w:lineRule="auto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D7BC4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D7BC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2F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72DA"/>
    <w:pPr>
      <w:ind w:left="720"/>
      <w:contextualSpacing/>
    </w:pPr>
  </w:style>
  <w:style w:type="paragraph" w:styleId="NoSpacing">
    <w:name w:val="No Spacing"/>
    <w:uiPriority w:val="1"/>
    <w:qFormat/>
    <w:rsid w:val="00E6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474A"/>
    <w:rPr>
      <w:i/>
      <w:iCs/>
    </w:rPr>
  </w:style>
  <w:style w:type="character" w:styleId="Strong">
    <w:name w:val="Strong"/>
    <w:basedOn w:val="DefaultParagraphFont"/>
    <w:uiPriority w:val="22"/>
    <w:qFormat/>
    <w:rsid w:val="00DB5FEF"/>
    <w:rPr>
      <w:b/>
      <w:bCs/>
    </w:rPr>
  </w:style>
  <w:style w:type="paragraph" w:customStyle="1" w:styleId="articledekroot1tnx">
    <w:name w:val="articledek_root__1_tnx"/>
    <w:basedOn w:val="Normal"/>
    <w:rsid w:val="00CF2223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CF222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2223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0431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  <w:divsChild>
                <w:div w:id="5712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3558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314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none" w:sz="0" w:space="0" w:color="C0C0C0"/>
                <w:bottom w:val="none" w:sz="0" w:space="0" w:color="C0C0C0"/>
                <w:right w:val="none" w:sz="0" w:space="0" w:color="C0C0C0"/>
              </w:divBdr>
              <w:divsChild>
                <w:div w:id="1057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858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75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immunization/research/forums_and_initiatives/1_RButler_VH_Threat_Child_Health_gvirf16.pdf" TargetMode="External"/><Relationship Id="rId13" Type="http://schemas.openxmlformats.org/officeDocument/2006/relationships/hyperlink" Target="https://www.kff.org/coronavirus-covid-19/dashboard/kff-covid-19-vaccine-monitor-dashboard/" TargetMode="External"/><Relationship Id="rId3" Type="http://schemas.openxmlformats.org/officeDocument/2006/relationships/hyperlink" Target="https://coronavirus.health.ny.gov/system/files/documents/2021/01/guidance_facilitiesreceivingcovid19vaccineweeks1-5.pdf" TargetMode="External"/><Relationship Id="rId7" Type="http://schemas.openxmlformats.org/officeDocument/2006/relationships/hyperlink" Target="https://ny.chalkbeat.org/2021/9/8/22663061/nyc-teachers-union-negotiations-covid-vaccine-mandate" TargetMode="External"/><Relationship Id="rId12" Type="http://schemas.openxmlformats.org/officeDocument/2006/relationships/hyperlink" Target="https://www1.nyc.gov/site/doh/covid/covid-19-data-vaccines.page" TargetMode="External"/><Relationship Id="rId17" Type="http://schemas.openxmlformats.org/officeDocument/2006/relationships/hyperlink" Target="https://www1.nyc.gov/assets/doh/downloads/pdf/imm/covid-19-equity-action-plan.pdf" TargetMode="External"/><Relationship Id="rId2" Type="http://schemas.openxmlformats.org/officeDocument/2006/relationships/hyperlink" Target="https://www.npr.org/2020/12/14/946253331/new-york-city-nurse-among-the-first-to-get-coronavirus-vaccine-in-the-u-s" TargetMode="External"/><Relationship Id="rId16" Type="http://schemas.openxmlformats.org/officeDocument/2006/relationships/hyperlink" Target="https://www1.nyc.gov/assets/doh/downloads/pdf/imm/covid-19-equity-action-plan.pdf" TargetMode="External"/><Relationship Id="rId1" Type="http://schemas.openxmlformats.org/officeDocument/2006/relationships/hyperlink" Target="https://www.cdc.gov/coronavirus/2019-ncov/vaccines/different-vaccines.html" TargetMode="External"/><Relationship Id="rId6" Type="http://schemas.openxmlformats.org/officeDocument/2006/relationships/hyperlink" Target="https://gothamist.com/news/despite-vax-or-test-order-one-third-nyc-workforce-has-not-been-vaccinated" TargetMode="External"/><Relationship Id="rId11" Type="http://schemas.openxmlformats.org/officeDocument/2006/relationships/hyperlink" Target="https://sitn.hms.harvard.edu/flash/2021/vaccine-hesitancy-more-than-a-pandemic/" TargetMode="External"/><Relationship Id="rId5" Type="http://schemas.openxmlformats.org/officeDocument/2006/relationships/hyperlink" Target="https://www1.nyc.gov/site/doh/covid/covid-19-data-vaccines.page" TargetMode="External"/><Relationship Id="rId15" Type="http://schemas.openxmlformats.org/officeDocument/2006/relationships/hyperlink" Target="https://www1.nyc.gov/assets/doh/downloads/pdf/imm/covid-19-equity-action-plan.pdf" TargetMode="External"/><Relationship Id="rId10" Type="http://schemas.openxmlformats.org/officeDocument/2006/relationships/hyperlink" Target="https://www.who.int/news-room/spotlight/ten-threats-to-global-health-in-2019" TargetMode="External"/><Relationship Id="rId4" Type="http://schemas.openxmlformats.org/officeDocument/2006/relationships/hyperlink" Target="https://www1.nyc.gov/site/doh/covid/covid-19-vaccine-eligibility.page" TargetMode="External"/><Relationship Id="rId9" Type="http://schemas.openxmlformats.org/officeDocument/2006/relationships/hyperlink" Target="https://sitn.hms.harvard.edu/flash/2021/vaccine-hesitancy-more-than-a-pandemic/" TargetMode="External"/><Relationship Id="rId14" Type="http://schemas.openxmlformats.org/officeDocument/2006/relationships/hyperlink" Target="https://www.theatlantic.com/health/archive/2021/07/unvaccinated-different-anti-vax/6195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EF40-BF95-41A6-B164-929D3611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1978</Words>
  <Characters>11275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Deshmukh, Smita</dc:creator>
  <cp:keywords/>
  <dc:description/>
  <cp:lastModifiedBy>DelFranco, Ruthie</cp:lastModifiedBy>
  <cp:revision>2</cp:revision>
  <cp:lastPrinted>2019-05-28T15:44:00Z</cp:lastPrinted>
  <dcterms:created xsi:type="dcterms:W3CDTF">2021-09-30T21:47:00Z</dcterms:created>
  <dcterms:modified xsi:type="dcterms:W3CDTF">2021-09-30T21:47:00Z</dcterms:modified>
</cp:coreProperties>
</file>