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4926C0" w14:paraId="5192F849" w14:textId="77777777" w:rsidTr="6BE47518">
        <w:trPr>
          <w:jc w:val="center"/>
        </w:trPr>
        <w:tc>
          <w:tcPr>
            <w:tcW w:w="5670" w:type="dxa"/>
            <w:tcBorders>
              <w:bottom w:val="single" w:sz="6" w:space="0" w:color="auto"/>
            </w:tcBorders>
          </w:tcPr>
          <w:p w14:paraId="480F0501" w14:textId="77777777" w:rsidR="004926C0" w:rsidRDefault="004926C0" w:rsidP="0093570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A49F665" wp14:editId="6BE47518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FBF99" w14:textId="77777777" w:rsidR="004926C0" w:rsidRDefault="004926C0" w:rsidP="00935706"/>
        </w:tc>
        <w:tc>
          <w:tcPr>
            <w:tcW w:w="5130" w:type="dxa"/>
            <w:tcBorders>
              <w:bottom w:val="single" w:sz="6" w:space="0" w:color="auto"/>
            </w:tcBorders>
          </w:tcPr>
          <w:p w14:paraId="3FA607F4" w14:textId="77777777" w:rsidR="004926C0" w:rsidRDefault="004926C0" w:rsidP="0093570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5F8BFE66" w14:textId="77777777" w:rsidR="004926C0" w:rsidRDefault="004926C0" w:rsidP="0093570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18AB68F9" w14:textId="77777777" w:rsidR="004926C0" w:rsidRPr="00701942" w:rsidRDefault="004926C0" w:rsidP="00935706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Mckinney, Director</w:t>
            </w:r>
          </w:p>
          <w:p w14:paraId="02E6CABD" w14:textId="77777777" w:rsidR="004926C0" w:rsidRPr="0034071D" w:rsidRDefault="004926C0" w:rsidP="00935706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6AFC6390" w14:textId="77777777" w:rsidR="004926C0" w:rsidRPr="0034071D" w:rsidRDefault="004926C0" w:rsidP="00935706">
            <w:pPr>
              <w:rPr>
                <w:b/>
                <w:bCs/>
                <w:sz w:val="16"/>
                <w:szCs w:val="16"/>
              </w:rPr>
            </w:pPr>
          </w:p>
          <w:p w14:paraId="6F848046" w14:textId="4B3B2343" w:rsidR="004926C0" w:rsidRPr="004926C0" w:rsidRDefault="004926C0" w:rsidP="00935706">
            <w:pPr>
              <w:rPr>
                <w:color w:val="FF0000"/>
                <w:sz w:val="16"/>
                <w:szCs w:val="16"/>
              </w:rPr>
            </w:pPr>
            <w:r w:rsidRPr="0034071D">
              <w:rPr>
                <w:b/>
                <w:bCs/>
                <w:smallCaps/>
              </w:rPr>
              <w:t>Proposed Int.</w:t>
            </w:r>
            <w:r w:rsidR="00D041DD">
              <w:rPr>
                <w:b/>
                <w:bCs/>
                <w:smallCaps/>
              </w:rPr>
              <w:t xml:space="preserve"> No.</w:t>
            </w:r>
            <w:r>
              <w:rPr>
                <w:b/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1209-A</w:t>
            </w:r>
          </w:p>
          <w:p w14:paraId="493A0307" w14:textId="77777777" w:rsidR="004926C0" w:rsidRPr="00497449" w:rsidRDefault="004926C0" w:rsidP="004926C0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Criminal Justice</w:t>
            </w:r>
          </w:p>
        </w:tc>
      </w:tr>
      <w:tr w:rsidR="004926C0" w14:paraId="33F6BB18" w14:textId="77777777" w:rsidTr="6BE47518">
        <w:trPr>
          <w:trHeight w:val="858"/>
          <w:jc w:val="center"/>
        </w:trPr>
        <w:tc>
          <w:tcPr>
            <w:tcW w:w="5670" w:type="dxa"/>
            <w:tcBorders>
              <w:top w:val="single" w:sz="6" w:space="0" w:color="auto"/>
            </w:tcBorders>
          </w:tcPr>
          <w:p w14:paraId="0E4BF312" w14:textId="77777777" w:rsidR="004926C0" w:rsidRDefault="004926C0" w:rsidP="004926C0">
            <w:pPr>
              <w:pStyle w:val="NormalWeb"/>
              <w:suppressLineNumber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26FF1">
              <w:rPr>
                <w:b/>
                <w:bCs/>
                <w:smallCaps/>
              </w:rPr>
              <w:t>Title:</w:t>
            </w:r>
            <w:r>
              <w:rPr>
                <w:b/>
                <w:bCs/>
                <w:smallCaps/>
              </w:rPr>
              <w:t xml:space="preserve"> </w:t>
            </w:r>
            <w:r>
              <w:rPr>
                <w:color w:val="000000"/>
              </w:rPr>
              <w:t>To amend the administrative code of the city of New York, in relation to requiring the department of correction to utilize doula services</w:t>
            </w:r>
          </w:p>
          <w:p w14:paraId="12B8B842" w14:textId="77777777" w:rsidR="004926C0" w:rsidRPr="00351CE4" w:rsidRDefault="004926C0" w:rsidP="00935706">
            <w:pPr>
              <w:pStyle w:val="BodyText"/>
              <w:rPr>
                <w:color w:val="000000"/>
              </w:rPr>
            </w:pPr>
          </w:p>
        </w:tc>
        <w:tc>
          <w:tcPr>
            <w:tcW w:w="5130" w:type="dxa"/>
            <w:tcBorders>
              <w:top w:val="single" w:sz="6" w:space="0" w:color="auto"/>
            </w:tcBorders>
          </w:tcPr>
          <w:p w14:paraId="538170BA" w14:textId="5C76E3D7" w:rsidR="004926C0" w:rsidRPr="00A17757" w:rsidRDefault="004926C0" w:rsidP="00935706">
            <w:r w:rsidRPr="00326FF1">
              <w:rPr>
                <w:b/>
                <w:bCs/>
              </w:rPr>
              <w:t>Sponsor</w:t>
            </w:r>
            <w:r>
              <w:rPr>
                <w:b/>
                <w:bCs/>
              </w:rPr>
              <w:t>s</w:t>
            </w:r>
            <w:r w:rsidRPr="00326FF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D82284" w:rsidRPr="00D82284">
              <w:rPr>
                <w:color w:val="000000"/>
              </w:rPr>
              <w:t>By Council Members Rosenthal, Ampry-Samuel, Cornegy, Ayala, Yeger, Lander, Gennaro, Gibson, Cumbo, Koslowitz, Rivera, Brooks-Powers, Riley, Louis and Barron</w:t>
            </w:r>
            <w:bookmarkStart w:id="0" w:name="_GoBack"/>
            <w:bookmarkEnd w:id="0"/>
          </w:p>
          <w:p w14:paraId="27CE649E" w14:textId="77777777" w:rsidR="004926C0" w:rsidRPr="00F42D14" w:rsidRDefault="004926C0" w:rsidP="0093570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926C0" w14:paraId="01A9ED34" w14:textId="77777777" w:rsidTr="6BE47518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1B745C51" w14:textId="77777777" w:rsidR="004926C0" w:rsidRDefault="004926C0" w:rsidP="00935706">
            <w:pPr>
              <w:pStyle w:val="NoSpacing"/>
              <w:rPr>
                <w:b/>
                <w:bCs/>
                <w:smallCaps/>
              </w:rPr>
            </w:pPr>
          </w:p>
          <w:p w14:paraId="5A0645AC" w14:textId="42381A21" w:rsidR="004926C0" w:rsidRDefault="004926C0" w:rsidP="004926C0">
            <w:pPr>
              <w:pStyle w:val="NoSpacing"/>
              <w:spacing w:before="120"/>
            </w:pPr>
            <w:r w:rsidRPr="00326FF1">
              <w:rPr>
                <w:b/>
                <w:bCs/>
                <w:smallCaps/>
              </w:rPr>
              <w:t>Summary of Legislation:</w:t>
            </w:r>
            <w:r>
              <w:rPr>
                <w:b/>
                <w:bCs/>
                <w:smallCaps/>
              </w:rPr>
              <w:t xml:space="preserve"> </w:t>
            </w:r>
            <w:r>
              <w:t xml:space="preserve"> </w:t>
            </w:r>
            <w:r w:rsidR="000510D6">
              <w:t xml:space="preserve">Proposed Int. </w:t>
            </w:r>
            <w:r w:rsidR="00D041DD">
              <w:t xml:space="preserve">No. </w:t>
            </w:r>
            <w:r w:rsidR="0061352E">
              <w:t xml:space="preserve">1209-A </w:t>
            </w:r>
            <w:r>
              <w:t xml:space="preserve">would require the Department of Correction (“DOC”) to retain an organization to provide doula services to incarcerated individuals twice a week, as well as during labor and delivery. DOC would be required to issue a report every six months regarding the delivery of doula services. </w:t>
            </w:r>
            <w:r w:rsidR="00E240F9">
              <w:t>The bill</w:t>
            </w:r>
            <w:r>
              <w:t xml:space="preserve"> would also create a working group to review relevant reports and discuss ways to improve communication, collaboration, and efficiency related to pregnant individuals in custody.</w:t>
            </w:r>
          </w:p>
          <w:p w14:paraId="3DABC4CE" w14:textId="77777777" w:rsidR="004926C0" w:rsidRPr="00884C6E" w:rsidRDefault="004926C0" w:rsidP="00935706">
            <w:pPr>
              <w:pStyle w:val="NoSpacing"/>
              <w:rPr>
                <w:bCs/>
              </w:rPr>
            </w:pPr>
          </w:p>
        </w:tc>
      </w:tr>
      <w:tr w:rsidR="004926C0" w14:paraId="11FAFEF2" w14:textId="77777777" w:rsidTr="6BE47518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6EFD999D" w14:textId="77777777" w:rsidR="004926C0" w:rsidRPr="00F42D14" w:rsidRDefault="004926C0" w:rsidP="004926C0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 xml:space="preserve">Effective Date: </w:t>
            </w:r>
            <w:r w:rsidRPr="00A17757">
              <w:t xml:space="preserve">This local </w:t>
            </w:r>
            <w:r>
              <w:t xml:space="preserve">law would take effect in 120 days. </w:t>
            </w:r>
          </w:p>
        </w:tc>
      </w:tr>
      <w:tr w:rsidR="004926C0" w14:paraId="2E88B29B" w14:textId="77777777" w:rsidTr="6BE47518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65133FEF" w14:textId="77777777" w:rsidR="004926C0" w:rsidRPr="00326FF1" w:rsidRDefault="004926C0" w:rsidP="004926C0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 xml:space="preserve">Fiscal Year In Which Full Fiscal Impact Anticipated: </w:t>
            </w:r>
            <w:r w:rsidRPr="002C5622">
              <w:t>F</w:t>
            </w:r>
            <w:r>
              <w:t>iscal 2023</w:t>
            </w:r>
          </w:p>
        </w:tc>
      </w:tr>
      <w:tr w:rsidR="004926C0" w14:paraId="6B39E208" w14:textId="77777777" w:rsidTr="6BE47518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4D38A4AC" w14:textId="77777777" w:rsidR="004926C0" w:rsidRDefault="004926C0" w:rsidP="0093570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Fiscal Impact Statement: </w:t>
            </w:r>
          </w:p>
          <w:p w14:paraId="11123573" w14:textId="77777777" w:rsidR="004926C0" w:rsidRPr="00F42D14" w:rsidRDefault="004926C0" w:rsidP="00935706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4926C0" w14:paraId="24D551BF" w14:textId="77777777" w:rsidTr="00935706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29943E3" w14:textId="77777777" w:rsidR="004926C0" w:rsidRPr="00542556" w:rsidRDefault="004926C0" w:rsidP="0093570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CCE1D67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A4ACC45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428B20FF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6E7DBDBC" w14:textId="5B3A6458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041DD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68E4D319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2D836563" w14:textId="77777777" w:rsidR="004926C0" w:rsidRPr="00542556" w:rsidRDefault="004926C0" w:rsidP="00C04809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4926C0" w14:paraId="6BBA3364" w14:textId="77777777" w:rsidTr="00935706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6ADCA81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43E8097" w14:textId="77777777" w:rsidR="004926C0" w:rsidRPr="00530628" w:rsidRDefault="004926C0" w:rsidP="00935706">
                  <w:pPr>
                    <w:jc w:val="center"/>
                    <w:rPr>
                      <w:sz w:val="18"/>
                      <w:szCs w:val="18"/>
                    </w:rPr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CD816DF" w14:textId="77777777" w:rsidR="004926C0" w:rsidRPr="00B52720" w:rsidRDefault="004926C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28F21FC9" w14:textId="77777777" w:rsidR="004926C0" w:rsidRPr="00B52720" w:rsidRDefault="004926C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4926C0" w14:paraId="766BB773" w14:textId="77777777" w:rsidTr="00935706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61526735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314E3B0A" w14:textId="77777777" w:rsidR="004926C0" w:rsidRPr="00B52720" w:rsidRDefault="004926C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213BBFDB" w14:textId="22001641" w:rsidR="004926C0" w:rsidRPr="00B52720" w:rsidRDefault="004926C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025B8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0C3C0A81" w14:textId="78825B04" w:rsidR="004926C0" w:rsidRPr="00B52720" w:rsidRDefault="00EA775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025B8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4926C0" w14:paraId="6F769873" w14:textId="77777777" w:rsidTr="00935706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1D69A6A6" w14:textId="77777777" w:rsidR="004926C0" w:rsidRPr="00542556" w:rsidRDefault="004926C0" w:rsidP="0093570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792AE91F" w14:textId="77777777" w:rsidR="004926C0" w:rsidRPr="00B52720" w:rsidRDefault="004926C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7E3E3AA7" w14:textId="5E531AAF" w:rsidR="004926C0" w:rsidRPr="00B52720" w:rsidRDefault="00EA775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025B8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45D0431" w14:textId="352F7CF3" w:rsidR="004926C0" w:rsidRPr="00B52720" w:rsidRDefault="00EA7750" w:rsidP="00935706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025B89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3C36D03" w14:textId="77777777" w:rsidR="004926C0" w:rsidRDefault="004926C0" w:rsidP="00935706"/>
        </w:tc>
      </w:tr>
      <w:tr w:rsidR="004926C0" w:rsidRPr="00840B00" w14:paraId="114F4894" w14:textId="77777777" w:rsidTr="6BE47518">
        <w:trPr>
          <w:jc w:val="center"/>
        </w:trPr>
        <w:tc>
          <w:tcPr>
            <w:tcW w:w="10800" w:type="dxa"/>
            <w:gridSpan w:val="2"/>
            <w:vAlign w:val="center"/>
          </w:tcPr>
          <w:p w14:paraId="26A133DC" w14:textId="77777777" w:rsidR="004926C0" w:rsidRPr="00F42D14" w:rsidRDefault="004926C0" w:rsidP="00EA7750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>
              <w:t xml:space="preserve"> </w:t>
            </w:r>
            <w:r w:rsidRPr="00E20DF9">
              <w:t xml:space="preserve">It </w:t>
            </w:r>
            <w:proofErr w:type="gramStart"/>
            <w:r w:rsidRPr="00E20DF9">
              <w:t xml:space="preserve">is </w:t>
            </w:r>
            <w:r w:rsidR="00EA7750">
              <w:t>anticipated</w:t>
            </w:r>
            <w:proofErr w:type="gramEnd"/>
            <w:r w:rsidRPr="00E20DF9">
              <w:t xml:space="preserve"> that there wo</w:t>
            </w:r>
            <w:r>
              <w:t>uld be no impact on revenues</w:t>
            </w:r>
            <w:r w:rsidRPr="00E20DF9">
              <w:t xml:space="preserve"> resulting from the enactment </w:t>
            </w:r>
            <w:r>
              <w:t>of this legislation.</w:t>
            </w:r>
          </w:p>
        </w:tc>
      </w:tr>
      <w:tr w:rsidR="004926C0" w:rsidRPr="00EC30EE" w14:paraId="7EBCDC98" w14:textId="77777777" w:rsidTr="6BE47518">
        <w:trPr>
          <w:jc w:val="center"/>
        </w:trPr>
        <w:tc>
          <w:tcPr>
            <w:tcW w:w="10800" w:type="dxa"/>
            <w:gridSpan w:val="2"/>
          </w:tcPr>
          <w:p w14:paraId="29A01E73" w14:textId="2EDB4691" w:rsidR="004926C0" w:rsidRPr="00EC30EE" w:rsidRDefault="004926C0" w:rsidP="00DC6BF2">
            <w:pPr>
              <w:spacing w:after="120"/>
            </w:pPr>
            <w:r w:rsidRPr="1E0A86DE">
              <w:rPr>
                <w:b/>
                <w:bCs/>
                <w:smallCaps/>
              </w:rPr>
              <w:t>Impact on Expenditures</w:t>
            </w:r>
            <w:r w:rsidRPr="1E0A86DE">
              <w:rPr>
                <w:b/>
                <w:bCs/>
              </w:rPr>
              <w:t>:</w:t>
            </w:r>
            <w:r>
              <w:t xml:space="preserve"> </w:t>
            </w:r>
            <w:r w:rsidR="00EA7750">
              <w:t xml:space="preserve">It is estimated that there would be </w:t>
            </w:r>
            <w:r w:rsidR="00025B89">
              <w:t>no</w:t>
            </w:r>
            <w:r w:rsidR="00EA7750">
              <w:t xml:space="preserve"> fiscal impact</w:t>
            </w:r>
            <w:r w:rsidR="00025B89">
              <w:t xml:space="preserve"> </w:t>
            </w:r>
            <w:proofErr w:type="gramStart"/>
            <w:r w:rsidR="00025B89">
              <w:t>as a result</w:t>
            </w:r>
            <w:proofErr w:type="gramEnd"/>
            <w:r w:rsidR="00025B89">
              <w:t xml:space="preserve"> of this legislation</w:t>
            </w:r>
            <w:r w:rsidR="00E240F9">
              <w:t>.</w:t>
            </w:r>
            <w:r w:rsidR="00395419">
              <w:t xml:space="preserve"> Although DOC estimated that the fiscal impact of enacting the legislation would be $55,453, the Council estimates that there would be no impact on expenditures as the Department could use existing resources to comply with the requirements of the legislation.</w:t>
            </w:r>
          </w:p>
        </w:tc>
      </w:tr>
      <w:tr w:rsidR="004926C0" w:rsidRPr="00EC30EE" w14:paraId="58FC8331" w14:textId="77777777" w:rsidTr="6BE47518">
        <w:trPr>
          <w:jc w:val="center"/>
        </w:trPr>
        <w:tc>
          <w:tcPr>
            <w:tcW w:w="10800" w:type="dxa"/>
            <w:gridSpan w:val="2"/>
          </w:tcPr>
          <w:p w14:paraId="2E67A39D" w14:textId="4ED721C4" w:rsidR="004926C0" w:rsidRPr="00EC30EE" w:rsidRDefault="004926C0" w:rsidP="00EA7750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Pr="00EC30E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3359C2">
              <w:rPr>
                <w:bCs/>
              </w:rPr>
              <w:t>N/A</w:t>
            </w:r>
            <w:r w:rsidR="00EA7750">
              <w:rPr>
                <w:bCs/>
              </w:rPr>
              <w:t xml:space="preserve">. </w:t>
            </w:r>
          </w:p>
        </w:tc>
      </w:tr>
      <w:tr w:rsidR="004926C0" w:rsidRPr="00EC30EE" w14:paraId="2E3F3ABB" w14:textId="77777777" w:rsidTr="6BE47518">
        <w:trPr>
          <w:trHeight w:val="603"/>
          <w:jc w:val="center"/>
        </w:trPr>
        <w:tc>
          <w:tcPr>
            <w:tcW w:w="10800" w:type="dxa"/>
            <w:gridSpan w:val="2"/>
          </w:tcPr>
          <w:p w14:paraId="6A41E1BD" w14:textId="5F2E4A35" w:rsidR="004926C0" w:rsidRDefault="004926C0" w:rsidP="00935706">
            <w:r w:rsidRPr="00EC30EE">
              <w:rPr>
                <w:b/>
                <w:bCs/>
                <w:smallCaps/>
              </w:rPr>
              <w:t>Source of Information</w:t>
            </w:r>
            <w:r>
              <w:rPr>
                <w:b/>
                <w:bCs/>
              </w:rPr>
              <w:t xml:space="preserve">: </w:t>
            </w:r>
            <w:r w:rsidR="00E240F9" w:rsidRPr="00C2262B">
              <w:rPr>
                <w:bCs/>
              </w:rPr>
              <w:t>New York</w:t>
            </w:r>
            <w:r w:rsidR="00E240F9">
              <w:rPr>
                <w:b/>
                <w:bCs/>
              </w:rPr>
              <w:t xml:space="preserve"> </w:t>
            </w:r>
            <w:r>
              <w:t>City Council Finance Division</w:t>
            </w:r>
          </w:p>
          <w:p w14:paraId="7C7E01EC" w14:textId="2D9E7C25" w:rsidR="004926C0" w:rsidRPr="005E024B" w:rsidRDefault="004926C0" w:rsidP="004926C0">
            <w:pPr>
              <w:rPr>
                <w:bCs/>
              </w:rPr>
            </w:pPr>
            <w:r>
              <w:t xml:space="preserve">                                              </w:t>
            </w:r>
            <w:r w:rsidR="00E240F9">
              <w:t xml:space="preserve">New York City </w:t>
            </w:r>
            <w:r>
              <w:t xml:space="preserve">Department of Correction </w:t>
            </w:r>
          </w:p>
          <w:p w14:paraId="091CBB04" w14:textId="77777777" w:rsidR="004926C0" w:rsidRPr="005E024B" w:rsidRDefault="004926C0" w:rsidP="00935706">
            <w:pPr>
              <w:rPr>
                <w:bCs/>
              </w:rPr>
            </w:pPr>
          </w:p>
        </w:tc>
      </w:tr>
    </w:tbl>
    <w:p w14:paraId="4ABCED34" w14:textId="77777777" w:rsidR="004926C0" w:rsidRDefault="004926C0" w:rsidP="004926C0">
      <w: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00"/>
      </w:tblGrid>
      <w:tr w:rsidR="004926C0" w:rsidRPr="00EC30EE" w14:paraId="66F67C43" w14:textId="77777777" w:rsidTr="00935706">
        <w:trPr>
          <w:jc w:val="center"/>
        </w:trPr>
        <w:tc>
          <w:tcPr>
            <w:tcW w:w="10800" w:type="dxa"/>
          </w:tcPr>
          <w:p w14:paraId="4CE4B27D" w14:textId="77777777" w:rsidR="004926C0" w:rsidRDefault="004926C0" w:rsidP="00935706">
            <w:r w:rsidRPr="0034071D">
              <w:rPr>
                <w:b/>
                <w:bCs/>
                <w:smallCaps/>
              </w:rPr>
              <w:lastRenderedPageBreak/>
              <w:t>Estimate Prepared by</w:t>
            </w:r>
            <w:r w:rsidRPr="0034071D">
              <w:rPr>
                <w:smallCaps/>
              </w:rPr>
              <w:t>:</w:t>
            </w:r>
            <w:r>
              <w:t xml:space="preserve"> Jack </w:t>
            </w:r>
            <w:proofErr w:type="spellStart"/>
            <w:r>
              <w:t>Storey</w:t>
            </w:r>
            <w:proofErr w:type="spellEnd"/>
            <w:r>
              <w:t>, Financial Analyst</w:t>
            </w:r>
          </w:p>
          <w:p w14:paraId="7CA05400" w14:textId="77777777" w:rsidR="004926C0" w:rsidRPr="0034071D" w:rsidRDefault="004926C0" w:rsidP="00935706">
            <w:r>
              <w:t xml:space="preserve">                                           </w:t>
            </w:r>
            <w:r w:rsidRPr="0034071D">
              <w:t xml:space="preserve">                            </w:t>
            </w:r>
          </w:p>
          <w:p w14:paraId="2DC3881A" w14:textId="77777777" w:rsidR="004926C0" w:rsidRPr="001449B0" w:rsidRDefault="004926C0" w:rsidP="00935706">
            <w:r w:rsidRPr="0034071D">
              <w:rPr>
                <w:b/>
                <w:smallCaps/>
              </w:rPr>
              <w:t>Estimate Reviewed by:</w:t>
            </w:r>
            <w:r>
              <w:t xml:space="preserve"> </w:t>
            </w:r>
            <w:r w:rsidRPr="001449B0">
              <w:t>Regina Poreda Ryan, Deputy Director</w:t>
            </w:r>
          </w:p>
          <w:p w14:paraId="414909EA" w14:textId="77777777" w:rsidR="004926C0" w:rsidRPr="001449B0" w:rsidRDefault="004926C0" w:rsidP="00935706">
            <w:r w:rsidRPr="001449B0">
              <w:tab/>
            </w:r>
            <w:r w:rsidRPr="001449B0">
              <w:tab/>
            </w:r>
            <w:r w:rsidRPr="001449B0">
              <w:tab/>
              <w:t xml:space="preserve">        Eisha Wright, Unit Head</w:t>
            </w:r>
          </w:p>
          <w:p w14:paraId="2A0E1FE4" w14:textId="7432C848" w:rsidR="004926C0" w:rsidRPr="001449B0" w:rsidRDefault="004926C0" w:rsidP="00935706">
            <w:r w:rsidRPr="001449B0">
              <w:tab/>
            </w:r>
            <w:r>
              <w:t xml:space="preserve">                                </w:t>
            </w:r>
            <w:r w:rsidR="00D041DD" w:rsidRPr="00C2262B">
              <w:t>Stephanie Ruiz</w:t>
            </w:r>
            <w:r w:rsidRPr="00C2262B">
              <w:t xml:space="preserve">, </w:t>
            </w:r>
            <w:r w:rsidR="00D041DD" w:rsidRPr="00C2262B">
              <w:t>Assistant</w:t>
            </w:r>
            <w:r w:rsidRPr="00C2262B">
              <w:t xml:space="preserve"> Counsel</w:t>
            </w:r>
          </w:p>
          <w:p w14:paraId="7AEA250C" w14:textId="77777777" w:rsidR="004926C0" w:rsidRDefault="004926C0" w:rsidP="00935706">
            <w:pPr>
              <w:tabs>
                <w:tab w:val="left" w:pos="2640"/>
              </w:tabs>
            </w:pPr>
            <w:r>
              <w:tab/>
            </w:r>
          </w:p>
          <w:p w14:paraId="039C388C" w14:textId="43BEA4D5" w:rsidR="004926C0" w:rsidRDefault="004926C0" w:rsidP="00935706">
            <w:r w:rsidRPr="0034071D">
              <w:rPr>
                <w:b/>
                <w:bCs/>
                <w:smallCaps/>
              </w:rPr>
              <w:t>Legislative History</w:t>
            </w:r>
            <w:r w:rsidRPr="0034071D">
              <w:rPr>
                <w:b/>
                <w:bCs/>
              </w:rPr>
              <w:t>:</w:t>
            </w:r>
            <w:r w:rsidRPr="0034071D">
              <w:t xml:space="preserve">  This legislation </w:t>
            </w:r>
            <w:proofErr w:type="gramStart"/>
            <w:r w:rsidRPr="0034071D">
              <w:t xml:space="preserve">was </w:t>
            </w:r>
            <w:r>
              <w:t>introduced</w:t>
            </w:r>
            <w:proofErr w:type="gramEnd"/>
            <w:r>
              <w:t xml:space="preserve"> to the Council on October 31, 2018, as Intro. No. 1209 </w:t>
            </w:r>
            <w:r w:rsidRPr="0034071D">
              <w:t xml:space="preserve">and </w:t>
            </w:r>
            <w:r>
              <w:t xml:space="preserve">was referred to the Committee on Criminal Justice (Committee). </w:t>
            </w:r>
            <w:proofErr w:type="gramStart"/>
            <w:r>
              <w:t>A hearing was held by the Committee</w:t>
            </w:r>
            <w:r w:rsidR="00E240F9">
              <w:t>,</w:t>
            </w:r>
            <w:r>
              <w:t xml:space="preserve"> jointly with the Committee on Women and Gender Equity</w:t>
            </w:r>
            <w:proofErr w:type="gramEnd"/>
            <w:r>
              <w:t xml:space="preserve"> on April 27, 2021, and the bill was laid over. The legislation was subsequently amended and the amended legislation, Proposed Int. No. 1209-A will be considered by the Committee </w:t>
            </w:r>
            <w:r w:rsidRPr="00441823">
              <w:t>at a hearing</w:t>
            </w:r>
            <w:r>
              <w:t xml:space="preserve"> on </w:t>
            </w:r>
            <w:r w:rsidR="004A2ECD">
              <w:t>August 26</w:t>
            </w:r>
            <w:r>
              <w:t>, 202</w:t>
            </w:r>
            <w:r w:rsidR="004A2ECD">
              <w:t>1</w:t>
            </w:r>
            <w:r>
              <w:t xml:space="preserve">. Upon successful vote by the Committee, Proposed Int. No. </w:t>
            </w:r>
            <w:r w:rsidR="00900148">
              <w:t>1209</w:t>
            </w:r>
            <w:r>
              <w:t xml:space="preserve">-A </w:t>
            </w:r>
            <w:proofErr w:type="gramStart"/>
            <w:r>
              <w:t>will be submitted</w:t>
            </w:r>
            <w:proofErr w:type="gramEnd"/>
            <w:r>
              <w:t xml:space="preserve"> to the full </w:t>
            </w:r>
            <w:r w:rsidRPr="00441823">
              <w:t>C</w:t>
            </w:r>
            <w:r>
              <w:t xml:space="preserve">ouncil for a vote on </w:t>
            </w:r>
            <w:r w:rsidR="00EA7750">
              <w:t>August 26</w:t>
            </w:r>
            <w:r>
              <w:t>, 202</w:t>
            </w:r>
            <w:r w:rsidR="004A2ECD">
              <w:t>1</w:t>
            </w:r>
            <w:r>
              <w:t>.</w:t>
            </w:r>
          </w:p>
          <w:p w14:paraId="1B31F7A7" w14:textId="77777777" w:rsidR="004926C0" w:rsidRPr="0034071D" w:rsidRDefault="004926C0" w:rsidP="00935706"/>
        </w:tc>
      </w:tr>
      <w:tr w:rsidR="004926C0" w:rsidRPr="00EC30EE" w14:paraId="2D8F238A" w14:textId="77777777" w:rsidTr="00935706">
        <w:trPr>
          <w:jc w:val="center"/>
        </w:trPr>
        <w:tc>
          <w:tcPr>
            <w:tcW w:w="10800" w:type="dxa"/>
          </w:tcPr>
          <w:p w14:paraId="1909F1D4" w14:textId="77777777" w:rsidR="004926C0" w:rsidRPr="0034071D" w:rsidRDefault="004926C0" w:rsidP="00935706">
            <w:pPr>
              <w:rPr>
                <w:b/>
                <w:bCs/>
                <w:smallCaps/>
              </w:rPr>
            </w:pPr>
          </w:p>
        </w:tc>
      </w:tr>
      <w:tr w:rsidR="004926C0" w:rsidRPr="00EC30EE" w14:paraId="7D7BC0F5" w14:textId="77777777" w:rsidTr="00935706">
        <w:trPr>
          <w:trHeight w:val="80"/>
          <w:jc w:val="center"/>
        </w:trPr>
        <w:tc>
          <w:tcPr>
            <w:tcW w:w="10800" w:type="dxa"/>
          </w:tcPr>
          <w:p w14:paraId="67533095" w14:textId="77777777" w:rsidR="004926C0" w:rsidRPr="0034071D" w:rsidRDefault="004926C0" w:rsidP="00935706">
            <w:pPr>
              <w:rPr>
                <w:b/>
                <w:bCs/>
                <w:smallCaps/>
              </w:rPr>
            </w:pPr>
          </w:p>
        </w:tc>
      </w:tr>
    </w:tbl>
    <w:p w14:paraId="0FA66860" w14:textId="77777777" w:rsidR="004926C0" w:rsidRPr="00351CE4" w:rsidRDefault="004926C0" w:rsidP="004926C0">
      <w:pPr>
        <w:rPr>
          <w:bCs/>
          <w:smallCaps/>
        </w:rPr>
      </w:pPr>
      <w:r w:rsidRPr="00EC30EE">
        <w:rPr>
          <w:b/>
          <w:bCs/>
          <w:smallCaps/>
        </w:rPr>
        <w:t xml:space="preserve">  </w:t>
      </w:r>
      <w:r>
        <w:rPr>
          <w:b/>
          <w:bCs/>
          <w:smallCaps/>
        </w:rPr>
        <w:t xml:space="preserve">Date Prepared: </w:t>
      </w:r>
      <w:r w:rsidR="00EA7750">
        <w:t>August 23, 2021</w:t>
      </w:r>
    </w:p>
    <w:p w14:paraId="7DFED79B" w14:textId="77777777" w:rsidR="00B822AC" w:rsidRDefault="00B822AC"/>
    <w:sectPr w:rsidR="00B822AC" w:rsidSect="00AC3B91">
      <w:footerReference w:type="even" r:id="rId10"/>
      <w:footerReference w:type="default" r:id="rId11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A449" w14:textId="77777777" w:rsidR="00FB3EB0" w:rsidRDefault="00FB3EB0" w:rsidP="00EA7750">
      <w:r>
        <w:separator/>
      </w:r>
    </w:p>
  </w:endnote>
  <w:endnote w:type="continuationSeparator" w:id="0">
    <w:p w14:paraId="7DF0BE0B" w14:textId="77777777" w:rsidR="00FB3EB0" w:rsidRDefault="00FB3EB0" w:rsidP="00EA7750">
      <w:r>
        <w:continuationSeparator/>
      </w:r>
    </w:p>
  </w:endnote>
  <w:endnote w:type="continuationNotice" w:id="1">
    <w:p w14:paraId="7BA3BA4A" w14:textId="77777777" w:rsidR="00FB3EB0" w:rsidRDefault="00FB3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D448" w14:textId="77777777" w:rsidR="008C520A" w:rsidRPr="00AC3B91" w:rsidRDefault="00DC6BF2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Proposed Int. No. 1156-A</w:t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</w:r>
    <w:r w:rsidRPr="00AC3B91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A10B0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51FF" w14:textId="21AC7B11" w:rsidR="008C520A" w:rsidRPr="00F42D14" w:rsidRDefault="00DC6BF2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Int. </w:t>
    </w:r>
    <w:r w:rsidR="00EA7750">
      <w:rPr>
        <w:rFonts w:ascii="Cambria" w:hAnsi="Cambria"/>
      </w:rPr>
      <w:t>No. 1209</w:t>
    </w:r>
    <w:r>
      <w:rPr>
        <w:rFonts w:ascii="Cambria" w:hAnsi="Cambria"/>
      </w:rPr>
      <w:t>-A</w:t>
    </w:r>
    <w:r w:rsidRPr="00AC3B91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2284" w:rsidRPr="00D82284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9F3A" w14:textId="77777777" w:rsidR="00FB3EB0" w:rsidRDefault="00FB3EB0" w:rsidP="00EA7750">
      <w:r>
        <w:separator/>
      </w:r>
    </w:p>
  </w:footnote>
  <w:footnote w:type="continuationSeparator" w:id="0">
    <w:p w14:paraId="0CBFCC06" w14:textId="77777777" w:rsidR="00FB3EB0" w:rsidRDefault="00FB3EB0" w:rsidP="00EA7750">
      <w:r>
        <w:continuationSeparator/>
      </w:r>
    </w:p>
  </w:footnote>
  <w:footnote w:type="continuationNotice" w:id="1">
    <w:p w14:paraId="46754361" w14:textId="77777777" w:rsidR="00FB3EB0" w:rsidRDefault="00FB3E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0"/>
    <w:rsid w:val="00025B89"/>
    <w:rsid w:val="00050C5F"/>
    <w:rsid w:val="000510D6"/>
    <w:rsid w:val="00060999"/>
    <w:rsid w:val="000E68AE"/>
    <w:rsid w:val="0011288A"/>
    <w:rsid w:val="00134CDF"/>
    <w:rsid w:val="001510D8"/>
    <w:rsid w:val="001F2954"/>
    <w:rsid w:val="00284E03"/>
    <w:rsid w:val="002E170E"/>
    <w:rsid w:val="003359C2"/>
    <w:rsid w:val="00395419"/>
    <w:rsid w:val="004926C0"/>
    <w:rsid w:val="004A2ECD"/>
    <w:rsid w:val="004C4DE8"/>
    <w:rsid w:val="00575AE8"/>
    <w:rsid w:val="0061352E"/>
    <w:rsid w:val="00616612"/>
    <w:rsid w:val="006D6746"/>
    <w:rsid w:val="00762326"/>
    <w:rsid w:val="00853D5A"/>
    <w:rsid w:val="00900148"/>
    <w:rsid w:val="009913BA"/>
    <w:rsid w:val="009952E5"/>
    <w:rsid w:val="009A45EB"/>
    <w:rsid w:val="00A051F6"/>
    <w:rsid w:val="00A266D7"/>
    <w:rsid w:val="00A35D30"/>
    <w:rsid w:val="00B62114"/>
    <w:rsid w:val="00B80197"/>
    <w:rsid w:val="00B822AC"/>
    <w:rsid w:val="00B972F5"/>
    <w:rsid w:val="00BB1EDC"/>
    <w:rsid w:val="00C04809"/>
    <w:rsid w:val="00C2262B"/>
    <w:rsid w:val="00D003DC"/>
    <w:rsid w:val="00D041DD"/>
    <w:rsid w:val="00D72795"/>
    <w:rsid w:val="00D73140"/>
    <w:rsid w:val="00D82284"/>
    <w:rsid w:val="00DC6BF2"/>
    <w:rsid w:val="00E240C4"/>
    <w:rsid w:val="00E240F9"/>
    <w:rsid w:val="00EA7750"/>
    <w:rsid w:val="00F87B1F"/>
    <w:rsid w:val="00F91F11"/>
    <w:rsid w:val="00FB3EB0"/>
    <w:rsid w:val="091356D8"/>
    <w:rsid w:val="1E0A86DE"/>
    <w:rsid w:val="3B2A0023"/>
    <w:rsid w:val="3F119BD9"/>
    <w:rsid w:val="48EBD495"/>
    <w:rsid w:val="6629B3DB"/>
    <w:rsid w:val="6B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CF1F"/>
  <w15:chartTrackingRefBased/>
  <w15:docId w15:val="{6749E622-F0CA-4283-90C3-4F83C45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6C0"/>
    <w:pPr>
      <w:keepNext/>
      <w:jc w:val="center"/>
      <w:outlineLvl w:val="0"/>
    </w:pPr>
    <w:rPr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6C0"/>
    <w:rPr>
      <w:rFonts w:ascii="Times New Roman" w:eastAsia="Times New Roman" w:hAnsi="Times New Roman" w:cs="Times New Roman"/>
      <w:b/>
      <w:bCs/>
      <w:sz w:val="24"/>
      <w:szCs w:val="19"/>
    </w:rPr>
  </w:style>
  <w:style w:type="paragraph" w:styleId="Footer">
    <w:name w:val="footer"/>
    <w:basedOn w:val="Normal"/>
    <w:link w:val="FooterChar"/>
    <w:uiPriority w:val="99"/>
    <w:rsid w:val="00492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C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2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26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26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26C0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EA7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12a9c8-dfbb-4a51-b352-0988ebe5ddce">
      <UserInfo>
        <DisplayName>Eisha Wright</DisplayName>
        <AccountId>12</AccountId>
        <AccountType/>
      </UserInfo>
      <UserInfo>
        <DisplayName>Regina Ryan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2" ma:contentTypeDescription="Create a new document." ma:contentTypeScope="" ma:versionID="400018f2cf0ecbf86098bb714139a86d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e40c96b4e92101ffdc49b87457c72ac6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C165E-ECED-4BE5-9589-6E47805B1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07818-27C7-4E38-88EE-C3FF838EDF32}">
  <ds:schemaRefs>
    <ds:schemaRef ds:uri="http://schemas.microsoft.com/office/2006/metadata/properties"/>
    <ds:schemaRef ds:uri="http://schemas.microsoft.com/office/infopath/2007/PartnerControls"/>
    <ds:schemaRef ds:uri="bb12a9c8-dfbb-4a51-b352-0988ebe5ddce"/>
  </ds:schemaRefs>
</ds:datastoreItem>
</file>

<file path=customXml/itemProps3.xml><?xml version="1.0" encoding="utf-8"?>
<ds:datastoreItem xmlns:ds="http://schemas.openxmlformats.org/officeDocument/2006/customXml" ds:itemID="{AEE52A98-402B-4802-9F1F-02E9955F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 Storey</dc:creator>
  <cp:keywords/>
  <dc:description/>
  <cp:lastModifiedBy>Martin, William</cp:lastModifiedBy>
  <cp:revision>4</cp:revision>
  <dcterms:created xsi:type="dcterms:W3CDTF">2021-08-26T14:21:00Z</dcterms:created>
  <dcterms:modified xsi:type="dcterms:W3CDTF">2021-08-27T11:29:00Z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