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22769" w14:textId="77777777" w:rsidR="00344C2F" w:rsidRDefault="000B05EC" w:rsidP="005E7E44">
      <w:pPr>
        <w:tabs>
          <w:tab w:val="left" w:pos="0"/>
        </w:tabs>
        <w:spacing w:after="0" w:line="240" w:lineRule="auto"/>
        <w:jc w:val="right"/>
        <w:rPr>
          <w:rFonts w:ascii="Times" w:eastAsia="Times New Roman" w:hAnsi="Times"/>
          <w:sz w:val="24"/>
          <w:szCs w:val="24"/>
        </w:rPr>
      </w:pPr>
      <w:bookmarkStart w:id="0" w:name="_GoBack"/>
      <w:bookmarkEnd w:id="0"/>
      <w:r w:rsidRPr="008F28C1">
        <w:rPr>
          <w:rFonts w:ascii="Times" w:eastAsia="Times New Roman" w:hAnsi="Times"/>
          <w:sz w:val="24"/>
          <w:szCs w:val="24"/>
          <w:u w:val="single"/>
        </w:rPr>
        <w:t>Land Use Committee Staff</w:t>
      </w:r>
    </w:p>
    <w:p w14:paraId="549EBD16" w14:textId="77777777" w:rsidR="005E7E44" w:rsidRDefault="005E7E44" w:rsidP="00347EB6">
      <w:pPr>
        <w:tabs>
          <w:tab w:val="left" w:pos="0"/>
        </w:tabs>
        <w:spacing w:after="0" w:line="240" w:lineRule="auto"/>
        <w:jc w:val="right"/>
        <w:rPr>
          <w:rFonts w:ascii="Times" w:eastAsia="Times New Roman" w:hAnsi="Times"/>
          <w:sz w:val="24"/>
          <w:szCs w:val="24"/>
        </w:rPr>
      </w:pPr>
      <w:r>
        <w:rPr>
          <w:rFonts w:ascii="Times" w:eastAsia="Times New Roman" w:hAnsi="Times"/>
          <w:sz w:val="24"/>
          <w:szCs w:val="24"/>
        </w:rPr>
        <w:t>George Sarkissian, Deputy Director</w:t>
      </w:r>
    </w:p>
    <w:p w14:paraId="68C8DBF1" w14:textId="77777777" w:rsidR="000B05EC" w:rsidRPr="001B7BFF" w:rsidRDefault="00970A1D" w:rsidP="00347EB6">
      <w:pPr>
        <w:tabs>
          <w:tab w:val="left" w:pos="0"/>
        </w:tabs>
        <w:spacing w:after="0" w:line="240" w:lineRule="auto"/>
        <w:jc w:val="right"/>
        <w:rPr>
          <w:rFonts w:ascii="Times" w:eastAsia="Times New Roman" w:hAnsi="Times"/>
          <w:sz w:val="24"/>
          <w:szCs w:val="24"/>
        </w:rPr>
      </w:pPr>
      <w:r w:rsidRPr="001B7BFF">
        <w:rPr>
          <w:rFonts w:ascii="Times" w:eastAsia="Times New Roman" w:hAnsi="Times"/>
          <w:sz w:val="24"/>
          <w:szCs w:val="24"/>
        </w:rPr>
        <w:t>Brian Paul</w:t>
      </w:r>
      <w:r w:rsidR="000B05EC" w:rsidRPr="001B7BFF">
        <w:rPr>
          <w:rFonts w:ascii="Times" w:eastAsia="Times New Roman" w:hAnsi="Times"/>
          <w:sz w:val="24"/>
          <w:szCs w:val="24"/>
        </w:rPr>
        <w:t xml:space="preserve">, </w:t>
      </w:r>
      <w:r w:rsidR="002909ED" w:rsidRPr="001B7BFF">
        <w:rPr>
          <w:rFonts w:ascii="Times" w:eastAsia="Times New Roman" w:hAnsi="Times"/>
          <w:sz w:val="24"/>
          <w:szCs w:val="24"/>
        </w:rPr>
        <w:t xml:space="preserve">Senior </w:t>
      </w:r>
      <w:r w:rsidR="000B05EC" w:rsidRPr="001B7BFF">
        <w:rPr>
          <w:rFonts w:ascii="Times" w:eastAsia="Times New Roman" w:hAnsi="Times"/>
          <w:sz w:val="24"/>
          <w:szCs w:val="24"/>
        </w:rPr>
        <w:t>Project Manager</w:t>
      </w:r>
    </w:p>
    <w:p w14:paraId="7CAA9C6A" w14:textId="77777777" w:rsidR="005C4D1D" w:rsidRPr="001B7BFF" w:rsidRDefault="005C4D1D" w:rsidP="00347EB6">
      <w:pPr>
        <w:tabs>
          <w:tab w:val="left" w:pos="0"/>
        </w:tabs>
        <w:spacing w:after="0" w:line="240" w:lineRule="auto"/>
        <w:jc w:val="right"/>
        <w:rPr>
          <w:rFonts w:ascii="Times" w:eastAsia="Times New Roman" w:hAnsi="Times"/>
          <w:sz w:val="24"/>
          <w:szCs w:val="24"/>
        </w:rPr>
      </w:pPr>
      <w:r w:rsidRPr="001B7BFF">
        <w:rPr>
          <w:rFonts w:ascii="Times" w:eastAsia="Times New Roman" w:hAnsi="Times"/>
          <w:sz w:val="24"/>
          <w:szCs w:val="24"/>
        </w:rPr>
        <w:t xml:space="preserve">Kaitlin Greer, </w:t>
      </w:r>
      <w:r w:rsidR="00C36E71" w:rsidRPr="001B7BFF">
        <w:rPr>
          <w:rFonts w:ascii="Times" w:eastAsia="Times New Roman" w:hAnsi="Times"/>
          <w:sz w:val="24"/>
          <w:szCs w:val="24"/>
        </w:rPr>
        <w:t>Legislative Coordinator</w:t>
      </w:r>
    </w:p>
    <w:p w14:paraId="383F95FB" w14:textId="77777777" w:rsidR="000B05EC" w:rsidRDefault="007C24A4" w:rsidP="00347EB6">
      <w:pPr>
        <w:tabs>
          <w:tab w:val="left" w:pos="0"/>
        </w:tabs>
        <w:spacing w:after="0" w:line="240" w:lineRule="auto"/>
        <w:jc w:val="right"/>
        <w:rPr>
          <w:rFonts w:ascii="Times" w:eastAsia="Times New Roman" w:hAnsi="Times"/>
          <w:sz w:val="24"/>
          <w:szCs w:val="24"/>
        </w:rPr>
      </w:pPr>
      <w:r w:rsidRPr="001B7BFF">
        <w:rPr>
          <w:rFonts w:ascii="Times" w:eastAsia="Times New Roman" w:hAnsi="Times"/>
          <w:sz w:val="24"/>
          <w:szCs w:val="24"/>
        </w:rPr>
        <w:t>Luke Zangerle</w:t>
      </w:r>
      <w:r w:rsidR="000B05EC" w:rsidRPr="001B7BFF">
        <w:rPr>
          <w:rFonts w:ascii="Times" w:eastAsia="Times New Roman" w:hAnsi="Times"/>
          <w:sz w:val="24"/>
          <w:szCs w:val="24"/>
        </w:rPr>
        <w:t>, Finance Analyst</w:t>
      </w:r>
    </w:p>
    <w:p w14:paraId="7A69813E" w14:textId="77777777" w:rsidR="00DA5544" w:rsidRPr="001B7BFF" w:rsidRDefault="00DA5544" w:rsidP="00347EB6">
      <w:pPr>
        <w:tabs>
          <w:tab w:val="left" w:pos="0"/>
        </w:tabs>
        <w:spacing w:after="0" w:line="240" w:lineRule="auto"/>
        <w:jc w:val="right"/>
        <w:rPr>
          <w:rFonts w:ascii="Times" w:eastAsia="Times New Roman" w:hAnsi="Times"/>
          <w:sz w:val="24"/>
          <w:szCs w:val="24"/>
        </w:rPr>
      </w:pPr>
      <w:r>
        <w:rPr>
          <w:rFonts w:ascii="Times" w:eastAsia="Times New Roman" w:hAnsi="Times"/>
          <w:sz w:val="24"/>
          <w:szCs w:val="24"/>
        </w:rPr>
        <w:t>Julie Lubin, General Counsel-Land Use</w:t>
      </w:r>
    </w:p>
    <w:p w14:paraId="3C90172B" w14:textId="77777777" w:rsidR="000B05EC" w:rsidRPr="001B7BFF" w:rsidRDefault="00A25E30" w:rsidP="00347EB6">
      <w:pPr>
        <w:tabs>
          <w:tab w:val="left" w:pos="0"/>
        </w:tabs>
        <w:spacing w:after="0" w:line="240" w:lineRule="auto"/>
        <w:jc w:val="center"/>
        <w:rPr>
          <w:rFonts w:ascii="Times" w:eastAsia="Times New Roman" w:hAnsi="Times"/>
          <w:sz w:val="24"/>
          <w:szCs w:val="24"/>
        </w:rPr>
      </w:pPr>
      <w:r w:rsidRPr="008F28C1">
        <w:rPr>
          <w:rFonts w:ascii="Times" w:eastAsia="Times New Roman" w:hAnsi="Times"/>
          <w:noProof/>
          <w:sz w:val="24"/>
          <w:szCs w:val="24"/>
        </w:rPr>
        <w:drawing>
          <wp:anchor distT="0" distB="0" distL="114300" distR="114300" simplePos="0" relativeHeight="251658240" behindDoc="0" locked="0" layoutInCell="1" allowOverlap="1" wp14:anchorId="19D40E85" wp14:editId="773DD41D">
            <wp:simplePos x="0" y="0"/>
            <wp:positionH relativeFrom="column">
              <wp:posOffset>2281555</wp:posOffset>
            </wp:positionH>
            <wp:positionV relativeFrom="paragraph">
              <wp:posOffset>175260</wp:posOffset>
            </wp:positionV>
            <wp:extent cx="120015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123950"/>
                    </a:xfrm>
                    <a:prstGeom prst="rect">
                      <a:avLst/>
                    </a:prstGeom>
                    <a:noFill/>
                    <a:ln>
                      <a:noFill/>
                    </a:ln>
                  </pic:spPr>
                </pic:pic>
              </a:graphicData>
            </a:graphic>
          </wp:anchor>
        </w:drawing>
      </w:r>
    </w:p>
    <w:p w14:paraId="7ED598F8" w14:textId="77777777" w:rsidR="000B05EC" w:rsidRPr="008F28C1" w:rsidRDefault="0043321A" w:rsidP="0043321A">
      <w:pPr>
        <w:keepNext/>
        <w:spacing w:before="240" w:after="60" w:line="240" w:lineRule="auto"/>
        <w:outlineLvl w:val="1"/>
        <w:rPr>
          <w:rFonts w:ascii="Times" w:eastAsia="Times New Roman" w:hAnsi="Times"/>
          <w:b/>
          <w:iCs/>
          <w:sz w:val="24"/>
          <w:szCs w:val="24"/>
        </w:rPr>
      </w:pPr>
      <w:r>
        <w:rPr>
          <w:rFonts w:ascii="Times" w:eastAsia="Times New Roman" w:hAnsi="Times"/>
          <w:b/>
          <w:iCs/>
          <w:sz w:val="24"/>
          <w:szCs w:val="24"/>
        </w:rPr>
        <w:br w:type="textWrapping" w:clear="all"/>
      </w:r>
    </w:p>
    <w:p w14:paraId="635A65D1" w14:textId="77777777" w:rsidR="000B05EC" w:rsidRPr="008F28C1" w:rsidRDefault="000B05EC" w:rsidP="00347EB6">
      <w:pPr>
        <w:keepNext/>
        <w:spacing w:before="240" w:after="60" w:line="240" w:lineRule="auto"/>
        <w:jc w:val="center"/>
        <w:outlineLvl w:val="1"/>
        <w:rPr>
          <w:rFonts w:ascii="Times" w:eastAsia="Times New Roman" w:hAnsi="Times"/>
          <w:b/>
          <w:iCs/>
          <w:sz w:val="24"/>
          <w:szCs w:val="24"/>
        </w:rPr>
      </w:pPr>
      <w:r w:rsidRPr="008F28C1">
        <w:rPr>
          <w:rFonts w:ascii="Times" w:eastAsia="Times New Roman" w:hAnsi="Times"/>
          <w:b/>
          <w:iCs/>
          <w:sz w:val="24"/>
          <w:szCs w:val="24"/>
        </w:rPr>
        <w:t>THE COUNCIL</w:t>
      </w:r>
    </w:p>
    <w:p w14:paraId="1E00E95B" w14:textId="77777777" w:rsidR="000B05EC" w:rsidRPr="008F28C1" w:rsidRDefault="000B05EC" w:rsidP="00347EB6">
      <w:pPr>
        <w:keepNext/>
        <w:spacing w:after="0" w:line="240" w:lineRule="auto"/>
        <w:jc w:val="center"/>
        <w:outlineLvl w:val="0"/>
        <w:rPr>
          <w:rFonts w:ascii="Times" w:eastAsia="Times New Roman" w:hAnsi="Times"/>
          <w:bCs/>
          <w:caps/>
          <w:sz w:val="24"/>
          <w:szCs w:val="24"/>
          <w:u w:val="single"/>
        </w:rPr>
      </w:pPr>
      <w:r w:rsidRPr="008F28C1">
        <w:rPr>
          <w:rFonts w:ascii="Times" w:eastAsia="Times New Roman" w:hAnsi="Times"/>
          <w:bCs/>
          <w:caps/>
          <w:sz w:val="24"/>
          <w:szCs w:val="24"/>
          <w:u w:val="single"/>
        </w:rPr>
        <w:t>COMMITTEE REPORT OF THE Land Use Division</w:t>
      </w:r>
    </w:p>
    <w:p w14:paraId="24050726" w14:textId="77777777" w:rsidR="000B05EC" w:rsidRPr="008F28C1" w:rsidRDefault="000B05EC" w:rsidP="00347EB6">
      <w:pPr>
        <w:spacing w:after="0" w:line="240" w:lineRule="auto"/>
        <w:jc w:val="center"/>
        <w:rPr>
          <w:rFonts w:ascii="Times" w:eastAsia="Times New Roman" w:hAnsi="Times"/>
          <w:i/>
          <w:sz w:val="24"/>
          <w:szCs w:val="24"/>
        </w:rPr>
      </w:pPr>
      <w:r w:rsidRPr="008F28C1">
        <w:rPr>
          <w:rFonts w:ascii="Times" w:eastAsia="Times New Roman" w:hAnsi="Times"/>
          <w:i/>
          <w:sz w:val="24"/>
          <w:szCs w:val="24"/>
        </w:rPr>
        <w:t>Raju Mann, Land Use Director</w:t>
      </w:r>
    </w:p>
    <w:p w14:paraId="6FF01465" w14:textId="77777777" w:rsidR="000B05EC" w:rsidRPr="008F28C1" w:rsidRDefault="000B05EC" w:rsidP="00347EB6">
      <w:pPr>
        <w:spacing w:after="0" w:line="240" w:lineRule="auto"/>
        <w:jc w:val="center"/>
        <w:rPr>
          <w:rFonts w:ascii="Times" w:eastAsia="Times New Roman" w:hAnsi="Times"/>
          <w:b/>
          <w:sz w:val="24"/>
          <w:szCs w:val="24"/>
        </w:rPr>
      </w:pPr>
    </w:p>
    <w:p w14:paraId="684B4D7E" w14:textId="77777777" w:rsidR="000B05EC" w:rsidRPr="008F28C1" w:rsidRDefault="000B05EC" w:rsidP="00347EB6">
      <w:pPr>
        <w:spacing w:after="0" w:line="240" w:lineRule="auto"/>
        <w:jc w:val="center"/>
        <w:rPr>
          <w:rFonts w:ascii="Times" w:eastAsia="Times New Roman" w:hAnsi="Times"/>
          <w:b/>
          <w:sz w:val="24"/>
          <w:szCs w:val="24"/>
          <w:u w:val="single"/>
        </w:rPr>
      </w:pPr>
      <w:r w:rsidRPr="008F28C1">
        <w:rPr>
          <w:rFonts w:ascii="Times" w:eastAsia="Times New Roman" w:hAnsi="Times"/>
          <w:b/>
          <w:sz w:val="24"/>
          <w:szCs w:val="24"/>
          <w:u w:val="single"/>
        </w:rPr>
        <w:t>COMMITTEE ON LAND USE</w:t>
      </w:r>
    </w:p>
    <w:p w14:paraId="2BE8BCB5" w14:textId="77777777" w:rsidR="000B05EC" w:rsidRPr="008F28C1" w:rsidRDefault="000B05EC" w:rsidP="00347EB6">
      <w:pPr>
        <w:spacing w:after="0" w:line="240" w:lineRule="auto"/>
        <w:jc w:val="center"/>
        <w:rPr>
          <w:rFonts w:ascii="Times" w:eastAsia="Times New Roman" w:hAnsi="Times"/>
          <w:b/>
          <w:sz w:val="24"/>
          <w:szCs w:val="24"/>
        </w:rPr>
      </w:pPr>
      <w:r w:rsidRPr="008F28C1">
        <w:rPr>
          <w:rFonts w:ascii="Times" w:eastAsia="Times New Roman" w:hAnsi="Times"/>
          <w:b/>
          <w:sz w:val="24"/>
          <w:szCs w:val="24"/>
        </w:rPr>
        <w:t>Hon. Rafael Salamanca, Jr., Chair</w:t>
      </w:r>
    </w:p>
    <w:p w14:paraId="1A9C2EBE" w14:textId="77777777" w:rsidR="000B05EC" w:rsidRPr="008F28C1" w:rsidRDefault="000B05EC" w:rsidP="00347EB6">
      <w:pPr>
        <w:spacing w:after="0" w:line="240" w:lineRule="auto"/>
        <w:jc w:val="center"/>
        <w:rPr>
          <w:rFonts w:ascii="Times" w:eastAsia="Times New Roman" w:hAnsi="Times"/>
          <w:b/>
          <w:sz w:val="24"/>
          <w:szCs w:val="24"/>
        </w:rPr>
      </w:pPr>
    </w:p>
    <w:p w14:paraId="74B9F155" w14:textId="77777777" w:rsidR="000B05EC" w:rsidRPr="008F28C1" w:rsidRDefault="00B64CF3" w:rsidP="00347EB6">
      <w:pPr>
        <w:spacing w:after="0" w:line="240" w:lineRule="auto"/>
        <w:jc w:val="center"/>
        <w:rPr>
          <w:rFonts w:ascii="Times" w:eastAsia="Times New Roman" w:hAnsi="Times"/>
          <w:b/>
          <w:sz w:val="24"/>
          <w:szCs w:val="24"/>
        </w:rPr>
      </w:pPr>
      <w:r w:rsidRPr="008F28C1">
        <w:rPr>
          <w:rFonts w:ascii="Times" w:eastAsia="Times New Roman" w:hAnsi="Times"/>
          <w:b/>
          <w:sz w:val="24"/>
          <w:szCs w:val="24"/>
        </w:rPr>
        <w:t>Ju</w:t>
      </w:r>
      <w:r w:rsidR="00305C05" w:rsidRPr="008F28C1">
        <w:rPr>
          <w:rFonts w:ascii="Times" w:eastAsia="Times New Roman" w:hAnsi="Times"/>
          <w:b/>
          <w:sz w:val="24"/>
          <w:szCs w:val="24"/>
        </w:rPr>
        <w:t>n</w:t>
      </w:r>
      <w:r w:rsidRPr="008F28C1">
        <w:rPr>
          <w:rFonts w:ascii="Times" w:eastAsia="Times New Roman" w:hAnsi="Times"/>
          <w:b/>
          <w:sz w:val="24"/>
          <w:szCs w:val="24"/>
        </w:rPr>
        <w:t>e</w:t>
      </w:r>
      <w:r w:rsidR="00305C05" w:rsidRPr="008F28C1">
        <w:rPr>
          <w:rFonts w:ascii="Times" w:eastAsia="Times New Roman" w:hAnsi="Times"/>
          <w:b/>
          <w:sz w:val="24"/>
          <w:szCs w:val="24"/>
        </w:rPr>
        <w:t xml:space="preserve"> 1</w:t>
      </w:r>
      <w:r w:rsidR="00E40CBA" w:rsidRPr="008F28C1">
        <w:rPr>
          <w:rFonts w:ascii="Times" w:eastAsia="Times New Roman" w:hAnsi="Times"/>
          <w:b/>
          <w:sz w:val="24"/>
          <w:szCs w:val="24"/>
        </w:rPr>
        <w:t>6</w:t>
      </w:r>
      <w:r w:rsidR="000B05EC" w:rsidRPr="008F28C1">
        <w:rPr>
          <w:rFonts w:ascii="Times" w:eastAsia="Times New Roman" w:hAnsi="Times"/>
          <w:b/>
          <w:sz w:val="24"/>
          <w:szCs w:val="24"/>
        </w:rPr>
        <w:t>, 20</w:t>
      </w:r>
      <w:r w:rsidR="00970A1D" w:rsidRPr="008F28C1">
        <w:rPr>
          <w:rFonts w:ascii="Times" w:eastAsia="Times New Roman" w:hAnsi="Times"/>
          <w:b/>
          <w:sz w:val="24"/>
          <w:szCs w:val="24"/>
        </w:rPr>
        <w:t>2</w:t>
      </w:r>
      <w:r w:rsidR="002727FE" w:rsidRPr="008F28C1">
        <w:rPr>
          <w:rFonts w:ascii="Times" w:eastAsia="Times New Roman" w:hAnsi="Times"/>
          <w:b/>
          <w:sz w:val="24"/>
          <w:szCs w:val="24"/>
        </w:rPr>
        <w:t>1</w:t>
      </w:r>
    </w:p>
    <w:p w14:paraId="1C6C4091" w14:textId="77777777" w:rsidR="000B05EC" w:rsidRPr="008F28C1" w:rsidRDefault="000B05EC" w:rsidP="006D6CD2">
      <w:pPr>
        <w:spacing w:after="0" w:line="240" w:lineRule="auto"/>
        <w:jc w:val="both"/>
        <w:rPr>
          <w:rFonts w:ascii="Times" w:eastAsia="Times New Roman" w:hAnsi="Times"/>
          <w:b/>
          <w:sz w:val="24"/>
          <w:szCs w:val="24"/>
        </w:rPr>
      </w:pPr>
    </w:p>
    <w:p w14:paraId="7FF5C9B9" w14:textId="77777777" w:rsidR="008F21EC" w:rsidRPr="008F28C1" w:rsidRDefault="008F21EC" w:rsidP="006D6CD2">
      <w:pPr>
        <w:spacing w:after="0" w:line="240" w:lineRule="auto"/>
        <w:jc w:val="both"/>
        <w:rPr>
          <w:rFonts w:ascii="Times" w:eastAsia="Times New Roman" w:hAnsi="Times"/>
          <w:sz w:val="24"/>
          <w:szCs w:val="24"/>
        </w:rPr>
      </w:pPr>
    </w:p>
    <w:p w14:paraId="1348B040" w14:textId="77777777" w:rsidR="008F21EC" w:rsidRPr="008F28C1" w:rsidRDefault="00970A1D" w:rsidP="006D6CD2">
      <w:pPr>
        <w:spacing w:after="0" w:line="240" w:lineRule="auto"/>
        <w:ind w:left="2880" w:hanging="2880"/>
        <w:jc w:val="both"/>
        <w:rPr>
          <w:rFonts w:ascii="Times" w:eastAsia="Times New Roman" w:hAnsi="Times"/>
          <w:sz w:val="24"/>
          <w:szCs w:val="24"/>
        </w:rPr>
      </w:pPr>
      <w:r w:rsidRPr="008F28C1">
        <w:rPr>
          <w:rFonts w:ascii="Times" w:eastAsia="Times New Roman" w:hAnsi="Times"/>
          <w:b/>
          <w:sz w:val="24"/>
          <w:szCs w:val="24"/>
          <w:u w:val="single"/>
        </w:rPr>
        <w:t xml:space="preserve">Proposed </w:t>
      </w:r>
      <w:r w:rsidR="008F21EC" w:rsidRPr="008F28C1">
        <w:rPr>
          <w:rFonts w:ascii="Times" w:eastAsia="Times New Roman" w:hAnsi="Times"/>
          <w:b/>
          <w:sz w:val="24"/>
          <w:szCs w:val="24"/>
          <w:u w:val="single"/>
        </w:rPr>
        <w:t>Int. No. 1</w:t>
      </w:r>
      <w:r w:rsidRPr="008F28C1">
        <w:rPr>
          <w:rFonts w:ascii="Times" w:eastAsia="Times New Roman" w:hAnsi="Times"/>
          <w:b/>
          <w:sz w:val="24"/>
          <w:szCs w:val="24"/>
          <w:u w:val="single"/>
        </w:rPr>
        <w:t>572-</w:t>
      </w:r>
      <w:r w:rsidR="00BA2AFF">
        <w:rPr>
          <w:rFonts w:ascii="Times" w:eastAsia="Times New Roman" w:hAnsi="Times"/>
          <w:b/>
          <w:sz w:val="24"/>
          <w:szCs w:val="24"/>
          <w:u w:val="single"/>
        </w:rPr>
        <w:t>B</w:t>
      </w:r>
      <w:r w:rsidR="008F21EC" w:rsidRPr="00D76617">
        <w:rPr>
          <w:rFonts w:ascii="Times" w:eastAsia="Times New Roman" w:hAnsi="Times"/>
          <w:sz w:val="24"/>
          <w:szCs w:val="24"/>
        </w:rPr>
        <w:t>:</w:t>
      </w:r>
      <w:r w:rsidR="00F41CB6" w:rsidRPr="00D76617">
        <w:rPr>
          <w:rFonts w:ascii="Times" w:eastAsia="Times New Roman" w:hAnsi="Times"/>
          <w:sz w:val="24"/>
          <w:szCs w:val="24"/>
        </w:rPr>
        <w:tab/>
      </w:r>
      <w:r w:rsidRPr="00D76617">
        <w:rPr>
          <w:rFonts w:ascii="Times" w:eastAsia="Times New Roman" w:hAnsi="Times"/>
          <w:sz w:val="24"/>
          <w:szCs w:val="24"/>
        </w:rPr>
        <w:t xml:space="preserve">By the Public Advocate (Mr. Williams) and </w:t>
      </w:r>
      <w:r w:rsidR="00610D9A" w:rsidRPr="00707596">
        <w:rPr>
          <w:rFonts w:ascii="Times" w:eastAsia="Times New Roman" w:hAnsi="Times"/>
          <w:color w:val="000000" w:themeColor="text1"/>
          <w:sz w:val="24"/>
          <w:szCs w:val="24"/>
        </w:rPr>
        <w:t xml:space="preserve">Council Members </w:t>
      </w:r>
      <w:r w:rsidR="00610D9A" w:rsidRPr="00707596">
        <w:rPr>
          <w:rFonts w:ascii="Times" w:eastAsia="Times New Roman" w:hAnsi="Times"/>
          <w:color w:val="000000" w:themeColor="text1"/>
          <w:sz w:val="24"/>
          <w:szCs w:val="24"/>
          <w:bdr w:val="none" w:sz="0" w:space="0" w:color="auto" w:frame="1"/>
          <w:shd w:val="clear" w:color="auto" w:fill="FFFFFF"/>
        </w:rPr>
        <w:t>Salamanca, Reynoso, Chin, Levine, Levin, Lander, Menchaca, Van Bramer, Kallos, Rosenthal, Louis, Ampry-Samuel, Adams, Gibson, Miller, Barron, Rose, Cornegy, Moya, Koo, Ayala, Riley, Cumbo and D. Diaz</w:t>
      </w:r>
    </w:p>
    <w:p w14:paraId="669E4C68" w14:textId="77777777" w:rsidR="008F21EC" w:rsidRPr="008F28C1" w:rsidRDefault="008F21EC" w:rsidP="006D6CD2">
      <w:pPr>
        <w:spacing w:after="0" w:line="240" w:lineRule="auto"/>
        <w:jc w:val="both"/>
        <w:rPr>
          <w:rFonts w:ascii="Times" w:eastAsia="Times New Roman" w:hAnsi="Times"/>
          <w:sz w:val="24"/>
          <w:szCs w:val="24"/>
        </w:rPr>
      </w:pPr>
    </w:p>
    <w:p w14:paraId="61E624B8" w14:textId="77777777" w:rsidR="00A25E30" w:rsidRPr="00A25E30" w:rsidRDefault="008F21EC" w:rsidP="00A25E30">
      <w:pPr>
        <w:pStyle w:val="NormalWeb"/>
        <w:suppressLineNumbers/>
        <w:pBdr>
          <w:top w:val="none" w:sz="0" w:space="0" w:color="auto"/>
          <w:left w:val="none" w:sz="0" w:space="0" w:color="auto"/>
          <w:bottom w:val="none" w:sz="0" w:space="0" w:color="auto"/>
          <w:right w:val="none" w:sz="0" w:space="0" w:color="auto"/>
        </w:pBdr>
        <w:shd w:val="clear" w:color="auto" w:fill="FFFFFF"/>
        <w:spacing w:before="0" w:after="0"/>
        <w:ind w:left="2880" w:hanging="2880"/>
        <w:jc w:val="both"/>
        <w:rPr>
          <w:rFonts w:eastAsia="Times New Roman" w:cs="Times New Roman"/>
          <w:bdr w:val="none" w:sz="0" w:space="0" w:color="auto"/>
        </w:rPr>
      </w:pPr>
      <w:r w:rsidRPr="008F28C1">
        <w:rPr>
          <w:rFonts w:ascii="Times" w:eastAsia="Times New Roman" w:hAnsi="Times"/>
          <w:b/>
        </w:rPr>
        <w:t>Title:</w:t>
      </w:r>
      <w:r w:rsidR="00F41CB6" w:rsidRPr="008F28C1">
        <w:rPr>
          <w:rFonts w:ascii="Times" w:eastAsia="Times New Roman" w:hAnsi="Times"/>
        </w:rPr>
        <w:tab/>
      </w:r>
      <w:r w:rsidR="00A25E30" w:rsidRPr="00A25E30">
        <w:rPr>
          <w:rFonts w:eastAsia="Times New Roman" w:cs="Times New Roman"/>
          <w:bdr w:val="none" w:sz="0" w:space="0" w:color="auto"/>
        </w:rPr>
        <w:t>A Local Law to amend the administrative code of the city of New York, in relation to requiring a citywide equitable development data tool and racial equity reports on housing and opportunity</w:t>
      </w:r>
    </w:p>
    <w:p w14:paraId="551B991C" w14:textId="77777777" w:rsidR="00A25E30" w:rsidRPr="00A25E30" w:rsidRDefault="00A25E30" w:rsidP="00A25E30">
      <w:pPr>
        <w:suppressLineNumbers/>
        <w:shd w:val="clear" w:color="auto" w:fill="FFFFFF"/>
        <w:spacing w:after="0" w:line="240" w:lineRule="auto"/>
        <w:jc w:val="both"/>
        <w:rPr>
          <w:rFonts w:ascii="Times New Roman" w:eastAsia="Times New Roman" w:hAnsi="Times New Roman"/>
          <w:vanish/>
          <w:color w:val="000000"/>
          <w:sz w:val="27"/>
          <w:szCs w:val="27"/>
          <w:u w:color="000000"/>
        </w:rPr>
      </w:pPr>
      <w:r w:rsidRPr="00A25E30">
        <w:rPr>
          <w:rFonts w:ascii="Times New Roman" w:eastAsia="Times New Roman" w:hAnsi="Times New Roman"/>
          <w:vanish/>
          <w:color w:val="000000"/>
          <w:sz w:val="24"/>
          <w:szCs w:val="24"/>
          <w:u w:color="000000"/>
        </w:rPr>
        <w:t>..Body</w:t>
      </w:r>
    </w:p>
    <w:p w14:paraId="1ECDA117" w14:textId="77777777" w:rsidR="00A25E30" w:rsidRPr="00A25E30" w:rsidRDefault="00A25E30" w:rsidP="00A25E30">
      <w:pPr>
        <w:suppressLineNumbers/>
        <w:shd w:val="clear" w:color="auto" w:fill="FFFFFF"/>
        <w:spacing w:after="0" w:line="240" w:lineRule="auto"/>
        <w:jc w:val="both"/>
        <w:rPr>
          <w:rFonts w:ascii="Times New Roman" w:eastAsia="Times New Roman" w:hAnsi="Times New Roman"/>
          <w:color w:val="000000"/>
          <w:sz w:val="27"/>
          <w:szCs w:val="27"/>
          <w:u w:color="000000"/>
        </w:rPr>
      </w:pPr>
      <w:r w:rsidRPr="00A25E30">
        <w:rPr>
          <w:rFonts w:ascii="Times New Roman" w:eastAsia="Times New Roman" w:hAnsi="Times New Roman"/>
          <w:color w:val="000000"/>
          <w:sz w:val="24"/>
          <w:szCs w:val="24"/>
          <w:u w:color="000000"/>
        </w:rPr>
        <w:t> </w:t>
      </w:r>
    </w:p>
    <w:p w14:paraId="51A9A1A2" w14:textId="77777777" w:rsidR="00970A1D" w:rsidRPr="002055AF" w:rsidRDefault="00970A1D" w:rsidP="006D6CD2">
      <w:pPr>
        <w:spacing w:after="0" w:line="240" w:lineRule="auto"/>
        <w:jc w:val="both"/>
        <w:rPr>
          <w:rFonts w:ascii="Times" w:eastAsia="Times New Roman" w:hAnsi="Times"/>
          <w:sz w:val="24"/>
          <w:szCs w:val="24"/>
        </w:rPr>
      </w:pPr>
    </w:p>
    <w:p w14:paraId="73AA991E" w14:textId="77777777" w:rsidR="00970A1D" w:rsidRPr="00DA709B" w:rsidRDefault="008F21EC" w:rsidP="008F28C1">
      <w:pPr>
        <w:spacing w:after="0" w:line="240" w:lineRule="auto"/>
        <w:ind w:left="2880" w:hanging="2880"/>
        <w:jc w:val="both"/>
        <w:rPr>
          <w:rFonts w:ascii="Times" w:eastAsia="Times New Roman" w:hAnsi="Times"/>
          <w:sz w:val="24"/>
          <w:szCs w:val="24"/>
        </w:rPr>
      </w:pPr>
      <w:r w:rsidRPr="00DA709B">
        <w:rPr>
          <w:rFonts w:ascii="Times" w:eastAsia="Times New Roman" w:hAnsi="Times"/>
          <w:b/>
          <w:sz w:val="24"/>
          <w:szCs w:val="24"/>
        </w:rPr>
        <w:t>Charter:</w:t>
      </w:r>
      <w:r w:rsidRPr="00707596">
        <w:rPr>
          <w:rFonts w:ascii="Times" w:eastAsia="Times New Roman" w:hAnsi="Times"/>
          <w:sz w:val="24"/>
          <w:szCs w:val="24"/>
        </w:rPr>
        <w:tab/>
      </w:r>
      <w:r w:rsidR="0048350E" w:rsidRPr="0039590B">
        <w:rPr>
          <w:rFonts w:ascii="Times" w:eastAsia="Times New Roman" w:hAnsi="Times"/>
          <w:color w:val="000000" w:themeColor="text1"/>
          <w:sz w:val="24"/>
          <w:szCs w:val="24"/>
        </w:rPr>
        <w:t>Chapter 1 of title 25 of the administrative code of the city of New York is amended by adding new sections 25-117 and 25-118</w:t>
      </w:r>
      <w:r w:rsidR="0048350E" w:rsidRPr="00AA4F25" w:rsidDel="0048350E">
        <w:rPr>
          <w:rFonts w:ascii="Times" w:eastAsia="Times New Roman" w:hAnsi="Times"/>
          <w:sz w:val="24"/>
          <w:szCs w:val="24"/>
        </w:rPr>
        <w:t xml:space="preserve"> </w:t>
      </w:r>
    </w:p>
    <w:p w14:paraId="72C108DC" w14:textId="77777777" w:rsidR="0081389D" w:rsidRPr="008F28C1" w:rsidRDefault="0081389D" w:rsidP="006D6CD2">
      <w:pPr>
        <w:jc w:val="both"/>
        <w:rPr>
          <w:rFonts w:ascii="Times" w:hAnsi="Times"/>
          <w:sz w:val="24"/>
          <w:szCs w:val="24"/>
        </w:rPr>
      </w:pPr>
    </w:p>
    <w:p w14:paraId="727DCE97" w14:textId="77777777" w:rsidR="00B078B5" w:rsidRPr="008F28C1" w:rsidRDefault="00B078B5" w:rsidP="006D6CD2">
      <w:pPr>
        <w:pStyle w:val="ListParagraph"/>
        <w:numPr>
          <w:ilvl w:val="0"/>
          <w:numId w:val="1"/>
        </w:numPr>
        <w:spacing w:after="0" w:line="240" w:lineRule="auto"/>
        <w:jc w:val="both"/>
        <w:rPr>
          <w:rFonts w:ascii="Times" w:eastAsia="Times New Roman" w:hAnsi="Times"/>
          <w:b/>
          <w:smallCaps/>
          <w:sz w:val="24"/>
          <w:szCs w:val="24"/>
          <w:u w:val="single"/>
        </w:rPr>
      </w:pPr>
      <w:r w:rsidRPr="008F28C1">
        <w:rPr>
          <w:rFonts w:ascii="Times" w:eastAsia="Times New Roman" w:hAnsi="Times"/>
          <w:b/>
          <w:smallCaps/>
          <w:sz w:val="24"/>
          <w:szCs w:val="24"/>
          <w:u w:val="single"/>
        </w:rPr>
        <w:t>Introduction</w:t>
      </w:r>
    </w:p>
    <w:p w14:paraId="5F6B5BA2" w14:textId="77777777" w:rsidR="00B078B5" w:rsidRPr="008F28C1" w:rsidRDefault="00B078B5" w:rsidP="006D6CD2">
      <w:pPr>
        <w:spacing w:after="0" w:line="240" w:lineRule="auto"/>
        <w:jc w:val="both"/>
        <w:rPr>
          <w:rFonts w:ascii="Times" w:eastAsia="Times New Roman" w:hAnsi="Times"/>
          <w:b/>
          <w:sz w:val="24"/>
          <w:szCs w:val="24"/>
          <w:u w:val="single"/>
        </w:rPr>
      </w:pPr>
    </w:p>
    <w:p w14:paraId="34A73B88" w14:textId="2BCC9AA7" w:rsidR="007C24A4" w:rsidRPr="008F28C1" w:rsidRDefault="00B078B5" w:rsidP="00B534E7">
      <w:pPr>
        <w:spacing w:after="0" w:line="480" w:lineRule="auto"/>
        <w:ind w:firstLine="360"/>
        <w:jc w:val="both"/>
        <w:rPr>
          <w:rFonts w:ascii="Times" w:eastAsia="Times New Roman" w:hAnsi="Times"/>
          <w:sz w:val="24"/>
          <w:szCs w:val="24"/>
        </w:rPr>
      </w:pPr>
      <w:r w:rsidRPr="008F28C1">
        <w:rPr>
          <w:rFonts w:ascii="Times" w:eastAsia="Times New Roman" w:hAnsi="Times"/>
          <w:sz w:val="24"/>
          <w:szCs w:val="24"/>
        </w:rPr>
        <w:t xml:space="preserve">On </w:t>
      </w:r>
      <w:r w:rsidR="00546CD1" w:rsidRPr="008F28C1">
        <w:rPr>
          <w:rFonts w:ascii="Times" w:eastAsia="Times New Roman" w:hAnsi="Times"/>
          <w:sz w:val="24"/>
          <w:szCs w:val="24"/>
        </w:rPr>
        <w:t>June 16</w:t>
      </w:r>
      <w:r w:rsidR="002727FE" w:rsidRPr="008F28C1">
        <w:rPr>
          <w:rFonts w:ascii="Times" w:eastAsia="Times New Roman" w:hAnsi="Times"/>
          <w:sz w:val="24"/>
          <w:szCs w:val="24"/>
        </w:rPr>
        <w:t>, 2021</w:t>
      </w:r>
      <w:r w:rsidRPr="008F28C1">
        <w:rPr>
          <w:rFonts w:ascii="Times" w:eastAsia="Times New Roman" w:hAnsi="Times"/>
          <w:sz w:val="24"/>
          <w:szCs w:val="24"/>
        </w:rPr>
        <w:t>, the Committee on Land Use</w:t>
      </w:r>
      <w:r w:rsidR="000B541A" w:rsidRPr="008F28C1">
        <w:rPr>
          <w:rFonts w:ascii="Times" w:eastAsia="Times New Roman" w:hAnsi="Times"/>
          <w:sz w:val="24"/>
          <w:szCs w:val="24"/>
        </w:rPr>
        <w:t xml:space="preserve"> will </w:t>
      </w:r>
      <w:r w:rsidR="005D3264" w:rsidRPr="008F28C1">
        <w:rPr>
          <w:rFonts w:ascii="Times" w:eastAsia="Times New Roman" w:hAnsi="Times"/>
          <w:sz w:val="24"/>
          <w:szCs w:val="24"/>
        </w:rPr>
        <w:t xml:space="preserve">vote on </w:t>
      </w:r>
      <w:r w:rsidR="002727FE" w:rsidRPr="008F28C1">
        <w:rPr>
          <w:rFonts w:ascii="Times" w:eastAsia="Times New Roman" w:hAnsi="Times"/>
          <w:sz w:val="24"/>
          <w:szCs w:val="24"/>
        </w:rPr>
        <w:t>Proposed Int. No. 1572-</w:t>
      </w:r>
      <w:r w:rsidR="005D3264" w:rsidRPr="008F28C1">
        <w:rPr>
          <w:rFonts w:ascii="Times" w:eastAsia="Times New Roman" w:hAnsi="Times"/>
          <w:sz w:val="24"/>
          <w:szCs w:val="24"/>
        </w:rPr>
        <w:t>B</w:t>
      </w:r>
      <w:r w:rsidR="00D3227B" w:rsidRPr="008F28C1">
        <w:rPr>
          <w:rFonts w:ascii="Times" w:eastAsia="Times New Roman" w:hAnsi="Times"/>
          <w:sz w:val="24"/>
          <w:szCs w:val="24"/>
        </w:rPr>
        <w:t>. A public hearing with testimon</w:t>
      </w:r>
      <w:r w:rsidR="00D87A08" w:rsidRPr="008F28C1">
        <w:rPr>
          <w:rFonts w:ascii="Times" w:eastAsia="Times New Roman" w:hAnsi="Times"/>
          <w:sz w:val="24"/>
          <w:szCs w:val="24"/>
        </w:rPr>
        <w:t>y</w:t>
      </w:r>
      <w:r w:rsidR="005D3264" w:rsidRPr="008F28C1">
        <w:rPr>
          <w:rFonts w:ascii="Times" w:eastAsia="Times New Roman" w:hAnsi="Times"/>
          <w:sz w:val="24"/>
          <w:szCs w:val="24"/>
        </w:rPr>
        <w:t xml:space="preserve"> </w:t>
      </w:r>
      <w:r w:rsidR="002727FE" w:rsidRPr="008F28C1">
        <w:rPr>
          <w:rFonts w:ascii="Times" w:eastAsia="Times New Roman" w:hAnsi="Times"/>
          <w:sz w:val="24"/>
          <w:szCs w:val="24"/>
        </w:rPr>
        <w:t>by the Public Advocate Mr. Williams</w:t>
      </w:r>
      <w:r w:rsidR="00D87A08" w:rsidRPr="008F28C1">
        <w:rPr>
          <w:rFonts w:ascii="Times" w:eastAsia="Times New Roman" w:hAnsi="Times"/>
          <w:sz w:val="24"/>
          <w:szCs w:val="24"/>
        </w:rPr>
        <w:t>, re</w:t>
      </w:r>
      <w:r w:rsidR="000B541A" w:rsidRPr="008F28C1">
        <w:rPr>
          <w:rFonts w:ascii="Times" w:eastAsia="Times New Roman" w:hAnsi="Times"/>
          <w:sz w:val="24"/>
          <w:szCs w:val="24"/>
        </w:rPr>
        <w:t>presentatives of</w:t>
      </w:r>
      <w:r w:rsidR="002727FE" w:rsidRPr="008F28C1">
        <w:rPr>
          <w:rFonts w:ascii="Times" w:eastAsia="Times New Roman" w:hAnsi="Times"/>
          <w:sz w:val="24"/>
          <w:szCs w:val="24"/>
        </w:rPr>
        <w:t xml:space="preserve"> </w:t>
      </w:r>
      <w:r w:rsidR="00D955AD" w:rsidRPr="008F28C1">
        <w:rPr>
          <w:rFonts w:ascii="Times" w:eastAsia="Times New Roman" w:hAnsi="Times"/>
          <w:sz w:val="24"/>
          <w:szCs w:val="24"/>
        </w:rPr>
        <w:t xml:space="preserve">the Department </w:t>
      </w:r>
      <w:r w:rsidR="00D955AD" w:rsidRPr="008F28C1">
        <w:rPr>
          <w:rFonts w:ascii="Times" w:eastAsia="Times New Roman" w:hAnsi="Times"/>
          <w:sz w:val="24"/>
          <w:szCs w:val="24"/>
        </w:rPr>
        <w:lastRenderedPageBreak/>
        <w:t xml:space="preserve">of Housing Preservation and Development and the Department of City Planning, </w:t>
      </w:r>
      <w:r w:rsidR="000B541A" w:rsidRPr="008F28C1">
        <w:rPr>
          <w:rFonts w:ascii="Times" w:eastAsia="Times New Roman" w:hAnsi="Times"/>
          <w:sz w:val="24"/>
          <w:szCs w:val="24"/>
        </w:rPr>
        <w:t xml:space="preserve">as well as advocates, experts, and stakeholders </w:t>
      </w:r>
      <w:r w:rsidR="00795F6A">
        <w:rPr>
          <w:rFonts w:ascii="Times" w:eastAsia="Times New Roman" w:hAnsi="Times"/>
          <w:sz w:val="24"/>
          <w:szCs w:val="24"/>
        </w:rPr>
        <w:t>was</w:t>
      </w:r>
      <w:r w:rsidR="00D87A08" w:rsidRPr="008F28C1">
        <w:rPr>
          <w:rFonts w:ascii="Times" w:eastAsia="Times New Roman" w:hAnsi="Times"/>
          <w:sz w:val="24"/>
          <w:szCs w:val="24"/>
        </w:rPr>
        <w:t xml:space="preserve"> held </w:t>
      </w:r>
      <w:r w:rsidR="00A25E30">
        <w:rPr>
          <w:rFonts w:ascii="Times" w:eastAsia="Times New Roman" w:hAnsi="Times"/>
          <w:sz w:val="24"/>
          <w:szCs w:val="24"/>
        </w:rPr>
        <w:t xml:space="preserve">on Proposed Int. No. 1572-A on </w:t>
      </w:r>
      <w:r w:rsidR="00D87A08" w:rsidRPr="008F28C1">
        <w:rPr>
          <w:rFonts w:ascii="Times" w:eastAsia="Times New Roman" w:hAnsi="Times"/>
          <w:sz w:val="24"/>
          <w:szCs w:val="24"/>
        </w:rPr>
        <w:t>January 11, 2021</w:t>
      </w:r>
      <w:r w:rsidR="000B541A" w:rsidRPr="008F28C1">
        <w:rPr>
          <w:rFonts w:ascii="Times" w:eastAsia="Times New Roman" w:hAnsi="Times"/>
          <w:sz w:val="24"/>
          <w:szCs w:val="24"/>
        </w:rPr>
        <w:t xml:space="preserve">.  </w:t>
      </w:r>
    </w:p>
    <w:p w14:paraId="0EA3968B" w14:textId="77777777" w:rsidR="007365D4" w:rsidRPr="008F28C1" w:rsidRDefault="002727FE" w:rsidP="006D6CD2">
      <w:pPr>
        <w:pStyle w:val="ListParagraph"/>
        <w:numPr>
          <w:ilvl w:val="0"/>
          <w:numId w:val="1"/>
        </w:numPr>
        <w:spacing w:after="0" w:line="480" w:lineRule="auto"/>
        <w:jc w:val="both"/>
        <w:rPr>
          <w:rFonts w:ascii="Times" w:eastAsia="Times New Roman" w:hAnsi="Times"/>
          <w:b/>
          <w:smallCaps/>
          <w:sz w:val="24"/>
          <w:szCs w:val="24"/>
          <w:u w:val="single"/>
        </w:rPr>
      </w:pPr>
      <w:r w:rsidRPr="008F28C1">
        <w:rPr>
          <w:rFonts w:ascii="Times" w:eastAsia="Times New Roman" w:hAnsi="Times"/>
          <w:b/>
          <w:smallCaps/>
          <w:sz w:val="24"/>
          <w:szCs w:val="24"/>
          <w:u w:val="single"/>
        </w:rPr>
        <w:t>Background</w:t>
      </w:r>
    </w:p>
    <w:p w14:paraId="34D30693" w14:textId="77777777" w:rsidR="007365D4" w:rsidRPr="008F28C1" w:rsidRDefault="007365D4" w:rsidP="006D6CD2">
      <w:pPr>
        <w:pStyle w:val="paragraph"/>
        <w:spacing w:before="0" w:beforeAutospacing="0" w:after="0" w:afterAutospacing="0" w:line="480" w:lineRule="auto"/>
        <w:ind w:firstLine="360"/>
        <w:jc w:val="both"/>
        <w:textAlignment w:val="baseline"/>
        <w:rPr>
          <w:rFonts w:ascii="Times" w:hAnsi="Times"/>
          <w:color w:val="0563C1"/>
          <w:u w:val="single"/>
          <w:shd w:val="clear" w:color="auto" w:fill="FFFFFF"/>
        </w:rPr>
      </w:pPr>
      <w:r w:rsidRPr="008F28C1">
        <w:rPr>
          <w:rStyle w:val="normaltextrun"/>
          <w:rFonts w:ascii="Times" w:hAnsi="Times"/>
          <w:color w:val="000000"/>
        </w:rPr>
        <w:t xml:space="preserve">Analyses of potential </w:t>
      </w:r>
      <w:r w:rsidR="00AF1FAB" w:rsidRPr="008F28C1">
        <w:rPr>
          <w:rStyle w:val="normaltextrun"/>
          <w:rFonts w:ascii="Times" w:hAnsi="Times"/>
          <w:color w:val="000000"/>
        </w:rPr>
        <w:t>disparities</w:t>
      </w:r>
      <w:r w:rsidR="002909ED" w:rsidRPr="008F28C1">
        <w:rPr>
          <w:rStyle w:val="normaltextrun"/>
          <w:rFonts w:ascii="Times" w:hAnsi="Times"/>
          <w:color w:val="000000"/>
        </w:rPr>
        <w:t xml:space="preserve"> between racial</w:t>
      </w:r>
      <w:r w:rsidR="00D955AD" w:rsidRPr="008F28C1">
        <w:rPr>
          <w:rStyle w:val="normaltextrun"/>
          <w:rFonts w:ascii="Times" w:hAnsi="Times"/>
          <w:color w:val="000000"/>
        </w:rPr>
        <w:t xml:space="preserve"> and </w:t>
      </w:r>
      <w:r w:rsidR="002909ED" w:rsidRPr="008F28C1">
        <w:rPr>
          <w:rStyle w:val="normaltextrun"/>
          <w:rFonts w:ascii="Times" w:hAnsi="Times"/>
          <w:color w:val="000000"/>
        </w:rPr>
        <w:t>ethnic groups</w:t>
      </w:r>
      <w:r w:rsidRPr="008F28C1">
        <w:rPr>
          <w:rStyle w:val="normaltextrun"/>
          <w:rFonts w:ascii="Times" w:hAnsi="Times"/>
          <w:color w:val="000000"/>
        </w:rPr>
        <w:t xml:space="preserve"> are regularly employed in many types of planning </w:t>
      </w:r>
      <w:r w:rsidR="000131F0" w:rsidRPr="008F28C1">
        <w:rPr>
          <w:rStyle w:val="normaltextrun"/>
          <w:rFonts w:ascii="Times" w:hAnsi="Times"/>
          <w:color w:val="000000"/>
        </w:rPr>
        <w:t xml:space="preserve">and policy </w:t>
      </w:r>
      <w:r w:rsidRPr="008F28C1">
        <w:rPr>
          <w:rStyle w:val="normaltextrun"/>
          <w:rFonts w:ascii="Times" w:hAnsi="Times"/>
          <w:color w:val="000000"/>
        </w:rPr>
        <w:t xml:space="preserve">across the </w:t>
      </w:r>
      <w:r w:rsidR="006D6CD2" w:rsidRPr="008F28C1">
        <w:rPr>
          <w:rStyle w:val="normaltextrun"/>
          <w:rFonts w:ascii="Times" w:hAnsi="Times"/>
          <w:color w:val="000000"/>
        </w:rPr>
        <w:t>country</w:t>
      </w:r>
      <w:r w:rsidR="000131F0" w:rsidRPr="008F28C1">
        <w:rPr>
          <w:rStyle w:val="normaltextrun"/>
          <w:rFonts w:ascii="Times" w:hAnsi="Times"/>
          <w:color w:val="000000"/>
        </w:rPr>
        <w:t xml:space="preserve"> as a tool to help decision makers understand and combat racial disparities and </w:t>
      </w:r>
      <w:r w:rsidR="00293852" w:rsidRPr="008F28C1">
        <w:rPr>
          <w:rStyle w:val="normaltextrun"/>
          <w:rFonts w:ascii="Times" w:hAnsi="Times"/>
          <w:color w:val="000000"/>
        </w:rPr>
        <w:t xml:space="preserve">further </w:t>
      </w:r>
      <w:r w:rsidR="000131F0" w:rsidRPr="008F28C1">
        <w:rPr>
          <w:rStyle w:val="normaltextrun"/>
          <w:rFonts w:ascii="Times" w:hAnsi="Times"/>
          <w:color w:val="000000"/>
        </w:rPr>
        <w:t>institutionalize the goal of equity</w:t>
      </w:r>
      <w:r w:rsidRPr="008F28C1">
        <w:rPr>
          <w:rStyle w:val="normaltextrun"/>
          <w:rFonts w:ascii="Times" w:hAnsi="Times"/>
          <w:color w:val="000000"/>
        </w:rPr>
        <w:t xml:space="preserve">. For example, the Federal Transportation Administration </w:t>
      </w:r>
      <w:r w:rsidR="00646B13" w:rsidRPr="008F28C1">
        <w:rPr>
          <w:rStyle w:val="normaltextrun"/>
          <w:rFonts w:ascii="Times" w:hAnsi="Times"/>
          <w:color w:val="000000"/>
        </w:rPr>
        <w:t xml:space="preserve">requires </w:t>
      </w:r>
      <w:r w:rsidRPr="008F28C1">
        <w:rPr>
          <w:rStyle w:val="normaltextrun"/>
          <w:rFonts w:ascii="Times" w:hAnsi="Times"/>
          <w:color w:val="000000"/>
        </w:rPr>
        <w:t xml:space="preserve">Metropolitan Planning Organizations (MPOs) to undertake </w:t>
      </w:r>
      <w:r w:rsidR="00646B13" w:rsidRPr="008F28C1">
        <w:rPr>
          <w:rStyle w:val="normaltextrun"/>
          <w:rFonts w:ascii="Times" w:hAnsi="Times"/>
          <w:color w:val="000000"/>
        </w:rPr>
        <w:t>racial equity studies</w:t>
      </w:r>
      <w:r w:rsidRPr="008F28C1">
        <w:rPr>
          <w:rStyle w:val="normaltextrun"/>
          <w:rFonts w:ascii="Times" w:hAnsi="Times"/>
          <w:color w:val="000000"/>
        </w:rPr>
        <w:t xml:space="preserve"> as part of </w:t>
      </w:r>
      <w:r w:rsidRPr="008F28C1">
        <w:rPr>
          <w:rStyle w:val="normaltextrun"/>
          <w:rFonts w:ascii="Times" w:hAnsi="Times"/>
          <w:color w:val="000000" w:themeColor="text1"/>
        </w:rPr>
        <w:t>regional transportation plans</w:t>
      </w:r>
      <w:r w:rsidR="00646B13" w:rsidRPr="008F28C1">
        <w:rPr>
          <w:rStyle w:val="normaltextrun"/>
          <w:rFonts w:ascii="Times" w:hAnsi="Times"/>
          <w:color w:val="000000" w:themeColor="text1"/>
        </w:rPr>
        <w:t xml:space="preserve"> and to analyze the equity implications of any proposed </w:t>
      </w:r>
      <w:r w:rsidR="009824E2" w:rsidRPr="008F28C1">
        <w:rPr>
          <w:rStyle w:val="normaltextrun"/>
          <w:rFonts w:ascii="Times" w:hAnsi="Times"/>
          <w:color w:val="000000" w:themeColor="text1"/>
        </w:rPr>
        <w:t xml:space="preserve">significant </w:t>
      </w:r>
      <w:r w:rsidR="00646B13" w:rsidRPr="008F28C1">
        <w:rPr>
          <w:rStyle w:val="normaltextrun"/>
          <w:rFonts w:ascii="Times" w:hAnsi="Times"/>
          <w:color w:val="000000" w:themeColor="text1"/>
        </w:rPr>
        <w:t>changes in service or fares</w:t>
      </w:r>
      <w:r w:rsidRPr="008F28C1">
        <w:rPr>
          <w:rStyle w:val="normaltextrun"/>
          <w:rFonts w:ascii="Times" w:hAnsi="Times"/>
          <w:color w:val="000000" w:themeColor="text1"/>
        </w:rPr>
        <w:t>.</w:t>
      </w:r>
      <w:r w:rsidRPr="008F28C1">
        <w:rPr>
          <w:rStyle w:val="FootnoteReference"/>
          <w:rFonts w:ascii="Times" w:hAnsi="Times"/>
          <w:color w:val="000000" w:themeColor="text1"/>
        </w:rPr>
        <w:footnoteReference w:id="1"/>
      </w:r>
      <w:r w:rsidRPr="008F28C1">
        <w:rPr>
          <w:rStyle w:val="normaltextrun"/>
          <w:rFonts w:ascii="Times" w:hAnsi="Times"/>
          <w:color w:val="000000" w:themeColor="text1"/>
          <w:shd w:val="clear" w:color="auto" w:fill="FFFFFF"/>
        </w:rPr>
        <w:t xml:space="preserve"> </w:t>
      </w:r>
      <w:r w:rsidR="000131F0" w:rsidRPr="008F28C1">
        <w:rPr>
          <w:rStyle w:val="normaltextrun"/>
          <w:rFonts w:ascii="Times" w:hAnsi="Times"/>
          <w:color w:val="000000" w:themeColor="text1"/>
          <w:shd w:val="clear" w:color="auto" w:fill="FFFFFF"/>
        </w:rPr>
        <w:t>The National League of Cities’ most recent Municipal Action Guide for advancing racial equity broadly recommends examining data by race/ethnicity to help inform policymaking</w:t>
      </w:r>
      <w:r w:rsidR="00AF37CA" w:rsidRPr="008F28C1">
        <w:rPr>
          <w:rStyle w:val="normaltextrun"/>
          <w:rFonts w:ascii="Times" w:hAnsi="Times"/>
          <w:color w:val="000000" w:themeColor="text1"/>
          <w:shd w:val="clear" w:color="auto" w:fill="FFFFFF"/>
        </w:rPr>
        <w:t>.</w:t>
      </w:r>
      <w:r w:rsidR="000131F0" w:rsidRPr="008F28C1">
        <w:rPr>
          <w:rStyle w:val="FootnoteReference"/>
          <w:rFonts w:ascii="Times" w:hAnsi="Times"/>
          <w:color w:val="000000" w:themeColor="text1"/>
          <w:shd w:val="clear" w:color="auto" w:fill="FFFFFF"/>
        </w:rPr>
        <w:footnoteReference w:id="2"/>
      </w:r>
      <w:r w:rsidR="000131F0" w:rsidRPr="008F28C1">
        <w:rPr>
          <w:rStyle w:val="normaltextrun"/>
          <w:rFonts w:ascii="Times" w:hAnsi="Times"/>
          <w:color w:val="000000" w:themeColor="text1"/>
          <w:shd w:val="clear" w:color="auto" w:fill="FFFFFF"/>
        </w:rPr>
        <w:t xml:space="preserve">  </w:t>
      </w:r>
      <w:r w:rsidR="001F776B" w:rsidRPr="008F28C1">
        <w:rPr>
          <w:rStyle w:val="normaltextrun"/>
          <w:rFonts w:ascii="Times" w:hAnsi="Times"/>
          <w:color w:val="000000" w:themeColor="text1"/>
          <w:shd w:val="clear" w:color="auto" w:fill="FFFFFF"/>
        </w:rPr>
        <w:t>And m</w:t>
      </w:r>
      <w:r w:rsidR="002909ED" w:rsidRPr="008F28C1">
        <w:rPr>
          <w:rStyle w:val="normaltextrun"/>
          <w:rFonts w:ascii="Times" w:hAnsi="Times"/>
          <w:color w:val="000000" w:themeColor="text1"/>
          <w:shd w:val="clear" w:color="auto" w:fill="FFFFFF"/>
        </w:rPr>
        <w:t xml:space="preserve">any individual cities </w:t>
      </w:r>
      <w:r w:rsidR="00E121E7" w:rsidRPr="008F28C1">
        <w:rPr>
          <w:rStyle w:val="normaltextrun"/>
          <w:rFonts w:ascii="Times" w:hAnsi="Times"/>
          <w:color w:val="000000" w:themeColor="text1"/>
          <w:shd w:val="clear" w:color="auto" w:fill="FFFFFF"/>
        </w:rPr>
        <w:t xml:space="preserve">are </w:t>
      </w:r>
      <w:r w:rsidR="001D40B2" w:rsidRPr="008F28C1">
        <w:rPr>
          <w:rStyle w:val="normaltextrun"/>
          <w:rFonts w:ascii="Times" w:hAnsi="Times"/>
          <w:color w:val="000000" w:themeColor="text1"/>
          <w:shd w:val="clear" w:color="auto" w:fill="FFFFFF"/>
        </w:rPr>
        <w:t xml:space="preserve">now </w:t>
      </w:r>
      <w:r w:rsidR="00E121E7" w:rsidRPr="008F28C1">
        <w:rPr>
          <w:rStyle w:val="normaltextrun"/>
          <w:rFonts w:ascii="Times" w:hAnsi="Times"/>
          <w:color w:val="000000" w:themeColor="text1"/>
          <w:shd w:val="clear" w:color="auto" w:fill="FFFFFF"/>
        </w:rPr>
        <w:t xml:space="preserve">incorporating a racial equity lens into aspects of planning and policy through specific racial equity studies or checklist tools. </w:t>
      </w:r>
      <w:r w:rsidR="00E121E7" w:rsidRPr="008F28C1">
        <w:rPr>
          <w:rStyle w:val="normaltextrun"/>
          <w:rFonts w:ascii="Times" w:hAnsi="Times"/>
          <w:color w:val="000000" w:themeColor="text1"/>
        </w:rPr>
        <w:t xml:space="preserve">For example, as </w:t>
      </w:r>
      <w:r w:rsidRPr="008F28C1">
        <w:rPr>
          <w:rStyle w:val="normaltextrun"/>
          <w:rFonts w:ascii="Times" w:hAnsi="Times"/>
          <w:color w:val="000000" w:themeColor="text1"/>
        </w:rPr>
        <w:t xml:space="preserve">part of </w:t>
      </w:r>
      <w:r w:rsidR="006D6CD2" w:rsidRPr="008F28C1">
        <w:rPr>
          <w:rStyle w:val="normaltextrun"/>
          <w:rFonts w:ascii="Times" w:hAnsi="Times"/>
          <w:color w:val="000000" w:themeColor="text1"/>
        </w:rPr>
        <w:t>Seattle’</w:t>
      </w:r>
      <w:r w:rsidRPr="008F28C1">
        <w:rPr>
          <w:rStyle w:val="normaltextrun"/>
          <w:rFonts w:ascii="Times" w:hAnsi="Times"/>
          <w:color w:val="000000" w:themeColor="text1"/>
        </w:rPr>
        <w:t>s comprehensive plan</w:t>
      </w:r>
      <w:r w:rsidR="006D6CD2" w:rsidRPr="008F28C1">
        <w:rPr>
          <w:rStyle w:val="normaltextrun"/>
          <w:rFonts w:ascii="Times" w:hAnsi="Times"/>
          <w:color w:val="000000" w:themeColor="text1"/>
        </w:rPr>
        <w:t>, the city has used a “Growth and Equity Analysis”</w:t>
      </w:r>
      <w:r w:rsidR="00B75FDF" w:rsidRPr="008F28C1">
        <w:rPr>
          <w:rStyle w:val="normaltextrun"/>
          <w:rFonts w:ascii="Times" w:hAnsi="Times"/>
          <w:color w:val="000000" w:themeColor="text1"/>
        </w:rPr>
        <w:t xml:space="preserve"> to inform the citywide growth strategy and </w:t>
      </w:r>
      <w:r w:rsidR="00B75FDF" w:rsidRPr="008F28C1">
        <w:rPr>
          <w:rStyle w:val="normaltextrun"/>
          <w:rFonts w:ascii="Times" w:hAnsi="Times"/>
          <w:color w:val="000000"/>
        </w:rPr>
        <w:t xml:space="preserve">the implications of planning for additional density in particular neighborhoods and evaluate </w:t>
      </w:r>
      <w:r w:rsidRPr="008F28C1">
        <w:rPr>
          <w:rStyle w:val="normaltextrun"/>
          <w:rFonts w:ascii="Times" w:hAnsi="Times"/>
          <w:color w:val="221E1F"/>
        </w:rPr>
        <w:t xml:space="preserve">whether or not and to what extent impacts could disproportionately </w:t>
      </w:r>
      <w:r w:rsidR="006E0F57" w:rsidRPr="008F28C1">
        <w:rPr>
          <w:rStyle w:val="normaltextrun"/>
          <w:rFonts w:ascii="Times" w:hAnsi="Times"/>
          <w:color w:val="221E1F"/>
        </w:rPr>
        <w:t xml:space="preserve">harm </w:t>
      </w:r>
      <w:r w:rsidRPr="008F28C1">
        <w:rPr>
          <w:rStyle w:val="normaltextrun"/>
          <w:rFonts w:ascii="Times" w:hAnsi="Times"/>
          <w:color w:val="221E1F"/>
        </w:rPr>
        <w:t>or benefit historically marginalized populations</w:t>
      </w:r>
      <w:r w:rsidR="006D6CD2" w:rsidRPr="008F28C1">
        <w:rPr>
          <w:rStyle w:val="normaltextrun"/>
          <w:rFonts w:ascii="Times" w:hAnsi="Times"/>
          <w:color w:val="221E1F"/>
        </w:rPr>
        <w:t>.</w:t>
      </w:r>
      <w:r w:rsidR="006D6CD2" w:rsidRPr="008F28C1">
        <w:rPr>
          <w:rStyle w:val="FootnoteReference"/>
          <w:rFonts w:ascii="Times" w:hAnsi="Times"/>
          <w:color w:val="221E1F"/>
        </w:rPr>
        <w:footnoteReference w:id="3"/>
      </w:r>
      <w:r w:rsidRPr="008F28C1">
        <w:rPr>
          <w:rStyle w:val="superscript"/>
          <w:rFonts w:ascii="Times" w:eastAsia="Calibri" w:hAnsi="Times"/>
          <w:color w:val="221E1F"/>
          <w:vertAlign w:val="superscript"/>
        </w:rPr>
        <w:t xml:space="preserve"> </w:t>
      </w:r>
    </w:p>
    <w:p w14:paraId="1EAFF219" w14:textId="77777777" w:rsidR="006D6CD2" w:rsidRPr="008F28C1" w:rsidRDefault="007F6B12" w:rsidP="006D6CD2">
      <w:pPr>
        <w:pStyle w:val="paragraph"/>
        <w:spacing w:before="0" w:beforeAutospacing="0" w:after="0" w:afterAutospacing="0" w:line="480" w:lineRule="auto"/>
        <w:ind w:firstLine="360"/>
        <w:jc w:val="both"/>
        <w:textAlignment w:val="baseline"/>
        <w:rPr>
          <w:rStyle w:val="eop"/>
          <w:rFonts w:ascii="Times" w:hAnsi="Times"/>
          <w:color w:val="000000"/>
        </w:rPr>
      </w:pPr>
      <w:r w:rsidRPr="008F28C1">
        <w:rPr>
          <w:rStyle w:val="normaltextrun"/>
          <w:rFonts w:ascii="Times" w:hAnsi="Times"/>
          <w:color w:val="000000"/>
        </w:rPr>
        <w:t>In</w:t>
      </w:r>
      <w:r w:rsidR="006E0F57" w:rsidRPr="008F28C1">
        <w:rPr>
          <w:rStyle w:val="normaltextrun"/>
          <w:rFonts w:ascii="Times" w:hAnsi="Times"/>
          <w:color w:val="000000"/>
        </w:rPr>
        <w:t xml:space="preserve"> New York, the de Blasio administration </w:t>
      </w:r>
      <w:r w:rsidR="006D6CD2" w:rsidRPr="008F28C1">
        <w:rPr>
          <w:rStyle w:val="normaltextrun"/>
          <w:rFonts w:ascii="Times" w:hAnsi="Times"/>
          <w:color w:val="000000"/>
        </w:rPr>
        <w:t xml:space="preserve">released </w:t>
      </w:r>
      <w:r w:rsidR="006E0F57" w:rsidRPr="008F28C1">
        <w:rPr>
          <w:rStyle w:val="normaltextrun"/>
          <w:rFonts w:ascii="Times" w:hAnsi="Times"/>
          <w:color w:val="000000"/>
        </w:rPr>
        <w:t>the final</w:t>
      </w:r>
      <w:r w:rsidR="006D6CD2" w:rsidRPr="008F28C1">
        <w:rPr>
          <w:rStyle w:val="normaltextrun"/>
          <w:rFonts w:ascii="Times" w:hAnsi="Times"/>
          <w:color w:val="000000"/>
        </w:rPr>
        <w:t xml:space="preserve"> “Where We Live” plan </w:t>
      </w:r>
      <w:r w:rsidR="006E0F57" w:rsidRPr="008F28C1">
        <w:rPr>
          <w:rStyle w:val="normaltextrun"/>
          <w:rFonts w:ascii="Times" w:hAnsi="Times"/>
          <w:color w:val="000000"/>
        </w:rPr>
        <w:t xml:space="preserve">in October 2020 </w:t>
      </w:r>
      <w:r w:rsidR="006D6CD2" w:rsidRPr="008F28C1">
        <w:rPr>
          <w:rStyle w:val="normaltextrun"/>
          <w:rFonts w:ascii="Times" w:hAnsi="Times"/>
          <w:color w:val="000000"/>
        </w:rPr>
        <w:t xml:space="preserve">that included extensive analysis of disparities between racial/ethnic groups </w:t>
      </w:r>
      <w:r w:rsidR="00723A26" w:rsidRPr="008F28C1">
        <w:rPr>
          <w:rStyle w:val="normaltextrun"/>
          <w:rFonts w:ascii="Times" w:hAnsi="Times"/>
          <w:color w:val="000000"/>
        </w:rPr>
        <w:t xml:space="preserve">in New York City </w:t>
      </w:r>
      <w:r w:rsidR="006D6CD2" w:rsidRPr="008F28C1">
        <w:rPr>
          <w:rStyle w:val="normaltextrun"/>
          <w:rFonts w:ascii="Times" w:hAnsi="Times"/>
          <w:color w:val="000000"/>
        </w:rPr>
        <w:t>across a wide range of indicators including housing, health, social, and economic data points.</w:t>
      </w:r>
      <w:r w:rsidR="006E0F57" w:rsidRPr="008F28C1">
        <w:rPr>
          <w:rStyle w:val="normaltextrun"/>
          <w:rFonts w:ascii="Times" w:hAnsi="Times"/>
          <w:color w:val="000000"/>
        </w:rPr>
        <w:t xml:space="preserve"> The “Where We Live” report also advanced specific policy recommendations, including one to “include a description of racial characteristics of the project area into the analyses that accompany and underpin the environmental review for proposed land use changes</w:t>
      </w:r>
      <w:r w:rsidR="00C81979" w:rsidRPr="008F28C1">
        <w:rPr>
          <w:rStyle w:val="normaltextrun"/>
          <w:rFonts w:ascii="Times" w:hAnsi="Times"/>
          <w:color w:val="000000"/>
        </w:rPr>
        <w:t>.</w:t>
      </w:r>
      <w:r w:rsidR="006E0F57" w:rsidRPr="008F28C1">
        <w:rPr>
          <w:rStyle w:val="normaltextrun"/>
          <w:rFonts w:ascii="Times" w:hAnsi="Times"/>
          <w:color w:val="000000"/>
        </w:rPr>
        <w:t>”</w:t>
      </w:r>
      <w:r w:rsidR="006E0F57" w:rsidRPr="008F28C1">
        <w:rPr>
          <w:rStyle w:val="FootnoteReference"/>
          <w:rFonts w:ascii="Times" w:hAnsi="Times"/>
          <w:color w:val="000000"/>
        </w:rPr>
        <w:footnoteReference w:id="4"/>
      </w:r>
      <w:r w:rsidR="006E0F57" w:rsidRPr="008F28C1">
        <w:rPr>
          <w:rStyle w:val="normaltextrun"/>
          <w:rFonts w:ascii="Times" w:hAnsi="Times"/>
          <w:color w:val="000000"/>
        </w:rPr>
        <w:t xml:space="preserve"> </w:t>
      </w:r>
      <w:r w:rsidR="006D6CD2" w:rsidRPr="008F28C1">
        <w:rPr>
          <w:rStyle w:val="normaltextrun"/>
          <w:rFonts w:ascii="Times" w:hAnsi="Times"/>
          <w:color w:val="000000"/>
        </w:rPr>
        <w:t xml:space="preserve"> In addition, the administration annually reports on Social Equity Indicators and citywide disparities as required by Charter Section 16.</w:t>
      </w:r>
      <w:r w:rsidR="006D6CD2" w:rsidRPr="008F28C1">
        <w:rPr>
          <w:rStyle w:val="eop"/>
          <w:rFonts w:ascii="Times" w:hAnsi="Times"/>
          <w:color w:val="000000"/>
        </w:rPr>
        <w:t> </w:t>
      </w:r>
    </w:p>
    <w:p w14:paraId="5EE76180" w14:textId="77777777" w:rsidR="006D6CD2" w:rsidRPr="008F28C1" w:rsidRDefault="006D6CD2" w:rsidP="00963752">
      <w:pPr>
        <w:pStyle w:val="paragraph"/>
        <w:spacing w:before="0" w:beforeAutospacing="0" w:after="0" w:afterAutospacing="0" w:line="480" w:lineRule="auto"/>
        <w:ind w:firstLine="360"/>
        <w:jc w:val="both"/>
        <w:textAlignment w:val="baseline"/>
        <w:rPr>
          <w:rFonts w:ascii="Times" w:hAnsi="Times"/>
        </w:rPr>
      </w:pPr>
      <w:r w:rsidRPr="008F28C1">
        <w:rPr>
          <w:rStyle w:val="normaltextrun"/>
          <w:rFonts w:ascii="Times" w:hAnsi="Times"/>
        </w:rPr>
        <w:t>In recent years, many advocates for racial equity and fair housing have become increasingly critical</w:t>
      </w:r>
      <w:r w:rsidR="00095D51" w:rsidRPr="008F28C1">
        <w:rPr>
          <w:rStyle w:val="normaltextrun"/>
          <w:rFonts w:ascii="Times" w:hAnsi="Times"/>
        </w:rPr>
        <w:t xml:space="preserve"> of the City’s land use process </w:t>
      </w:r>
      <w:r w:rsidRPr="008F28C1">
        <w:rPr>
          <w:rStyle w:val="normaltextrun"/>
          <w:rFonts w:ascii="Times" w:hAnsi="Times"/>
        </w:rPr>
        <w:t xml:space="preserve">and the apparent lack of consideration for these goals in land use policymaking. Advocates often point to the extensive rezonings that took place under the Bloomberg administration and the clear pattern identified by a 2010 Furman Center report wherein upzoned areas were disproportionately home to lower-income </w:t>
      </w:r>
      <w:r w:rsidR="00723A26" w:rsidRPr="008F28C1">
        <w:rPr>
          <w:rStyle w:val="normaltextrun"/>
          <w:rFonts w:ascii="Times" w:hAnsi="Times"/>
        </w:rPr>
        <w:t>B</w:t>
      </w:r>
      <w:r w:rsidRPr="008F28C1">
        <w:rPr>
          <w:rStyle w:val="normaltextrun"/>
          <w:rFonts w:ascii="Times" w:hAnsi="Times"/>
        </w:rPr>
        <w:t>lack and Latinx renters when compared to the more heavily white, homeowner downzoned areas</w:t>
      </w:r>
      <w:r w:rsidR="00963752" w:rsidRPr="008F28C1">
        <w:rPr>
          <w:rStyle w:val="normaltextrun"/>
          <w:rFonts w:ascii="Times" w:hAnsi="Times"/>
        </w:rPr>
        <w:t>.</w:t>
      </w:r>
      <w:r w:rsidR="00963752" w:rsidRPr="008F28C1">
        <w:rPr>
          <w:rStyle w:val="FootnoteReference"/>
          <w:rFonts w:ascii="Times" w:hAnsi="Times"/>
        </w:rPr>
        <w:footnoteReference w:id="5"/>
      </w:r>
      <w:r w:rsidRPr="008F28C1">
        <w:rPr>
          <w:rStyle w:val="normaltextrun"/>
          <w:rFonts w:ascii="Times" w:hAnsi="Times"/>
        </w:rPr>
        <w:t xml:space="preserve"> </w:t>
      </w:r>
    </w:p>
    <w:p w14:paraId="6D946315" w14:textId="77777777" w:rsidR="006D6CD2" w:rsidRPr="008F28C1" w:rsidRDefault="009611EF" w:rsidP="00963752">
      <w:pPr>
        <w:pStyle w:val="paragraph"/>
        <w:spacing w:before="0" w:beforeAutospacing="0" w:after="0" w:afterAutospacing="0" w:line="480" w:lineRule="auto"/>
        <w:ind w:firstLine="360"/>
        <w:jc w:val="both"/>
        <w:textAlignment w:val="baseline"/>
        <w:rPr>
          <w:rFonts w:ascii="Times" w:hAnsi="Times"/>
        </w:rPr>
      </w:pPr>
      <w:r w:rsidRPr="008F28C1">
        <w:rPr>
          <w:rFonts w:ascii="Times" w:hAnsi="Times"/>
        </w:rPr>
        <w:t>Advocates</w:t>
      </w:r>
      <w:r w:rsidR="00963752" w:rsidRPr="008F28C1">
        <w:rPr>
          <w:rFonts w:ascii="Times" w:hAnsi="Times"/>
        </w:rPr>
        <w:t xml:space="preserve"> also</w:t>
      </w:r>
      <w:r w:rsidR="006D6CD2" w:rsidRPr="008F28C1">
        <w:rPr>
          <w:rFonts w:ascii="Times" w:hAnsi="Times"/>
        </w:rPr>
        <w:t xml:space="preserve"> contend that Bloomberg-era rezonings</w:t>
      </w:r>
      <w:r w:rsidR="00C53DB4" w:rsidRPr="008F28C1">
        <w:rPr>
          <w:rFonts w:ascii="Times" w:hAnsi="Times"/>
        </w:rPr>
        <w:t>—</w:t>
      </w:r>
      <w:r w:rsidR="00963752" w:rsidRPr="008F28C1">
        <w:rPr>
          <w:rFonts w:ascii="Times" w:hAnsi="Times"/>
        </w:rPr>
        <w:t xml:space="preserve">which </w:t>
      </w:r>
      <w:r w:rsidR="006D6CD2" w:rsidRPr="008F28C1">
        <w:rPr>
          <w:rFonts w:ascii="Times" w:hAnsi="Times"/>
        </w:rPr>
        <w:t xml:space="preserve">added density to lower-income communities of color such as Greenpoint-Williamsburg (2005) and </w:t>
      </w:r>
      <w:r w:rsidR="00387B7A" w:rsidRPr="008F28C1">
        <w:rPr>
          <w:rFonts w:ascii="Times" w:hAnsi="Times"/>
        </w:rPr>
        <w:t>Four</w:t>
      </w:r>
      <w:r w:rsidR="00FF6E1D" w:rsidRPr="008F28C1">
        <w:rPr>
          <w:rFonts w:ascii="Times" w:hAnsi="Times"/>
        </w:rPr>
        <w:t>th</w:t>
      </w:r>
      <w:r w:rsidR="006D6CD2" w:rsidRPr="008F28C1">
        <w:rPr>
          <w:rFonts w:ascii="Times" w:hAnsi="Times"/>
        </w:rPr>
        <w:t xml:space="preserve"> Avenue (2003)</w:t>
      </w:r>
      <w:r w:rsidR="00963752" w:rsidRPr="008F28C1">
        <w:rPr>
          <w:rFonts w:ascii="Times" w:hAnsi="Times"/>
        </w:rPr>
        <w:t>—</w:t>
      </w:r>
      <w:r w:rsidR="006D6CD2" w:rsidRPr="008F28C1">
        <w:rPr>
          <w:rFonts w:ascii="Times" w:hAnsi="Times"/>
        </w:rPr>
        <w:t>accelerated</w:t>
      </w:r>
      <w:r w:rsidR="00963752" w:rsidRPr="008F28C1">
        <w:rPr>
          <w:rFonts w:ascii="Times" w:hAnsi="Times"/>
        </w:rPr>
        <w:t xml:space="preserve"> </w:t>
      </w:r>
      <w:r w:rsidR="006D6CD2" w:rsidRPr="008F28C1">
        <w:rPr>
          <w:rFonts w:ascii="Times" w:hAnsi="Times"/>
        </w:rPr>
        <w:t xml:space="preserve">gentrification and displacement in ways that might have been avoided or reduced if studies of potential </w:t>
      </w:r>
      <w:r w:rsidR="004B36A2" w:rsidRPr="008F28C1">
        <w:rPr>
          <w:rFonts w:ascii="Times" w:hAnsi="Times"/>
        </w:rPr>
        <w:t>disparities</w:t>
      </w:r>
      <w:r w:rsidR="006D6CD2" w:rsidRPr="008F28C1">
        <w:rPr>
          <w:rFonts w:ascii="Times" w:hAnsi="Times"/>
        </w:rPr>
        <w:t xml:space="preserve"> had been undertaken</w:t>
      </w:r>
      <w:r w:rsidR="005C4D1D" w:rsidRPr="008F28C1">
        <w:rPr>
          <w:rFonts w:ascii="Times" w:hAnsi="Times"/>
        </w:rPr>
        <w:t xml:space="preserve">. Studies of </w:t>
      </w:r>
      <w:r w:rsidR="004B36A2" w:rsidRPr="008F28C1">
        <w:rPr>
          <w:rFonts w:ascii="Times" w:hAnsi="Times"/>
        </w:rPr>
        <w:t>racial/ethnic disparities</w:t>
      </w:r>
      <w:r w:rsidR="005C4D1D" w:rsidRPr="008F28C1">
        <w:rPr>
          <w:rFonts w:ascii="Times" w:hAnsi="Times"/>
        </w:rPr>
        <w:t xml:space="preserve"> may have led to greater consideration for anti-displacement policy, more deeply affordable housing and/or stronger inclusionary zoning tools, </w:t>
      </w:r>
      <w:r w:rsidR="006D6CD2" w:rsidRPr="008F28C1">
        <w:rPr>
          <w:rFonts w:ascii="Times" w:hAnsi="Times"/>
        </w:rPr>
        <w:t xml:space="preserve">and </w:t>
      </w:r>
      <w:r w:rsidR="005C4D1D" w:rsidRPr="008F28C1">
        <w:rPr>
          <w:rFonts w:ascii="Times" w:hAnsi="Times"/>
        </w:rPr>
        <w:t>for</w:t>
      </w:r>
      <w:r w:rsidR="006D6CD2" w:rsidRPr="008F28C1">
        <w:rPr>
          <w:rFonts w:ascii="Times" w:hAnsi="Times"/>
        </w:rPr>
        <w:t xml:space="preserve"> housing density </w:t>
      </w:r>
      <w:r w:rsidR="005C4D1D" w:rsidRPr="008F28C1">
        <w:rPr>
          <w:rFonts w:ascii="Times" w:hAnsi="Times"/>
        </w:rPr>
        <w:t xml:space="preserve">to be further </w:t>
      </w:r>
      <w:r w:rsidR="006D6CD2" w:rsidRPr="008F28C1">
        <w:rPr>
          <w:rFonts w:ascii="Times" w:hAnsi="Times"/>
        </w:rPr>
        <w:t>concentrated in affluent neighborhoods</w:t>
      </w:r>
      <w:r w:rsidR="005C4D1D" w:rsidRPr="008F28C1">
        <w:rPr>
          <w:rFonts w:ascii="Times" w:hAnsi="Times"/>
        </w:rPr>
        <w:t xml:space="preserve"> instead of </w:t>
      </w:r>
      <w:r w:rsidR="002455EB" w:rsidRPr="008F28C1">
        <w:rPr>
          <w:rFonts w:ascii="Times" w:hAnsi="Times"/>
        </w:rPr>
        <w:t xml:space="preserve">in </w:t>
      </w:r>
      <w:r w:rsidR="005C4D1D" w:rsidRPr="008F28C1">
        <w:rPr>
          <w:rFonts w:ascii="Times" w:hAnsi="Times"/>
        </w:rPr>
        <w:t>communities of color vulnerable to displacement</w:t>
      </w:r>
      <w:r w:rsidR="006D6CD2" w:rsidRPr="008F28C1">
        <w:rPr>
          <w:rFonts w:ascii="Times" w:hAnsi="Times"/>
        </w:rPr>
        <w:t>.</w:t>
      </w:r>
      <w:r w:rsidR="00963752" w:rsidRPr="008F28C1">
        <w:rPr>
          <w:rStyle w:val="FootnoteReference"/>
          <w:rFonts w:ascii="Times" w:hAnsi="Times"/>
        </w:rPr>
        <w:footnoteReference w:id="6"/>
      </w:r>
      <w:r w:rsidR="006D6CD2" w:rsidRPr="008F28C1">
        <w:rPr>
          <w:rFonts w:ascii="Times" w:hAnsi="Times"/>
        </w:rPr>
        <w:t xml:space="preserve"> </w:t>
      </w:r>
    </w:p>
    <w:p w14:paraId="70AA18EF" w14:textId="77777777" w:rsidR="006D6CD2" w:rsidRPr="008F28C1" w:rsidRDefault="006D6CD2" w:rsidP="006D6CD2">
      <w:pPr>
        <w:pStyle w:val="paragraph"/>
        <w:spacing w:before="0" w:beforeAutospacing="0" w:after="0" w:afterAutospacing="0" w:line="480" w:lineRule="auto"/>
        <w:ind w:firstLine="360"/>
        <w:jc w:val="both"/>
        <w:textAlignment w:val="baseline"/>
        <w:rPr>
          <w:rStyle w:val="normaltextrun"/>
          <w:rFonts w:ascii="Times" w:hAnsi="Times"/>
        </w:rPr>
      </w:pPr>
      <w:r w:rsidRPr="008F28C1">
        <w:rPr>
          <w:rStyle w:val="normaltextrun"/>
          <w:rFonts w:ascii="Times" w:hAnsi="Times"/>
        </w:rPr>
        <w:t>While the de Blasio administration has taken a clear public position against exclusionary downzonings, the six neighborhoods the administration has thus far upzoned with M</w:t>
      </w:r>
      <w:r w:rsidR="001F0D1D" w:rsidRPr="008F28C1">
        <w:rPr>
          <w:rStyle w:val="normaltextrun"/>
          <w:rFonts w:ascii="Times" w:hAnsi="Times"/>
        </w:rPr>
        <w:t xml:space="preserve">andatory </w:t>
      </w:r>
      <w:r w:rsidRPr="008F28C1">
        <w:rPr>
          <w:rStyle w:val="normaltextrun"/>
          <w:rFonts w:ascii="Times" w:hAnsi="Times"/>
        </w:rPr>
        <w:t>I</w:t>
      </w:r>
      <w:r w:rsidR="001F0D1D" w:rsidRPr="008F28C1">
        <w:rPr>
          <w:rStyle w:val="normaltextrun"/>
          <w:rFonts w:ascii="Times" w:hAnsi="Times"/>
        </w:rPr>
        <w:t xml:space="preserve">nclusionary </w:t>
      </w:r>
      <w:r w:rsidRPr="008F28C1">
        <w:rPr>
          <w:rStyle w:val="normaltextrun"/>
          <w:rFonts w:ascii="Times" w:hAnsi="Times"/>
        </w:rPr>
        <w:t>H</w:t>
      </w:r>
      <w:r w:rsidR="001F0D1D" w:rsidRPr="008F28C1">
        <w:rPr>
          <w:rStyle w:val="normaltextrun"/>
          <w:rFonts w:ascii="Times" w:hAnsi="Times"/>
        </w:rPr>
        <w:t>ousing—</w:t>
      </w:r>
      <w:r w:rsidRPr="008F28C1">
        <w:rPr>
          <w:rStyle w:val="normaltextrun"/>
          <w:rFonts w:ascii="Times" w:hAnsi="Times"/>
        </w:rPr>
        <w:t>East</w:t>
      </w:r>
      <w:r w:rsidR="001F0D1D" w:rsidRPr="008F28C1">
        <w:rPr>
          <w:rStyle w:val="normaltextrun"/>
          <w:rFonts w:ascii="Times" w:hAnsi="Times"/>
        </w:rPr>
        <w:t xml:space="preserve"> </w:t>
      </w:r>
      <w:r w:rsidRPr="008F28C1">
        <w:rPr>
          <w:rStyle w:val="normaltextrun"/>
          <w:rFonts w:ascii="Times" w:hAnsi="Times"/>
        </w:rPr>
        <w:t>New Yor</w:t>
      </w:r>
      <w:r w:rsidR="001F0D1D" w:rsidRPr="008F28C1">
        <w:rPr>
          <w:rStyle w:val="normaltextrun"/>
          <w:rFonts w:ascii="Times" w:hAnsi="Times"/>
        </w:rPr>
        <w:t>k</w:t>
      </w:r>
      <w:r w:rsidRPr="008F28C1">
        <w:rPr>
          <w:rStyle w:val="normaltextrun"/>
          <w:rFonts w:ascii="Times" w:hAnsi="Times"/>
        </w:rPr>
        <w:t xml:space="preserve">, </w:t>
      </w:r>
      <w:r w:rsidR="001F0D1D" w:rsidRPr="008F28C1">
        <w:rPr>
          <w:rStyle w:val="normaltextrun"/>
          <w:rFonts w:ascii="Times" w:hAnsi="Times"/>
        </w:rPr>
        <w:t>downtown</w:t>
      </w:r>
      <w:r w:rsidRPr="008F28C1">
        <w:rPr>
          <w:rStyle w:val="normaltextrun"/>
          <w:rFonts w:ascii="Times" w:hAnsi="Times"/>
        </w:rPr>
        <w:t xml:space="preserve"> Far Rockaway, East Harlem, Inwood, the Jerome Avenue corridor in the Bronx, and Bay Street corridor in Staten Island</w:t>
      </w:r>
      <w:r w:rsidR="001F0D1D" w:rsidRPr="008F28C1">
        <w:rPr>
          <w:rStyle w:val="normaltextrun"/>
          <w:rFonts w:ascii="Times" w:hAnsi="Times"/>
        </w:rPr>
        <w:t>—are</w:t>
      </w:r>
      <w:r w:rsidRPr="008F28C1">
        <w:rPr>
          <w:rStyle w:val="normaltextrun"/>
          <w:rFonts w:ascii="Times" w:hAnsi="Times"/>
        </w:rPr>
        <w:t xml:space="preserve"> all lower-income communities of color. </w:t>
      </w:r>
    </w:p>
    <w:p w14:paraId="488B6FDA" w14:textId="77777777" w:rsidR="002727FE" w:rsidRPr="008F28C1" w:rsidRDefault="006D6CD2" w:rsidP="006D6CD2">
      <w:pPr>
        <w:pStyle w:val="paragraph"/>
        <w:spacing w:before="0" w:beforeAutospacing="0" w:after="0" w:afterAutospacing="0" w:line="480" w:lineRule="auto"/>
        <w:ind w:firstLine="360"/>
        <w:jc w:val="both"/>
        <w:textAlignment w:val="baseline"/>
        <w:rPr>
          <w:rFonts w:ascii="Times" w:hAnsi="Times"/>
        </w:rPr>
      </w:pPr>
      <w:r w:rsidRPr="008F28C1">
        <w:rPr>
          <w:rStyle w:val="normaltextrun"/>
          <w:rFonts w:ascii="Times" w:hAnsi="Times"/>
        </w:rPr>
        <w:t xml:space="preserve">As New Yorkers continue to push for fair housing and racial equity, </w:t>
      </w:r>
      <w:r w:rsidR="009A0168">
        <w:rPr>
          <w:rStyle w:val="normaltextrun"/>
          <w:rFonts w:ascii="Times" w:hAnsi="Times"/>
        </w:rPr>
        <w:t>developing tools to achieve these goals in the context of the land use approval process is of the utmost importance</w:t>
      </w:r>
      <w:r w:rsidRPr="008F28C1">
        <w:rPr>
          <w:rStyle w:val="normaltextrun"/>
          <w:rFonts w:ascii="Times" w:hAnsi="Times"/>
        </w:rPr>
        <w:t>.</w:t>
      </w:r>
      <w:r w:rsidRPr="008F28C1">
        <w:rPr>
          <w:rStyle w:val="FootnoteReference"/>
          <w:rFonts w:ascii="Times" w:hAnsi="Times"/>
        </w:rPr>
        <w:footnoteReference w:id="7"/>
      </w:r>
      <w:r w:rsidRPr="008F28C1">
        <w:rPr>
          <w:rStyle w:val="normaltextrun"/>
          <w:rFonts w:ascii="Times" w:hAnsi="Times"/>
        </w:rPr>
        <w:t xml:space="preserve"> </w:t>
      </w:r>
    </w:p>
    <w:p w14:paraId="284ECEBF" w14:textId="77777777" w:rsidR="000D2B84" w:rsidRPr="008F28C1" w:rsidRDefault="00133A5F" w:rsidP="006D6CD2">
      <w:pPr>
        <w:pStyle w:val="ListParagraph"/>
        <w:numPr>
          <w:ilvl w:val="0"/>
          <w:numId w:val="1"/>
        </w:numPr>
        <w:spacing w:after="0" w:line="480" w:lineRule="auto"/>
        <w:jc w:val="both"/>
        <w:rPr>
          <w:rFonts w:ascii="Times" w:eastAsia="Times New Roman" w:hAnsi="Times"/>
          <w:b/>
          <w:smallCaps/>
          <w:sz w:val="24"/>
          <w:szCs w:val="24"/>
          <w:u w:val="single"/>
        </w:rPr>
      </w:pPr>
      <w:r w:rsidRPr="008F28C1">
        <w:rPr>
          <w:rFonts w:ascii="Times" w:eastAsia="Times New Roman" w:hAnsi="Times"/>
          <w:b/>
          <w:smallCaps/>
          <w:sz w:val="24"/>
          <w:szCs w:val="24"/>
          <w:u w:val="single"/>
        </w:rPr>
        <w:t>Summary of</w:t>
      </w:r>
      <w:r w:rsidR="00CB72B9">
        <w:rPr>
          <w:rFonts w:ascii="Times" w:eastAsia="Times New Roman" w:hAnsi="Times"/>
          <w:b/>
          <w:smallCaps/>
          <w:sz w:val="24"/>
          <w:szCs w:val="24"/>
          <w:u w:val="single"/>
        </w:rPr>
        <w:t xml:space="preserve"> Proposed Int. 1572-B</w:t>
      </w:r>
      <w:r w:rsidRPr="008F28C1">
        <w:rPr>
          <w:rFonts w:ascii="Times" w:eastAsia="Times New Roman" w:hAnsi="Times"/>
          <w:b/>
          <w:smallCaps/>
          <w:sz w:val="24"/>
          <w:szCs w:val="24"/>
          <w:u w:val="single"/>
        </w:rPr>
        <w:t xml:space="preserve"> </w:t>
      </w:r>
    </w:p>
    <w:p w14:paraId="725E32FA" w14:textId="77777777" w:rsidR="000F6A4E" w:rsidRDefault="007365D4" w:rsidP="000F6A4E">
      <w:pPr>
        <w:pStyle w:val="paragraph"/>
        <w:spacing w:before="0" w:beforeAutospacing="0" w:after="0" w:afterAutospacing="0" w:line="480" w:lineRule="auto"/>
        <w:ind w:firstLine="360"/>
        <w:jc w:val="both"/>
        <w:textAlignment w:val="baseline"/>
      </w:pPr>
      <w:r w:rsidRPr="008F28C1">
        <w:rPr>
          <w:rStyle w:val="normaltextrun"/>
          <w:rFonts w:ascii="Times" w:hAnsi="Times"/>
          <w:color w:val="221E1F"/>
        </w:rPr>
        <w:t xml:space="preserve">To </w:t>
      </w:r>
      <w:r w:rsidR="001D40B2" w:rsidRPr="008F28C1">
        <w:rPr>
          <w:rStyle w:val="normaltextrun"/>
          <w:rFonts w:ascii="Times" w:hAnsi="Times"/>
          <w:color w:val="221E1F"/>
        </w:rPr>
        <w:t xml:space="preserve">help </w:t>
      </w:r>
      <w:r w:rsidRPr="008F28C1">
        <w:rPr>
          <w:rStyle w:val="normaltextrun"/>
          <w:rFonts w:ascii="Times" w:hAnsi="Times"/>
          <w:color w:val="221E1F"/>
        </w:rPr>
        <w:t xml:space="preserve">inform land use policy decisions, this legislation proposes to require </w:t>
      </w:r>
      <w:r w:rsidR="007D3D2A" w:rsidRPr="008F28C1">
        <w:rPr>
          <w:rStyle w:val="normaltextrun"/>
          <w:rFonts w:ascii="Times" w:hAnsi="Times"/>
          <w:color w:val="221E1F"/>
        </w:rPr>
        <w:t>a citywide equitable development data tool</w:t>
      </w:r>
      <w:r w:rsidR="0054024D">
        <w:rPr>
          <w:rStyle w:val="normaltextrun"/>
          <w:rFonts w:ascii="Times" w:hAnsi="Times"/>
          <w:color w:val="221E1F"/>
        </w:rPr>
        <w:t xml:space="preserve"> (“data tool”)</w:t>
      </w:r>
      <w:r w:rsidR="007D3D2A" w:rsidRPr="008F28C1">
        <w:rPr>
          <w:rStyle w:val="normaltextrun"/>
          <w:rFonts w:ascii="Times" w:hAnsi="Times"/>
          <w:color w:val="221E1F"/>
        </w:rPr>
        <w:t xml:space="preserve"> and </w:t>
      </w:r>
      <w:r w:rsidR="006E343B" w:rsidRPr="008F28C1">
        <w:rPr>
          <w:rStyle w:val="normaltextrun"/>
          <w:rFonts w:ascii="Times" w:hAnsi="Times"/>
          <w:color w:val="221E1F"/>
        </w:rPr>
        <w:t>racial equity reports on housing and opportunity</w:t>
      </w:r>
      <w:r w:rsidR="0054024D">
        <w:rPr>
          <w:rStyle w:val="normaltextrun"/>
          <w:rFonts w:ascii="Times" w:hAnsi="Times"/>
          <w:color w:val="221E1F"/>
        </w:rPr>
        <w:t xml:space="preserve"> (“racial equity reports”)</w:t>
      </w:r>
      <w:r w:rsidR="006E343B" w:rsidRPr="008F28C1">
        <w:rPr>
          <w:rStyle w:val="normaltextrun"/>
          <w:rFonts w:ascii="Times" w:hAnsi="Times"/>
          <w:color w:val="221E1F"/>
        </w:rPr>
        <w:t xml:space="preserve">. </w:t>
      </w:r>
      <w:r w:rsidR="005C24AC" w:rsidRPr="008F28C1">
        <w:rPr>
          <w:rStyle w:val="normaltextrun"/>
          <w:rFonts w:ascii="Times" w:hAnsi="Times"/>
          <w:color w:val="221E1F"/>
        </w:rPr>
        <w:t>The data tool</w:t>
      </w:r>
      <w:r w:rsidR="005C24AC" w:rsidRPr="0045703F">
        <w:rPr>
          <w:rStyle w:val="normaltextrun"/>
          <w:rFonts w:ascii="Times" w:hAnsi="Times"/>
          <w:color w:val="221E1F"/>
        </w:rPr>
        <w:t xml:space="preserve"> </w:t>
      </w:r>
      <w:r w:rsidR="005B415B" w:rsidRPr="0045703F">
        <w:rPr>
          <w:rStyle w:val="normaltextrun"/>
          <w:rFonts w:ascii="Times" w:hAnsi="Times"/>
          <w:color w:val="221E1F"/>
        </w:rPr>
        <w:t>will be</w:t>
      </w:r>
      <w:r w:rsidR="006415D7">
        <w:rPr>
          <w:rStyle w:val="normaltextrun"/>
          <w:rFonts w:ascii="Times" w:hAnsi="Times"/>
          <w:color w:val="221E1F"/>
        </w:rPr>
        <w:t xml:space="preserve"> produced by the Department of City Planning and Department of Hou</w:t>
      </w:r>
      <w:r w:rsidR="0034767F">
        <w:rPr>
          <w:rStyle w:val="normaltextrun"/>
          <w:rFonts w:ascii="Times" w:hAnsi="Times"/>
          <w:color w:val="221E1F"/>
        </w:rPr>
        <w:t>sing Preservation and Developme</w:t>
      </w:r>
      <w:r w:rsidR="006415D7">
        <w:rPr>
          <w:rStyle w:val="normaltextrun"/>
          <w:rFonts w:ascii="Times" w:hAnsi="Times"/>
          <w:color w:val="221E1F"/>
        </w:rPr>
        <w:t>n</w:t>
      </w:r>
      <w:r w:rsidR="0034767F">
        <w:rPr>
          <w:rStyle w:val="normaltextrun"/>
          <w:rFonts w:ascii="Times" w:hAnsi="Times"/>
          <w:color w:val="221E1F"/>
        </w:rPr>
        <w:t>t</w:t>
      </w:r>
      <w:r w:rsidR="006415D7">
        <w:rPr>
          <w:rStyle w:val="normaltextrun"/>
          <w:rFonts w:ascii="Times" w:hAnsi="Times"/>
          <w:color w:val="221E1F"/>
        </w:rPr>
        <w:t xml:space="preserve"> and put</w:t>
      </w:r>
      <w:r w:rsidR="000F6A4E">
        <w:rPr>
          <w:rStyle w:val="normaltextrun"/>
          <w:rFonts w:ascii="Times" w:hAnsi="Times"/>
          <w:color w:val="221E1F"/>
        </w:rPr>
        <w:t xml:space="preserve"> online for public use </w:t>
      </w:r>
      <w:r w:rsidR="000F6A4E" w:rsidRPr="003E1056">
        <w:t>with citywide, boroughwide, community district, and neighborhood-level data in the following categories:</w:t>
      </w:r>
      <w:r w:rsidR="000F6A4E">
        <w:t xml:space="preserve"> d</w:t>
      </w:r>
      <w:r w:rsidR="000F6A4E" w:rsidRPr="003E1056">
        <w:t xml:space="preserve">emographic conditions, </w:t>
      </w:r>
      <w:r w:rsidR="000F6A4E">
        <w:t>e</w:t>
      </w:r>
      <w:r w:rsidR="000F6A4E" w:rsidRPr="003E1056">
        <w:t xml:space="preserve">conomic security, </w:t>
      </w:r>
      <w:r w:rsidR="000F6A4E" w:rsidRPr="000F6A4E">
        <w:rPr>
          <w:color w:val="000000"/>
        </w:rPr>
        <w:t xml:space="preserve">neighborhood quality of life and access to opportunity, </w:t>
      </w:r>
      <w:r w:rsidR="000F6A4E">
        <w:t>h</w:t>
      </w:r>
      <w:r w:rsidR="000F6A4E" w:rsidRPr="003E1056">
        <w:t>ousing security</w:t>
      </w:r>
      <w:r w:rsidR="000F6A4E">
        <w:t>/</w:t>
      </w:r>
      <w:r w:rsidR="000F6A4E" w:rsidRPr="003E1056">
        <w:t>affordability</w:t>
      </w:r>
      <w:r w:rsidR="000F6A4E">
        <w:t>/</w:t>
      </w:r>
      <w:r w:rsidR="000F6A4E" w:rsidRPr="003E1056">
        <w:t>quality</w:t>
      </w:r>
      <w:r w:rsidR="000F6A4E">
        <w:t xml:space="preserve"> and h</w:t>
      </w:r>
      <w:r w:rsidR="000F6A4E" w:rsidRPr="003E1056">
        <w:t>ousing production</w:t>
      </w:r>
      <w:r w:rsidR="000F6A4E">
        <w:t>. It will also include a</w:t>
      </w:r>
      <w:r w:rsidR="000F6A4E">
        <w:rPr>
          <w:u w:val="single"/>
        </w:rPr>
        <w:t xml:space="preserve"> </w:t>
      </w:r>
      <w:r w:rsidR="000F6A4E" w:rsidRPr="003E1056">
        <w:t>Displacement Risk Index comprised of indicators of population vulnerability, housing conditions, and neighborhood change that will deliver information to the public on housing vulnerability and the risk of displacement</w:t>
      </w:r>
      <w:r w:rsidR="000F6A4E" w:rsidRPr="000F6A4E">
        <w:t>. T</w:t>
      </w:r>
      <w:r w:rsidR="000F6A4E">
        <w:t>he e</w:t>
      </w:r>
      <w:r w:rsidR="000F6A4E" w:rsidRPr="003E1056">
        <w:t xml:space="preserve">quitable </w:t>
      </w:r>
      <w:r w:rsidR="000F6A4E">
        <w:t>development data t</w:t>
      </w:r>
      <w:r w:rsidR="000F6A4E" w:rsidRPr="003E1056">
        <w:t xml:space="preserve">ool will present this data disaggregated by race and ethnicity where possible (for example – median income for White, Black, Latino, and Asian households, not just all households), and with </w:t>
      </w:r>
      <w:r w:rsidR="000F6A4E">
        <w:t>a historical</w:t>
      </w:r>
      <w:r w:rsidR="000F6A4E" w:rsidRPr="003E1056">
        <w:t xml:space="preserve"> look-back for trends wherever such data is available. It will help establish a new shared understanding of conditions in the city and </w:t>
      </w:r>
      <w:r w:rsidR="000F6A4E">
        <w:t>inform</w:t>
      </w:r>
      <w:r w:rsidR="000F6A4E" w:rsidRPr="003E1056">
        <w:t xml:space="preserve"> our land use and housing policy to help better address the inequality and challenges facing communities of color.</w:t>
      </w:r>
    </w:p>
    <w:p w14:paraId="22D68680" w14:textId="77777777" w:rsidR="000F6A4E" w:rsidRDefault="000F6A4E" w:rsidP="000F6A4E">
      <w:pPr>
        <w:pStyle w:val="paragraph"/>
        <w:spacing w:before="0" w:beforeAutospacing="0" w:after="0" w:afterAutospacing="0" w:line="480" w:lineRule="auto"/>
        <w:ind w:firstLine="360"/>
        <w:jc w:val="both"/>
        <w:textAlignment w:val="baseline"/>
      </w:pPr>
      <w:r w:rsidRPr="003E1056">
        <w:t>Beginning June 2022, applicants</w:t>
      </w:r>
      <w:r>
        <w:t xml:space="preserve"> requiring land use changes that</w:t>
      </w:r>
      <w:r w:rsidRPr="003E1056">
        <w:t xml:space="preserve"> propos</w:t>
      </w:r>
      <w:r>
        <w:t>e</w:t>
      </w:r>
      <w:r w:rsidRPr="003E1056">
        <w:t xml:space="preserve"> residential projects 50,000 sqf or larger, non-residential projects 200,000 sqf or larger, citywide zoning text amendments affecting five or more community districts, or </w:t>
      </w:r>
      <w:r>
        <w:t xml:space="preserve">certain </w:t>
      </w:r>
      <w:r w:rsidRPr="003E1056">
        <w:t>downzonings or historic distric</w:t>
      </w:r>
      <w:r>
        <w:t>ts will be required to use the equitable development data tool to complete a racial equity report on housing and o</w:t>
      </w:r>
      <w:r w:rsidRPr="003E1056">
        <w:t>pportunity.</w:t>
      </w:r>
      <w:r>
        <w:t xml:space="preserve"> </w:t>
      </w:r>
      <w:r w:rsidRPr="003E1056">
        <w:t xml:space="preserve">Reports will be released at the start of </w:t>
      </w:r>
      <w:r>
        <w:t xml:space="preserve">public review </w:t>
      </w:r>
      <w:r w:rsidRPr="003E1056">
        <w:t>and are separate from CEQR documents and procedures.</w:t>
      </w:r>
    </w:p>
    <w:p w14:paraId="1AF2A2B6" w14:textId="77777777" w:rsidR="000F6A4E" w:rsidRPr="000F6A4E" w:rsidRDefault="000F6A4E" w:rsidP="000F6A4E">
      <w:pPr>
        <w:pStyle w:val="paragraph"/>
        <w:spacing w:before="0" w:beforeAutospacing="0" w:after="0" w:afterAutospacing="0" w:line="480" w:lineRule="auto"/>
        <w:ind w:firstLine="360"/>
        <w:jc w:val="both"/>
        <w:textAlignment w:val="baseline"/>
        <w:rPr>
          <w:rFonts w:ascii="Times" w:hAnsi="Times"/>
          <w:color w:val="000000"/>
        </w:rPr>
      </w:pPr>
      <w:r>
        <w:t xml:space="preserve">Specifically, </w:t>
      </w:r>
      <w:r>
        <w:rPr>
          <w:rStyle w:val="normaltextrun"/>
          <w:rFonts w:ascii="Times" w:hAnsi="Times"/>
          <w:color w:val="000000"/>
        </w:rPr>
        <w:t xml:space="preserve">covered applications are: those that propose to amend the zoning resolution and would affect five or more community districts, those that designate historic districts and affect at least four city blocks, those ULURP applications that seek approval to acquire or dispose land for a non-residential project with at least 50,000 square feet, those ULURP applications that seek approval to acquire or dispose of land to for a residential project for a building containing 50,000 square feet of floor area and excluding preservation projects, those ULURP applications that  propose to increase residential floor area by at least 50,000 square feet, those ULURP applications that propose to increase permitted non-residential floor area by at least 200,000 square feet, or ULURP applications that propose to decrease permitted floor area or the number of housing units on at least four contiguous city blocks. However, in addition to the foregoing, in manufacturing districts, a ULURP application for a zoning map change or a special permit, or a zoning text amendment which would change floor area allowed for uses in manufacturing districts or the use regulations of a manufacturing district, related to a building containing at least 100,000 square feet </w:t>
      </w:r>
      <w:r w:rsidRPr="00795F6A">
        <w:rPr>
          <w:rStyle w:val="normaltextrun"/>
          <w:rFonts w:ascii="Times" w:hAnsi="Times"/>
          <w:color w:val="000000"/>
        </w:rPr>
        <w:t>of non-residential floor area,</w:t>
      </w:r>
      <w:r>
        <w:rPr>
          <w:rStyle w:val="normaltextrun"/>
          <w:rFonts w:ascii="Times" w:hAnsi="Times"/>
          <w:color w:val="000000"/>
        </w:rPr>
        <w:t xml:space="preserve"> would also be required to provide a racial equity report.  </w:t>
      </w:r>
    </w:p>
    <w:p w14:paraId="6958DB29" w14:textId="77777777" w:rsidR="000F6A4E" w:rsidRDefault="000F6A4E" w:rsidP="000F6A4E">
      <w:pPr>
        <w:pStyle w:val="paragraph"/>
        <w:spacing w:before="0" w:beforeAutospacing="0" w:after="0" w:afterAutospacing="0" w:line="480" w:lineRule="auto"/>
        <w:ind w:firstLine="360"/>
        <w:jc w:val="both"/>
        <w:textAlignment w:val="baseline"/>
      </w:pPr>
      <w:r w:rsidRPr="003E1056">
        <w:t>The applicant will pull data from the Equitable Development Data Tool approximating a half mile radius study area and present the data in a report</w:t>
      </w:r>
      <w:r>
        <w:t>. The report will include a</w:t>
      </w:r>
      <w:r w:rsidRPr="003E1056">
        <w:t xml:space="preserve"> “community profile” of existing conditions in the local area by the categorie</w:t>
      </w:r>
      <w:r>
        <w:t>s of data included in the equitable development data t</w:t>
      </w:r>
      <w:r w:rsidRPr="003E1056">
        <w:t>ool</w:t>
      </w:r>
      <w:r>
        <w:t>. The report will also include a</w:t>
      </w:r>
      <w:r w:rsidRPr="003E1056">
        <w:t xml:space="preserve"> narrative statement of how the proposed project relates to the City’s </w:t>
      </w:r>
      <w:r>
        <w:t>f</w:t>
      </w:r>
      <w:r w:rsidRPr="003E1056">
        <w:t xml:space="preserve">air </w:t>
      </w:r>
      <w:r>
        <w:t>h</w:t>
      </w:r>
      <w:r w:rsidRPr="003E1056">
        <w:t>ousing</w:t>
      </w:r>
      <w:r>
        <w:t xml:space="preserve"> plan (Where We Live)</w:t>
      </w:r>
      <w:r w:rsidRPr="003E1056">
        <w:t xml:space="preserve"> and equitable economic development goals.</w:t>
      </w:r>
    </w:p>
    <w:p w14:paraId="10DC92D5" w14:textId="77777777" w:rsidR="000F6A4E" w:rsidRDefault="000F6A4E" w:rsidP="000F6A4E">
      <w:pPr>
        <w:pStyle w:val="paragraph"/>
        <w:spacing w:before="0" w:beforeAutospacing="0" w:after="0" w:afterAutospacing="0" w:line="480" w:lineRule="auto"/>
        <w:ind w:firstLine="360"/>
        <w:jc w:val="both"/>
        <w:textAlignment w:val="baseline"/>
      </w:pPr>
      <w:r w:rsidRPr="003E1056">
        <w:t>In addition, residential projects will have to state the expected rents for all units (including market-rate and affordable) and the household incomes needed to afford the units without incurring housing cost burden</w:t>
      </w:r>
      <w:r>
        <w:t>.  The data presented from the equitable development data t</w:t>
      </w:r>
      <w:r w:rsidRPr="003E1056">
        <w:t>ool will provide new insights on the race/ethnicity of the households that are able to afford the expected units and what kinds of households have been applying for and securing units through HPD lotteries in the area.</w:t>
      </w:r>
    </w:p>
    <w:p w14:paraId="78F9AE2C" w14:textId="77777777" w:rsidR="000F6A4E" w:rsidRDefault="000F6A4E" w:rsidP="000F6A4E">
      <w:pPr>
        <w:pStyle w:val="paragraph"/>
        <w:spacing w:before="0" w:beforeAutospacing="0" w:after="0" w:afterAutospacing="0" w:line="480" w:lineRule="auto"/>
        <w:ind w:firstLine="360"/>
        <w:jc w:val="both"/>
        <w:textAlignment w:val="baseline"/>
      </w:pPr>
      <w:r w:rsidRPr="003E1056">
        <w:t>Non-residential projects proposing specific uses (like a new hospital or tech company headquarters) will have to analyze the projected number of jobs likely to be created by sector or occupation and the race/ethnicity and educational attainment of the workforce in those sectors.</w:t>
      </w:r>
    </w:p>
    <w:p w14:paraId="1D9BC20D" w14:textId="77777777" w:rsidR="000F6A4E" w:rsidRPr="000F6A4E" w:rsidRDefault="000F6A4E" w:rsidP="000F6A4E">
      <w:pPr>
        <w:pStyle w:val="paragraph"/>
        <w:spacing w:before="0" w:beforeAutospacing="0" w:after="0" w:afterAutospacing="0" w:line="480" w:lineRule="auto"/>
        <w:ind w:firstLine="360"/>
        <w:jc w:val="both"/>
        <w:textAlignment w:val="baseline"/>
        <w:rPr>
          <w:rFonts w:ascii="Times" w:hAnsi="Times"/>
          <w:color w:val="221E1F"/>
        </w:rPr>
      </w:pPr>
      <w:r w:rsidRPr="00710138">
        <w:t xml:space="preserve">This bill would take effect </w:t>
      </w:r>
      <w:r>
        <w:t>immediately, however the equitable development data tool would not be required to be available for public use until April 1, 2022, and racial equity reports on housing and opportunity will not be required for applications submitted prior to June 1, 2002.</w:t>
      </w:r>
    </w:p>
    <w:p w14:paraId="7B702E22" w14:textId="77777777" w:rsidR="000F6A4E" w:rsidRDefault="000F6A4E" w:rsidP="00943736">
      <w:pPr>
        <w:pStyle w:val="paragraph"/>
        <w:spacing w:before="0" w:beforeAutospacing="0" w:after="0" w:afterAutospacing="0" w:line="480" w:lineRule="auto"/>
        <w:ind w:firstLine="360"/>
        <w:jc w:val="both"/>
        <w:textAlignment w:val="baseline"/>
        <w:rPr>
          <w:rStyle w:val="normaltextrun"/>
          <w:rFonts w:ascii="Times" w:hAnsi="Times"/>
          <w:color w:val="221E1F"/>
        </w:rPr>
      </w:pPr>
    </w:p>
    <w:p w14:paraId="19A6BE26" w14:textId="77777777" w:rsidR="000F6A4E" w:rsidRDefault="000F6A4E" w:rsidP="00943736">
      <w:pPr>
        <w:pStyle w:val="paragraph"/>
        <w:spacing w:before="0" w:beforeAutospacing="0" w:after="0" w:afterAutospacing="0" w:line="480" w:lineRule="auto"/>
        <w:ind w:firstLine="360"/>
        <w:jc w:val="both"/>
        <w:textAlignment w:val="baseline"/>
        <w:rPr>
          <w:rStyle w:val="normaltextrun"/>
          <w:rFonts w:ascii="Times" w:hAnsi="Times"/>
          <w:color w:val="221E1F"/>
        </w:rPr>
      </w:pPr>
    </w:p>
    <w:p w14:paraId="2CD96B95" w14:textId="77777777" w:rsidR="000F6A4E" w:rsidRDefault="000F6A4E" w:rsidP="00943736">
      <w:pPr>
        <w:pStyle w:val="paragraph"/>
        <w:spacing w:before="0" w:beforeAutospacing="0" w:after="0" w:afterAutospacing="0" w:line="480" w:lineRule="auto"/>
        <w:ind w:firstLine="360"/>
        <w:jc w:val="both"/>
        <w:textAlignment w:val="baseline"/>
        <w:rPr>
          <w:rStyle w:val="normaltextrun"/>
          <w:rFonts w:ascii="Times" w:hAnsi="Times"/>
          <w:color w:val="221E1F"/>
        </w:rPr>
      </w:pPr>
    </w:p>
    <w:p w14:paraId="2C00FA50" w14:textId="77777777" w:rsidR="000F6A4E" w:rsidRDefault="000F6A4E" w:rsidP="00943736">
      <w:pPr>
        <w:pStyle w:val="paragraph"/>
        <w:spacing w:before="0" w:beforeAutospacing="0" w:after="0" w:afterAutospacing="0" w:line="480" w:lineRule="auto"/>
        <w:ind w:firstLine="360"/>
        <w:jc w:val="both"/>
        <w:textAlignment w:val="baseline"/>
        <w:rPr>
          <w:rStyle w:val="normaltextrun"/>
          <w:rFonts w:ascii="Times" w:hAnsi="Times"/>
          <w:color w:val="221E1F"/>
        </w:rPr>
      </w:pPr>
    </w:p>
    <w:p w14:paraId="3C8F97F8" w14:textId="77777777" w:rsidR="00CD185F" w:rsidRDefault="00941CFB" w:rsidP="00943736">
      <w:pPr>
        <w:pStyle w:val="paragraph"/>
        <w:spacing w:before="0" w:beforeAutospacing="0" w:after="0" w:afterAutospacing="0" w:line="480" w:lineRule="auto"/>
        <w:ind w:firstLine="360"/>
        <w:jc w:val="both"/>
        <w:textAlignment w:val="baseline"/>
        <w:rPr>
          <w:rStyle w:val="normaltextrun"/>
          <w:rFonts w:ascii="Times" w:hAnsi="Times"/>
          <w:color w:val="000000"/>
        </w:rPr>
      </w:pPr>
      <w:r>
        <w:rPr>
          <w:rStyle w:val="normaltextrun"/>
          <w:rFonts w:ascii="Times" w:hAnsi="Times"/>
          <w:color w:val="000000"/>
        </w:rPr>
        <w:t xml:space="preserve">All racial equity reports would require </w:t>
      </w:r>
      <w:r w:rsidR="008150C2">
        <w:rPr>
          <w:rStyle w:val="normaltextrun"/>
          <w:rFonts w:ascii="Times" w:hAnsi="Times"/>
          <w:color w:val="000000"/>
        </w:rPr>
        <w:t>an executive summary written in plain language</w:t>
      </w:r>
      <w:r w:rsidR="008D6B2B">
        <w:rPr>
          <w:rStyle w:val="normaltextrun"/>
          <w:rFonts w:ascii="Times" w:hAnsi="Times"/>
          <w:color w:val="000000"/>
        </w:rPr>
        <w:t xml:space="preserve"> as well as a summary of data on the existing conditions and trends of the prior two decades in the </w:t>
      </w:r>
      <w:r w:rsidR="008F7324">
        <w:rPr>
          <w:rStyle w:val="normaltextrun"/>
          <w:rFonts w:ascii="Times" w:hAnsi="Times"/>
          <w:color w:val="000000"/>
        </w:rPr>
        <w:t>community as well as</w:t>
      </w:r>
      <w:r w:rsidR="006137AF">
        <w:rPr>
          <w:rStyle w:val="normaltextrun"/>
          <w:rFonts w:ascii="Times" w:hAnsi="Times"/>
          <w:color w:val="000000"/>
        </w:rPr>
        <w:t xml:space="preserve"> a comparison of </w:t>
      </w:r>
      <w:r w:rsidR="00DA134B">
        <w:rPr>
          <w:rStyle w:val="normaltextrun"/>
          <w:rFonts w:ascii="Times" w:hAnsi="Times"/>
          <w:color w:val="000000"/>
        </w:rPr>
        <w:t xml:space="preserve">community data with the </w:t>
      </w:r>
      <w:r w:rsidR="00FA418E">
        <w:rPr>
          <w:rStyle w:val="normaltextrun"/>
          <w:rFonts w:ascii="Times" w:hAnsi="Times"/>
          <w:color w:val="000000"/>
        </w:rPr>
        <w:t>r</w:t>
      </w:r>
      <w:r w:rsidR="00E76838">
        <w:rPr>
          <w:rStyle w:val="normaltextrun"/>
          <w:rFonts w:ascii="Times" w:hAnsi="Times"/>
          <w:color w:val="000000"/>
        </w:rPr>
        <w:t>est of the borough and citywide</w:t>
      </w:r>
      <w:r w:rsidR="008150C2">
        <w:rPr>
          <w:rStyle w:val="normaltextrun"/>
          <w:rFonts w:ascii="Times" w:hAnsi="Times"/>
          <w:color w:val="000000"/>
        </w:rPr>
        <w:t>.</w:t>
      </w:r>
      <w:r w:rsidR="00796EB6">
        <w:rPr>
          <w:rStyle w:val="normaltextrun"/>
          <w:rFonts w:ascii="Times" w:hAnsi="Times"/>
          <w:color w:val="000000"/>
        </w:rPr>
        <w:t xml:space="preserve"> </w:t>
      </w:r>
      <w:r w:rsidR="00096C19">
        <w:rPr>
          <w:rStyle w:val="normaltextrun"/>
          <w:rFonts w:ascii="Times" w:hAnsi="Times"/>
          <w:color w:val="000000"/>
        </w:rPr>
        <w:t>The racial equity report will also</w:t>
      </w:r>
      <w:r w:rsidR="00B02502">
        <w:rPr>
          <w:rStyle w:val="normaltextrun"/>
          <w:rFonts w:ascii="Times" w:hAnsi="Times"/>
          <w:color w:val="000000"/>
        </w:rPr>
        <w:t xml:space="preserve"> estimate of the number of construction jobs to be created by the project</w:t>
      </w:r>
      <w:r w:rsidR="001E1B72">
        <w:rPr>
          <w:rStyle w:val="normaltextrun"/>
          <w:rFonts w:ascii="Times" w:hAnsi="Times"/>
          <w:color w:val="000000"/>
        </w:rPr>
        <w:t>.</w:t>
      </w:r>
    </w:p>
    <w:p w14:paraId="6BC5D4D1" w14:textId="77777777" w:rsidR="00B534E7" w:rsidRPr="002E6427" w:rsidRDefault="00CD185F" w:rsidP="00943736">
      <w:pPr>
        <w:pStyle w:val="paragraph"/>
        <w:spacing w:before="0" w:beforeAutospacing="0" w:after="0" w:afterAutospacing="0" w:line="480" w:lineRule="auto"/>
        <w:ind w:firstLine="360"/>
        <w:jc w:val="both"/>
        <w:textAlignment w:val="baseline"/>
        <w:rPr>
          <w:rFonts w:ascii="Times" w:hAnsi="Times"/>
          <w:color w:val="000000"/>
        </w:rPr>
      </w:pPr>
      <w:r>
        <w:rPr>
          <w:rStyle w:val="normaltextrun"/>
          <w:rFonts w:ascii="Times" w:hAnsi="Times"/>
          <w:color w:val="000000"/>
        </w:rPr>
        <w:t xml:space="preserve">Project applicants that do not provide a racial equity report </w:t>
      </w:r>
      <w:r w:rsidR="00B04CF7">
        <w:rPr>
          <w:rStyle w:val="normaltextrun"/>
          <w:rFonts w:ascii="Times" w:hAnsi="Times"/>
          <w:color w:val="000000"/>
        </w:rPr>
        <w:t xml:space="preserve">will be identified on </w:t>
      </w:r>
      <w:r w:rsidR="007D73B4">
        <w:rPr>
          <w:rStyle w:val="normaltextrun"/>
          <w:rFonts w:ascii="Times" w:hAnsi="Times"/>
          <w:color w:val="000000"/>
        </w:rPr>
        <w:t>the</w:t>
      </w:r>
      <w:r w:rsidR="00F2625D">
        <w:rPr>
          <w:rStyle w:val="normaltextrun"/>
          <w:rFonts w:ascii="Times" w:hAnsi="Times"/>
          <w:color w:val="000000"/>
        </w:rPr>
        <w:t xml:space="preserve"> city website</w:t>
      </w:r>
      <w:r w:rsidR="00657628">
        <w:rPr>
          <w:rStyle w:val="normaltextrun"/>
          <w:rFonts w:ascii="Times" w:hAnsi="Times"/>
          <w:color w:val="000000"/>
        </w:rPr>
        <w:t xml:space="preserve">, and </w:t>
      </w:r>
      <w:r w:rsidR="00540356">
        <w:rPr>
          <w:rStyle w:val="normaltextrun"/>
          <w:rFonts w:ascii="Times" w:hAnsi="Times"/>
          <w:color w:val="000000"/>
        </w:rPr>
        <w:t xml:space="preserve">those required to receive a </w:t>
      </w:r>
      <w:r w:rsidR="00F05301">
        <w:rPr>
          <w:rStyle w:val="normaltextrun"/>
          <w:rFonts w:ascii="Times" w:hAnsi="Times"/>
          <w:color w:val="000000"/>
        </w:rPr>
        <w:t xml:space="preserve">racial equity </w:t>
      </w:r>
      <w:r w:rsidR="00540356">
        <w:rPr>
          <w:rStyle w:val="normaltextrun"/>
          <w:rFonts w:ascii="Times" w:hAnsi="Times"/>
          <w:color w:val="000000"/>
        </w:rPr>
        <w:t>report will be notified that the report was not submitted.</w:t>
      </w:r>
    </w:p>
    <w:p w14:paraId="1F8239F5" w14:textId="77777777" w:rsidR="00D82D4E" w:rsidRPr="002E6427" w:rsidRDefault="00D82D4E" w:rsidP="006D6CD2">
      <w:pPr>
        <w:pStyle w:val="ListParagraph"/>
        <w:numPr>
          <w:ilvl w:val="0"/>
          <w:numId w:val="1"/>
        </w:numPr>
        <w:spacing w:after="0" w:line="480" w:lineRule="auto"/>
        <w:jc w:val="both"/>
        <w:rPr>
          <w:rFonts w:ascii="Times" w:eastAsia="Times New Roman" w:hAnsi="Times"/>
          <w:b/>
          <w:smallCaps/>
          <w:sz w:val="24"/>
          <w:szCs w:val="24"/>
          <w:u w:val="single"/>
        </w:rPr>
      </w:pPr>
      <w:r w:rsidRPr="002E6427">
        <w:rPr>
          <w:rFonts w:ascii="Times" w:eastAsia="Times New Roman" w:hAnsi="Times"/>
          <w:b/>
          <w:smallCaps/>
          <w:sz w:val="24"/>
          <w:szCs w:val="24"/>
          <w:u w:val="single"/>
        </w:rPr>
        <w:t>Analysis of Legislation</w:t>
      </w:r>
    </w:p>
    <w:p w14:paraId="61F6325C" w14:textId="77777777" w:rsidR="0054418E" w:rsidRPr="0045703F" w:rsidRDefault="00E012AF" w:rsidP="00347EB6">
      <w:pPr>
        <w:spacing w:after="0" w:line="480" w:lineRule="auto"/>
        <w:ind w:firstLine="360"/>
        <w:jc w:val="both"/>
        <w:rPr>
          <w:rFonts w:ascii="Times" w:eastAsia="Times New Roman" w:hAnsi="Times"/>
          <w:color w:val="000000"/>
          <w:sz w:val="24"/>
          <w:szCs w:val="24"/>
          <w:shd w:val="clear" w:color="auto" w:fill="FFFFFF"/>
        </w:rPr>
      </w:pPr>
      <w:r w:rsidRPr="002E6427">
        <w:rPr>
          <w:rFonts w:ascii="Times" w:eastAsia="Times New Roman" w:hAnsi="Times"/>
          <w:color w:val="000000"/>
          <w:sz w:val="24"/>
          <w:szCs w:val="24"/>
          <w:shd w:val="clear" w:color="auto" w:fill="FFFFFF"/>
        </w:rPr>
        <w:t>The bill was introduced as Int. No. 1572 at a stated meeting on May 9, 2019. Int.</w:t>
      </w:r>
      <w:r w:rsidR="0054418E" w:rsidRPr="002E6427">
        <w:rPr>
          <w:rFonts w:ascii="Times" w:eastAsia="Times New Roman" w:hAnsi="Times"/>
          <w:color w:val="000000"/>
          <w:sz w:val="24"/>
          <w:szCs w:val="24"/>
          <w:shd w:val="clear" w:color="auto" w:fill="FFFFFF"/>
        </w:rPr>
        <w:t xml:space="preserve"> 1572 </w:t>
      </w:r>
      <w:r w:rsidRPr="002E6427">
        <w:rPr>
          <w:rFonts w:ascii="Times" w:eastAsia="Times New Roman" w:hAnsi="Times"/>
          <w:color w:val="000000"/>
          <w:sz w:val="24"/>
          <w:szCs w:val="24"/>
          <w:shd w:val="clear" w:color="auto" w:fill="FFFFFF"/>
        </w:rPr>
        <w:t>would have required that any E</w:t>
      </w:r>
      <w:r w:rsidR="0054418E" w:rsidRPr="002E6427">
        <w:rPr>
          <w:rFonts w:ascii="Times" w:eastAsia="Times New Roman" w:hAnsi="Times"/>
          <w:color w:val="000000"/>
          <w:sz w:val="24"/>
          <w:szCs w:val="24"/>
          <w:shd w:val="clear" w:color="auto" w:fill="FFFFFF"/>
        </w:rPr>
        <w:t xml:space="preserve">nvironmental Impact Statement </w:t>
      </w:r>
      <w:r w:rsidR="00C402B8" w:rsidRPr="002E6427">
        <w:rPr>
          <w:rFonts w:ascii="Times" w:eastAsia="Times New Roman" w:hAnsi="Times"/>
          <w:color w:val="000000"/>
          <w:sz w:val="24"/>
          <w:szCs w:val="24"/>
          <w:shd w:val="clear" w:color="auto" w:fill="FFFFFF"/>
        </w:rPr>
        <w:t xml:space="preserve">(EIS) </w:t>
      </w:r>
      <w:r w:rsidR="0054418E" w:rsidRPr="002E6427">
        <w:rPr>
          <w:rFonts w:ascii="Times" w:eastAsia="Times New Roman" w:hAnsi="Times"/>
          <w:color w:val="000000"/>
          <w:sz w:val="24"/>
          <w:szCs w:val="24"/>
          <w:shd w:val="clear" w:color="auto" w:fill="FFFFFF"/>
        </w:rPr>
        <w:t xml:space="preserve">filed </w:t>
      </w:r>
      <w:r w:rsidRPr="002E6427">
        <w:rPr>
          <w:rFonts w:ascii="Times" w:eastAsia="Times New Roman" w:hAnsi="Times"/>
          <w:color w:val="000000"/>
          <w:sz w:val="24"/>
          <w:szCs w:val="24"/>
          <w:shd w:val="clear" w:color="auto" w:fill="FFFFFF"/>
        </w:rPr>
        <w:t xml:space="preserve">in connection with an application subject to </w:t>
      </w:r>
      <w:r w:rsidR="00095D51" w:rsidRPr="002E6427">
        <w:rPr>
          <w:rFonts w:ascii="Times" w:eastAsia="Times New Roman" w:hAnsi="Times"/>
          <w:color w:val="000000"/>
          <w:sz w:val="24"/>
          <w:szCs w:val="24"/>
          <w:shd w:val="clear" w:color="auto" w:fill="FFFFFF"/>
        </w:rPr>
        <w:t>the Uniform Land Use Review Procedure (</w:t>
      </w:r>
      <w:r w:rsidRPr="002E6427">
        <w:rPr>
          <w:rFonts w:ascii="Times" w:eastAsia="Times New Roman" w:hAnsi="Times"/>
          <w:color w:val="000000"/>
          <w:sz w:val="24"/>
          <w:szCs w:val="24"/>
          <w:shd w:val="clear" w:color="auto" w:fill="FFFFFF"/>
        </w:rPr>
        <w:t>ULURP</w:t>
      </w:r>
      <w:r w:rsidR="00095D51" w:rsidRPr="002E6427">
        <w:rPr>
          <w:rFonts w:ascii="Times" w:eastAsia="Times New Roman" w:hAnsi="Times"/>
          <w:color w:val="000000"/>
          <w:sz w:val="24"/>
          <w:szCs w:val="24"/>
          <w:shd w:val="clear" w:color="auto" w:fill="FFFFFF"/>
        </w:rPr>
        <w:t>)</w:t>
      </w:r>
      <w:r w:rsidRPr="002E6427">
        <w:rPr>
          <w:rFonts w:ascii="Times" w:eastAsia="Times New Roman" w:hAnsi="Times"/>
          <w:color w:val="000000"/>
          <w:sz w:val="24"/>
          <w:szCs w:val="24"/>
          <w:shd w:val="clear" w:color="auto" w:fill="FFFFFF"/>
        </w:rPr>
        <w:t xml:space="preserve"> include an analysis of racial impacts and compliance with</w:t>
      </w:r>
      <w:r w:rsidR="0054418E" w:rsidRPr="002E6427">
        <w:rPr>
          <w:rFonts w:ascii="Times" w:eastAsia="Times New Roman" w:hAnsi="Times"/>
          <w:color w:val="000000"/>
          <w:sz w:val="24"/>
          <w:szCs w:val="24"/>
          <w:shd w:val="clear" w:color="auto" w:fill="FFFFFF"/>
        </w:rPr>
        <w:t xml:space="preserve"> affirmatively further</w:t>
      </w:r>
      <w:r w:rsidR="00C402B8" w:rsidRPr="002E6427">
        <w:rPr>
          <w:rFonts w:ascii="Times" w:eastAsia="Times New Roman" w:hAnsi="Times"/>
          <w:color w:val="000000"/>
          <w:sz w:val="24"/>
          <w:szCs w:val="24"/>
          <w:shd w:val="clear" w:color="auto" w:fill="FFFFFF"/>
        </w:rPr>
        <w:t>ing</w:t>
      </w:r>
      <w:r w:rsidR="0054418E" w:rsidRPr="002E6427">
        <w:rPr>
          <w:rFonts w:ascii="Times" w:eastAsia="Times New Roman" w:hAnsi="Times"/>
          <w:color w:val="000000"/>
          <w:sz w:val="24"/>
          <w:szCs w:val="24"/>
          <w:shd w:val="clear" w:color="auto" w:fill="FFFFFF"/>
        </w:rPr>
        <w:t xml:space="preserve"> fair housing </w:t>
      </w:r>
      <w:r w:rsidRPr="002E6427">
        <w:rPr>
          <w:rFonts w:ascii="Times" w:eastAsia="Times New Roman" w:hAnsi="Times"/>
          <w:color w:val="000000"/>
          <w:sz w:val="24"/>
          <w:szCs w:val="24"/>
          <w:shd w:val="clear" w:color="auto" w:fill="FFFFFF"/>
        </w:rPr>
        <w:t>regulations</w:t>
      </w:r>
      <w:r w:rsidR="0054418E" w:rsidRPr="002E6427">
        <w:rPr>
          <w:rFonts w:ascii="Times" w:eastAsia="Times New Roman" w:hAnsi="Times"/>
          <w:color w:val="000000"/>
          <w:sz w:val="24"/>
          <w:szCs w:val="24"/>
          <w:shd w:val="clear" w:color="auto" w:fill="FFFFFF"/>
        </w:rPr>
        <w:t>, as provided by the Department of Housing and Urban Development (HUD)</w:t>
      </w:r>
      <w:r w:rsidRPr="002E6427">
        <w:rPr>
          <w:rFonts w:ascii="Times" w:eastAsia="Times New Roman" w:hAnsi="Times"/>
          <w:color w:val="000000"/>
          <w:sz w:val="24"/>
          <w:szCs w:val="24"/>
          <w:shd w:val="clear" w:color="auto" w:fill="FFFFFF"/>
        </w:rPr>
        <w:t xml:space="preserve">. </w:t>
      </w:r>
      <w:r w:rsidR="0054418E" w:rsidRPr="002E6427">
        <w:rPr>
          <w:rFonts w:ascii="Times" w:eastAsia="Times New Roman" w:hAnsi="Times"/>
          <w:color w:val="000000"/>
          <w:sz w:val="24"/>
          <w:szCs w:val="24"/>
          <w:shd w:val="clear" w:color="auto" w:fill="FFFFFF"/>
        </w:rPr>
        <w:t>HUD has repealed these</w:t>
      </w:r>
      <w:r w:rsidRPr="002E6427">
        <w:rPr>
          <w:rFonts w:ascii="Times" w:eastAsia="Times New Roman" w:hAnsi="Times"/>
          <w:color w:val="000000"/>
          <w:sz w:val="24"/>
          <w:szCs w:val="24"/>
          <w:shd w:val="clear" w:color="auto" w:fill="FFFFFF"/>
        </w:rPr>
        <w:t xml:space="preserve"> regulations</w:t>
      </w:r>
      <w:r w:rsidR="0054418E" w:rsidRPr="002E6427">
        <w:rPr>
          <w:rFonts w:ascii="Times" w:eastAsia="Times New Roman" w:hAnsi="Times"/>
          <w:color w:val="000000"/>
          <w:sz w:val="24"/>
          <w:szCs w:val="24"/>
          <w:shd w:val="clear" w:color="auto" w:fill="FFFFFF"/>
        </w:rPr>
        <w:t xml:space="preserve"> since introduction.</w:t>
      </w:r>
      <w:r w:rsidR="0054418E" w:rsidRPr="0045703F">
        <w:rPr>
          <w:rStyle w:val="FootnoteReference"/>
          <w:rFonts w:ascii="Times" w:eastAsia="Times New Roman" w:hAnsi="Times"/>
          <w:color w:val="000000"/>
          <w:sz w:val="24"/>
          <w:szCs w:val="24"/>
          <w:shd w:val="clear" w:color="auto" w:fill="FFFFFF"/>
        </w:rPr>
        <w:footnoteReference w:id="8"/>
      </w:r>
    </w:p>
    <w:p w14:paraId="3CF6E2C4" w14:textId="77777777" w:rsidR="00FD57E8" w:rsidRDefault="00E012AF" w:rsidP="00FD57E8">
      <w:pPr>
        <w:spacing w:after="0" w:line="480" w:lineRule="auto"/>
        <w:ind w:firstLine="360"/>
        <w:jc w:val="both"/>
        <w:rPr>
          <w:rFonts w:ascii="Times" w:eastAsia="Times New Roman" w:hAnsi="Times"/>
          <w:color w:val="000000" w:themeColor="text1"/>
          <w:sz w:val="24"/>
          <w:szCs w:val="24"/>
        </w:rPr>
      </w:pPr>
      <w:r w:rsidRPr="0045703F">
        <w:rPr>
          <w:rFonts w:ascii="Times" w:eastAsia="Times New Roman" w:hAnsi="Times"/>
          <w:color w:val="000000"/>
          <w:sz w:val="24"/>
          <w:szCs w:val="24"/>
          <w:shd w:val="clear" w:color="auto" w:fill="FFFFFF"/>
        </w:rPr>
        <w:t>The bill was subsequently amended as Proposed Int. No.</w:t>
      </w:r>
      <w:r w:rsidR="0054418E" w:rsidRPr="0045703F">
        <w:rPr>
          <w:rFonts w:ascii="Times" w:eastAsia="Times New Roman" w:hAnsi="Times"/>
          <w:color w:val="000000"/>
          <w:sz w:val="24"/>
          <w:szCs w:val="24"/>
          <w:shd w:val="clear" w:color="auto" w:fill="FFFFFF"/>
        </w:rPr>
        <w:t>1572</w:t>
      </w:r>
      <w:r w:rsidRPr="0045703F">
        <w:rPr>
          <w:rFonts w:ascii="Times" w:eastAsia="Times New Roman" w:hAnsi="Times"/>
          <w:color w:val="000000"/>
          <w:sz w:val="24"/>
          <w:szCs w:val="24"/>
          <w:shd w:val="clear" w:color="auto" w:fill="FFFFFF"/>
        </w:rPr>
        <w:t>-A so that it would not change the form or substance of any EIS.</w:t>
      </w:r>
      <w:r w:rsidR="00951E06" w:rsidRPr="00DE1C0E">
        <w:rPr>
          <w:rFonts w:ascii="Times" w:eastAsia="Times New Roman" w:hAnsi="Times"/>
          <w:color w:val="000000"/>
          <w:sz w:val="24"/>
          <w:szCs w:val="24"/>
          <w:shd w:val="clear" w:color="auto" w:fill="FFFFFF"/>
        </w:rPr>
        <w:t xml:space="preserve"> This bill </w:t>
      </w:r>
      <w:r w:rsidR="000D3A3F" w:rsidRPr="00FD57E8">
        <w:rPr>
          <w:rFonts w:ascii="Times" w:eastAsia="Times New Roman" w:hAnsi="Times"/>
          <w:color w:val="000000"/>
          <w:sz w:val="24"/>
          <w:szCs w:val="24"/>
          <w:shd w:val="clear" w:color="auto" w:fill="FFFFFF"/>
        </w:rPr>
        <w:t xml:space="preserve">required </w:t>
      </w:r>
      <w:r w:rsidR="00A82BE6" w:rsidRPr="00FD57E8">
        <w:rPr>
          <w:rFonts w:ascii="Times" w:eastAsia="Times New Roman" w:hAnsi="Times"/>
          <w:color w:val="000000"/>
          <w:sz w:val="24"/>
          <w:szCs w:val="24"/>
          <w:shd w:val="clear" w:color="auto" w:fill="FFFFFF"/>
        </w:rPr>
        <w:t>ULURP applicants with large projects (</w:t>
      </w:r>
      <w:r w:rsidR="00976059" w:rsidRPr="00FD57E8">
        <w:rPr>
          <w:rFonts w:ascii="Times" w:eastAsia="Times New Roman" w:hAnsi="Times"/>
          <w:sz w:val="24"/>
          <w:szCs w:val="24"/>
        </w:rPr>
        <w:t>e.g. it involves at least four adjacent blocks of real property, proposes to increase permitted floor area by at least 50,000 square feet, or proposes a conversion of use of at least 50,000 square feet)</w:t>
      </w:r>
      <w:r w:rsidR="00DD66D0" w:rsidRPr="00FD57E8">
        <w:rPr>
          <w:rFonts w:ascii="Times" w:eastAsia="Times New Roman" w:hAnsi="Times"/>
          <w:sz w:val="24"/>
          <w:szCs w:val="24"/>
        </w:rPr>
        <w:t xml:space="preserve"> to prepare a racial disparity report </w:t>
      </w:r>
      <w:r w:rsidR="00811B03" w:rsidRPr="00FD57E8">
        <w:rPr>
          <w:rFonts w:ascii="Times" w:eastAsia="Times New Roman" w:hAnsi="Times"/>
          <w:sz w:val="24"/>
          <w:szCs w:val="24"/>
        </w:rPr>
        <w:t xml:space="preserve">on </w:t>
      </w:r>
      <w:r w:rsidR="00811B03" w:rsidRPr="0045703F">
        <w:rPr>
          <w:rFonts w:ascii="Times" w:eastAsia="Times New Roman" w:hAnsi="Times"/>
          <w:color w:val="000000" w:themeColor="text1"/>
          <w:sz w:val="24"/>
          <w:szCs w:val="24"/>
        </w:rPr>
        <w:t>existing demographic, social, economic, and housing conditions</w:t>
      </w:r>
      <w:r w:rsidR="003D16D9" w:rsidRPr="0045703F">
        <w:rPr>
          <w:rFonts w:ascii="Times" w:eastAsia="Times New Roman" w:hAnsi="Times"/>
          <w:color w:val="000000" w:themeColor="text1"/>
          <w:sz w:val="24"/>
          <w:szCs w:val="24"/>
        </w:rPr>
        <w:t xml:space="preserve"> </w:t>
      </w:r>
      <w:r w:rsidR="00EB7BE2" w:rsidRPr="0045703F">
        <w:rPr>
          <w:rFonts w:ascii="Times" w:eastAsia="Times New Roman" w:hAnsi="Times"/>
          <w:color w:val="000000" w:themeColor="text1"/>
          <w:sz w:val="24"/>
          <w:szCs w:val="24"/>
        </w:rPr>
        <w:t xml:space="preserve">of the project area, information about units to be built </w:t>
      </w:r>
      <w:r w:rsidR="003426E1" w:rsidRPr="0045703F">
        <w:rPr>
          <w:rFonts w:ascii="Times" w:eastAsia="Times New Roman" w:hAnsi="Times"/>
          <w:color w:val="000000" w:themeColor="text1"/>
          <w:sz w:val="24"/>
          <w:szCs w:val="24"/>
        </w:rPr>
        <w:t xml:space="preserve">in residential projects, </w:t>
      </w:r>
      <w:r w:rsidR="00B84CF6" w:rsidRPr="0045703F">
        <w:rPr>
          <w:rFonts w:ascii="Times" w:eastAsia="Times New Roman" w:hAnsi="Times"/>
          <w:color w:val="000000" w:themeColor="text1"/>
          <w:sz w:val="24"/>
          <w:szCs w:val="24"/>
        </w:rPr>
        <w:t xml:space="preserve">and </w:t>
      </w:r>
      <w:r w:rsidR="00284375">
        <w:rPr>
          <w:rFonts w:ascii="Times" w:eastAsia="Times New Roman" w:hAnsi="Times"/>
          <w:color w:val="000000" w:themeColor="text1"/>
          <w:sz w:val="24"/>
          <w:szCs w:val="24"/>
        </w:rPr>
        <w:t>expected</w:t>
      </w:r>
      <w:r w:rsidR="00210B16" w:rsidRPr="00F110BF">
        <w:rPr>
          <w:rFonts w:ascii="Times" w:eastAsia="Times New Roman" w:hAnsi="Times"/>
          <w:color w:val="000000" w:themeColor="text1"/>
          <w:sz w:val="24"/>
          <w:szCs w:val="24"/>
        </w:rPr>
        <w:t xml:space="preserve"> sectors and occupations</w:t>
      </w:r>
      <w:r w:rsidR="00905870" w:rsidRPr="00F110BF">
        <w:rPr>
          <w:rFonts w:ascii="Times" w:eastAsia="Times New Roman" w:hAnsi="Times"/>
          <w:color w:val="000000" w:themeColor="text1"/>
          <w:sz w:val="24"/>
          <w:szCs w:val="24"/>
        </w:rPr>
        <w:t xml:space="preserve"> of jobs </w:t>
      </w:r>
      <w:r w:rsidR="009E2C37" w:rsidRPr="00F110BF">
        <w:rPr>
          <w:rFonts w:ascii="Times" w:eastAsia="Times New Roman" w:hAnsi="Times"/>
          <w:color w:val="000000" w:themeColor="text1"/>
          <w:sz w:val="24"/>
          <w:szCs w:val="24"/>
        </w:rPr>
        <w:t>in non-</w:t>
      </w:r>
      <w:r w:rsidR="003426E1" w:rsidRPr="00F110BF">
        <w:rPr>
          <w:rFonts w:ascii="Times" w:eastAsia="Times New Roman" w:hAnsi="Times"/>
          <w:color w:val="000000" w:themeColor="text1"/>
          <w:sz w:val="24"/>
          <w:szCs w:val="24"/>
        </w:rPr>
        <w:t>residential</w:t>
      </w:r>
      <w:r w:rsidR="009E2C37" w:rsidRPr="00F110BF">
        <w:rPr>
          <w:rFonts w:ascii="Times" w:eastAsia="Times New Roman" w:hAnsi="Times"/>
          <w:color w:val="000000" w:themeColor="text1"/>
          <w:sz w:val="24"/>
          <w:szCs w:val="24"/>
        </w:rPr>
        <w:t xml:space="preserve"> projects.</w:t>
      </w:r>
    </w:p>
    <w:p w14:paraId="66664FE5" w14:textId="77777777" w:rsidR="00A957F6" w:rsidRDefault="00FD57E8" w:rsidP="00FD57E8">
      <w:pPr>
        <w:spacing w:after="0" w:line="480" w:lineRule="auto"/>
        <w:ind w:firstLine="360"/>
        <w:jc w:val="both"/>
        <w:rPr>
          <w:rFonts w:ascii="Times" w:eastAsia="Times New Roman" w:hAnsi="Times"/>
          <w:color w:val="000000" w:themeColor="text1"/>
          <w:sz w:val="24"/>
          <w:szCs w:val="24"/>
        </w:rPr>
      </w:pPr>
      <w:r>
        <w:rPr>
          <w:rFonts w:ascii="Times" w:eastAsia="Times New Roman" w:hAnsi="Times"/>
          <w:color w:val="000000" w:themeColor="text1"/>
          <w:sz w:val="24"/>
          <w:szCs w:val="24"/>
        </w:rPr>
        <w:t>The bill was subsequently amended as Proposed Int. No. 1572-B</w:t>
      </w:r>
      <w:r w:rsidR="00CF5B76">
        <w:rPr>
          <w:rFonts w:ascii="Times" w:eastAsia="Times New Roman" w:hAnsi="Times"/>
          <w:color w:val="000000" w:themeColor="text1"/>
          <w:sz w:val="24"/>
          <w:szCs w:val="24"/>
        </w:rPr>
        <w:t xml:space="preserve">. </w:t>
      </w:r>
      <w:r w:rsidR="00A957F6">
        <w:rPr>
          <w:rFonts w:ascii="Times" w:eastAsia="Times New Roman" w:hAnsi="Times"/>
          <w:color w:val="000000" w:themeColor="text1"/>
          <w:sz w:val="24"/>
          <w:szCs w:val="24"/>
        </w:rPr>
        <w:t xml:space="preserve">  Bill section one would amend the administrative code to add n</w:t>
      </w:r>
      <w:r w:rsidR="002B1968">
        <w:rPr>
          <w:rFonts w:ascii="Times" w:eastAsia="Times New Roman" w:hAnsi="Times"/>
          <w:color w:val="000000" w:themeColor="text1"/>
          <w:sz w:val="24"/>
          <w:szCs w:val="24"/>
        </w:rPr>
        <w:t>ew sections 27-11</w:t>
      </w:r>
      <w:r w:rsidR="00A957F6">
        <w:rPr>
          <w:rFonts w:ascii="Times" w:eastAsia="Times New Roman" w:hAnsi="Times"/>
          <w:color w:val="000000" w:themeColor="text1"/>
          <w:sz w:val="24"/>
          <w:szCs w:val="24"/>
        </w:rPr>
        <w:t>7 and 27-118, titled “Equitable development data tool” and “</w:t>
      </w:r>
      <w:r w:rsidR="00A957F6" w:rsidRPr="00A957F6">
        <w:rPr>
          <w:rFonts w:ascii="Times New Roman" w:eastAsia="Times New Roman" w:hAnsi="Times New Roman"/>
          <w:color w:val="000000"/>
          <w:sz w:val="24"/>
          <w:szCs w:val="24"/>
        </w:rPr>
        <w:t>Racial equity report on housing and opportunity</w:t>
      </w:r>
      <w:r w:rsidR="00A957F6">
        <w:rPr>
          <w:rFonts w:ascii="Times New Roman" w:eastAsia="Times New Roman" w:hAnsi="Times New Roman"/>
          <w:color w:val="000000"/>
          <w:sz w:val="24"/>
          <w:szCs w:val="24"/>
        </w:rPr>
        <w:t>”</w:t>
      </w:r>
      <w:r w:rsidR="00A957F6">
        <w:rPr>
          <w:rFonts w:ascii="Times" w:eastAsia="Times New Roman" w:hAnsi="Times"/>
          <w:color w:val="000000" w:themeColor="text1"/>
          <w:sz w:val="24"/>
          <w:szCs w:val="24"/>
        </w:rPr>
        <w:t xml:space="preserve">, respectively.    Subdivisions a of each </w:t>
      </w:r>
      <w:r w:rsidR="007C696E">
        <w:rPr>
          <w:rFonts w:ascii="Times" w:eastAsia="Times New Roman" w:hAnsi="Times"/>
          <w:color w:val="000000" w:themeColor="text1"/>
          <w:sz w:val="24"/>
          <w:szCs w:val="24"/>
        </w:rPr>
        <w:t xml:space="preserve">new </w:t>
      </w:r>
      <w:r w:rsidR="00A957F6">
        <w:rPr>
          <w:rFonts w:ascii="Times" w:eastAsia="Times New Roman" w:hAnsi="Times"/>
          <w:color w:val="000000" w:themeColor="text1"/>
          <w:sz w:val="24"/>
          <w:szCs w:val="24"/>
        </w:rPr>
        <w:t xml:space="preserve">section </w:t>
      </w:r>
      <w:r w:rsidR="007C696E">
        <w:rPr>
          <w:rFonts w:ascii="Times" w:eastAsia="Times New Roman" w:hAnsi="Times"/>
          <w:color w:val="000000" w:themeColor="text1"/>
          <w:sz w:val="24"/>
          <w:szCs w:val="24"/>
        </w:rPr>
        <w:t>set forth</w:t>
      </w:r>
      <w:r w:rsidR="00A957F6">
        <w:rPr>
          <w:rFonts w:ascii="Times" w:eastAsia="Times New Roman" w:hAnsi="Times"/>
          <w:color w:val="000000" w:themeColor="text1"/>
          <w:sz w:val="24"/>
          <w:szCs w:val="24"/>
        </w:rPr>
        <w:t xml:space="preserve"> defined terms applicable therein.  Such defined terms primarily relate to levels of affordability.   </w:t>
      </w:r>
      <w:r w:rsidR="002B1968">
        <w:rPr>
          <w:rFonts w:ascii="Times" w:eastAsia="Times New Roman" w:hAnsi="Times"/>
          <w:color w:val="000000" w:themeColor="text1"/>
          <w:sz w:val="24"/>
          <w:szCs w:val="24"/>
        </w:rPr>
        <w:t xml:space="preserve">The implementing agency is defined as the department of housing preservation and development and department of city planning for purposes of the equitable development data tool, and as an agency designated by the mayor for purposes of racial equity reports. </w:t>
      </w:r>
    </w:p>
    <w:p w14:paraId="7E13E419" w14:textId="08ED6760" w:rsidR="00FC1863" w:rsidRPr="008869C2" w:rsidRDefault="00FC33A8" w:rsidP="00FD57E8">
      <w:pPr>
        <w:spacing w:after="0" w:line="480" w:lineRule="auto"/>
        <w:ind w:firstLine="360"/>
        <w:jc w:val="both"/>
        <w:rPr>
          <w:rFonts w:ascii="Times" w:eastAsia="Times New Roman" w:hAnsi="Times"/>
          <w:color w:val="000000" w:themeColor="text1"/>
          <w:sz w:val="24"/>
          <w:szCs w:val="24"/>
        </w:rPr>
      </w:pPr>
      <w:r>
        <w:rPr>
          <w:rFonts w:ascii="Times" w:eastAsia="Times New Roman" w:hAnsi="Times"/>
          <w:color w:val="000000" w:themeColor="text1"/>
          <w:sz w:val="24"/>
          <w:szCs w:val="24"/>
        </w:rPr>
        <w:t>The bill</w:t>
      </w:r>
      <w:r w:rsidR="0028440F">
        <w:rPr>
          <w:rFonts w:ascii="Times" w:eastAsia="Times New Roman" w:hAnsi="Times"/>
          <w:color w:val="000000" w:themeColor="text1"/>
          <w:sz w:val="24"/>
          <w:szCs w:val="24"/>
        </w:rPr>
        <w:t xml:space="preserve"> added to</w:t>
      </w:r>
      <w:r w:rsidR="00AF734E">
        <w:rPr>
          <w:rFonts w:ascii="Times" w:eastAsia="Times New Roman" w:hAnsi="Times"/>
          <w:color w:val="000000" w:themeColor="text1"/>
          <w:sz w:val="24"/>
          <w:szCs w:val="24"/>
        </w:rPr>
        <w:t xml:space="preserve"> </w:t>
      </w:r>
      <w:r w:rsidR="00C17404">
        <w:rPr>
          <w:rFonts w:ascii="Times" w:eastAsia="Times New Roman" w:hAnsi="Times"/>
          <w:color w:val="000000" w:themeColor="text1"/>
          <w:sz w:val="24"/>
          <w:szCs w:val="24"/>
        </w:rPr>
        <w:t>Int. No. 1572-A</w:t>
      </w:r>
      <w:r w:rsidR="00901969">
        <w:rPr>
          <w:rFonts w:ascii="Times" w:eastAsia="Times New Roman" w:hAnsi="Times"/>
          <w:color w:val="000000" w:themeColor="text1"/>
          <w:sz w:val="24"/>
          <w:szCs w:val="24"/>
        </w:rPr>
        <w:t xml:space="preserve"> by requiring </w:t>
      </w:r>
      <w:r w:rsidR="002B1968">
        <w:rPr>
          <w:rFonts w:ascii="Times" w:eastAsia="Times New Roman" w:hAnsi="Times"/>
          <w:color w:val="000000" w:themeColor="text1"/>
          <w:sz w:val="24"/>
          <w:szCs w:val="24"/>
        </w:rPr>
        <w:t xml:space="preserve">in subdivision b of new section 27-117 </w:t>
      </w:r>
      <w:r>
        <w:rPr>
          <w:rFonts w:ascii="Times" w:eastAsia="Times New Roman" w:hAnsi="Times"/>
          <w:color w:val="000000" w:themeColor="text1"/>
          <w:sz w:val="24"/>
          <w:szCs w:val="24"/>
        </w:rPr>
        <w:t>that a</w:t>
      </w:r>
      <w:r w:rsidR="00E629E9">
        <w:rPr>
          <w:rFonts w:ascii="Times" w:eastAsia="Times New Roman" w:hAnsi="Times"/>
          <w:color w:val="000000" w:themeColor="text1"/>
          <w:sz w:val="24"/>
          <w:szCs w:val="24"/>
        </w:rPr>
        <w:t xml:space="preserve"> source </w:t>
      </w:r>
      <w:r w:rsidR="00A7394E">
        <w:rPr>
          <w:rFonts w:ascii="Times" w:eastAsia="Times New Roman" w:hAnsi="Times"/>
          <w:color w:val="000000" w:themeColor="text1"/>
          <w:sz w:val="24"/>
          <w:szCs w:val="24"/>
        </w:rPr>
        <w:t xml:space="preserve">for the racial equity </w:t>
      </w:r>
      <w:r w:rsidR="00BC7F32">
        <w:rPr>
          <w:rFonts w:ascii="Times" w:eastAsia="Times New Roman" w:hAnsi="Times"/>
          <w:color w:val="000000" w:themeColor="text1"/>
          <w:sz w:val="24"/>
          <w:szCs w:val="24"/>
        </w:rPr>
        <w:t>reports be created in the form of a</w:t>
      </w:r>
      <w:r w:rsidR="00FA43FF">
        <w:rPr>
          <w:rFonts w:ascii="Times" w:eastAsia="Times New Roman" w:hAnsi="Times"/>
          <w:color w:val="000000" w:themeColor="text1"/>
          <w:sz w:val="24"/>
          <w:szCs w:val="24"/>
        </w:rPr>
        <w:t>n equitable de</w:t>
      </w:r>
      <w:r w:rsidR="00A34120">
        <w:rPr>
          <w:rFonts w:ascii="Times" w:eastAsia="Times New Roman" w:hAnsi="Times"/>
          <w:color w:val="000000" w:themeColor="text1"/>
          <w:sz w:val="24"/>
          <w:szCs w:val="24"/>
        </w:rPr>
        <w:t>velopment data tool</w:t>
      </w:r>
      <w:r w:rsidR="0004349B">
        <w:rPr>
          <w:rFonts w:ascii="Times" w:eastAsia="Times New Roman" w:hAnsi="Times"/>
          <w:color w:val="000000" w:themeColor="text1"/>
          <w:sz w:val="24"/>
          <w:szCs w:val="24"/>
        </w:rPr>
        <w:t xml:space="preserve"> to</w:t>
      </w:r>
      <w:r w:rsidR="00A34120">
        <w:rPr>
          <w:rFonts w:ascii="Times" w:eastAsia="Times New Roman" w:hAnsi="Times"/>
          <w:color w:val="000000" w:themeColor="text1"/>
          <w:sz w:val="24"/>
          <w:szCs w:val="24"/>
        </w:rPr>
        <w:t xml:space="preserve"> be developed and published </w:t>
      </w:r>
      <w:r w:rsidR="002B41EC">
        <w:rPr>
          <w:rFonts w:ascii="Times" w:eastAsia="Times New Roman" w:hAnsi="Times"/>
          <w:color w:val="000000" w:themeColor="text1"/>
          <w:sz w:val="24"/>
          <w:szCs w:val="24"/>
        </w:rPr>
        <w:t>for public use and be accessible on the city’s website</w:t>
      </w:r>
      <w:r w:rsidR="002B41EC" w:rsidRPr="00791945">
        <w:rPr>
          <w:rFonts w:ascii="Times" w:eastAsia="Times New Roman" w:hAnsi="Times"/>
          <w:color w:val="000000" w:themeColor="text1"/>
          <w:sz w:val="24"/>
          <w:szCs w:val="24"/>
        </w:rPr>
        <w:t>.</w:t>
      </w:r>
      <w:r w:rsidR="00E70BE4" w:rsidRPr="00AF734E">
        <w:rPr>
          <w:rFonts w:ascii="Times" w:eastAsia="Times New Roman" w:hAnsi="Times"/>
          <w:color w:val="000000" w:themeColor="text1"/>
          <w:sz w:val="24"/>
          <w:szCs w:val="24"/>
        </w:rPr>
        <w:t xml:space="preserve"> Data </w:t>
      </w:r>
      <w:r w:rsidR="00475392">
        <w:rPr>
          <w:rFonts w:ascii="Times" w:eastAsia="Times New Roman" w:hAnsi="Times"/>
          <w:color w:val="000000" w:themeColor="text1"/>
          <w:sz w:val="24"/>
          <w:szCs w:val="24"/>
        </w:rPr>
        <w:t xml:space="preserve">in the data tool </w:t>
      </w:r>
      <w:r w:rsidR="00E70BE4" w:rsidRPr="00AF734E">
        <w:rPr>
          <w:rFonts w:ascii="Times" w:eastAsia="Times New Roman" w:hAnsi="Times"/>
          <w:color w:val="000000" w:themeColor="text1"/>
          <w:sz w:val="24"/>
          <w:szCs w:val="24"/>
        </w:rPr>
        <w:t xml:space="preserve">will be updated </w:t>
      </w:r>
      <w:r w:rsidR="001C462C" w:rsidRPr="00AF734E">
        <w:rPr>
          <w:rFonts w:ascii="Times" w:eastAsia="Times New Roman" w:hAnsi="Times"/>
          <w:color w:val="000000" w:themeColor="text1"/>
          <w:sz w:val="24"/>
          <w:szCs w:val="24"/>
        </w:rPr>
        <w:t xml:space="preserve">at least </w:t>
      </w:r>
      <w:r w:rsidR="00E70BE4" w:rsidRPr="00AF734E">
        <w:rPr>
          <w:rFonts w:ascii="Times" w:eastAsia="Times New Roman" w:hAnsi="Times"/>
          <w:color w:val="000000" w:themeColor="text1"/>
          <w:sz w:val="24"/>
          <w:szCs w:val="24"/>
        </w:rPr>
        <w:t xml:space="preserve">annually and be presented </w:t>
      </w:r>
      <w:r w:rsidR="00332FE9" w:rsidRPr="00AF734E">
        <w:rPr>
          <w:rFonts w:ascii="Times" w:eastAsia="Times New Roman" w:hAnsi="Times"/>
          <w:color w:val="000000" w:themeColor="text1"/>
          <w:sz w:val="24"/>
          <w:szCs w:val="24"/>
        </w:rPr>
        <w:t>at the</w:t>
      </w:r>
      <w:r w:rsidR="008869C2">
        <w:rPr>
          <w:rFonts w:ascii="Times" w:eastAsia="Times New Roman" w:hAnsi="Times"/>
          <w:color w:val="000000" w:themeColor="text1"/>
          <w:sz w:val="24"/>
          <w:szCs w:val="24"/>
        </w:rPr>
        <w:t xml:space="preserve"> following</w:t>
      </w:r>
      <w:r w:rsidR="00332FE9" w:rsidRPr="00AF734E">
        <w:rPr>
          <w:rFonts w:ascii="Times" w:eastAsia="Times New Roman" w:hAnsi="Times"/>
          <w:color w:val="000000" w:themeColor="text1"/>
          <w:sz w:val="24"/>
          <w:szCs w:val="24"/>
        </w:rPr>
        <w:t xml:space="preserve"> levels of geography: </w:t>
      </w:r>
      <w:r w:rsidR="008869C2">
        <w:rPr>
          <w:rFonts w:ascii="Times" w:eastAsia="Times New Roman" w:hAnsi="Times"/>
          <w:color w:val="000000" w:themeColor="text1"/>
          <w:sz w:val="24"/>
          <w:szCs w:val="24"/>
        </w:rPr>
        <w:t>(1)</w:t>
      </w:r>
      <w:r w:rsidR="00791945" w:rsidRPr="008869C2">
        <w:rPr>
          <w:rFonts w:ascii="Times" w:eastAsia="Times New Roman" w:hAnsi="Times"/>
          <w:color w:val="000000" w:themeColor="text1"/>
          <w:sz w:val="24"/>
          <w:szCs w:val="24"/>
        </w:rPr>
        <w:t xml:space="preserve"> a neighborhood level to be determined by the department, where statistically</w:t>
      </w:r>
      <w:r w:rsidR="008869C2">
        <w:rPr>
          <w:rFonts w:ascii="Times" w:eastAsia="Times New Roman" w:hAnsi="Times"/>
          <w:color w:val="000000" w:themeColor="text1"/>
          <w:sz w:val="24"/>
          <w:szCs w:val="24"/>
        </w:rPr>
        <w:t xml:space="preserve"> reliable data is available, (2</w:t>
      </w:r>
      <w:r w:rsidR="00791945" w:rsidRPr="008869C2">
        <w:rPr>
          <w:rFonts w:ascii="Times" w:eastAsia="Times New Roman" w:hAnsi="Times"/>
          <w:color w:val="000000" w:themeColor="text1"/>
          <w:sz w:val="24"/>
          <w:szCs w:val="24"/>
        </w:rPr>
        <w:t xml:space="preserve">) public use microdata area or community district, where statistically </w:t>
      </w:r>
      <w:r w:rsidR="008869C2">
        <w:rPr>
          <w:rFonts w:ascii="Times" w:eastAsia="Times New Roman" w:hAnsi="Times"/>
          <w:color w:val="000000" w:themeColor="text1"/>
          <w:sz w:val="24"/>
          <w:szCs w:val="24"/>
        </w:rPr>
        <w:t>reliable data is available, (3) boroughwide and (4</w:t>
      </w:r>
      <w:r w:rsidR="00791945" w:rsidRPr="008869C2">
        <w:rPr>
          <w:rFonts w:ascii="Times" w:eastAsia="Times New Roman" w:hAnsi="Times"/>
          <w:color w:val="000000" w:themeColor="text1"/>
          <w:sz w:val="24"/>
          <w:szCs w:val="24"/>
        </w:rPr>
        <w:t>) citywide</w:t>
      </w:r>
      <w:r w:rsidR="0076702D" w:rsidRPr="008869C2">
        <w:rPr>
          <w:rFonts w:ascii="Times" w:eastAsia="Times New Roman" w:hAnsi="Times"/>
          <w:color w:val="000000" w:themeColor="text1"/>
          <w:sz w:val="24"/>
          <w:szCs w:val="24"/>
        </w:rPr>
        <w:t>.</w:t>
      </w:r>
      <w:r w:rsidR="008869C2">
        <w:rPr>
          <w:rFonts w:ascii="Times" w:eastAsia="Times New Roman" w:hAnsi="Times"/>
          <w:color w:val="000000" w:themeColor="text1"/>
          <w:sz w:val="24"/>
          <w:szCs w:val="24"/>
        </w:rPr>
        <w:t xml:space="preserve">  Subdivision b also requires that the tool be capable of generating reports for any such level of </w:t>
      </w:r>
      <w:r w:rsidR="00795F6A">
        <w:rPr>
          <w:rFonts w:ascii="Times" w:eastAsia="Times New Roman" w:hAnsi="Times"/>
          <w:color w:val="000000" w:themeColor="text1"/>
          <w:sz w:val="24"/>
          <w:szCs w:val="24"/>
        </w:rPr>
        <w:t>geography, and</w:t>
      </w:r>
      <w:r w:rsidR="008869C2">
        <w:rPr>
          <w:rFonts w:ascii="Times" w:eastAsia="Times New Roman" w:hAnsi="Times"/>
          <w:color w:val="000000" w:themeColor="text1"/>
          <w:sz w:val="24"/>
          <w:szCs w:val="24"/>
        </w:rPr>
        <w:t xml:space="preserve"> permits additional levels of geography to be added to the tool, if statistically reliable data is available. </w:t>
      </w:r>
    </w:p>
    <w:p w14:paraId="5C22801A" w14:textId="77777777" w:rsidR="00203D4D" w:rsidRDefault="00203D4D" w:rsidP="00FD57E8">
      <w:pPr>
        <w:spacing w:after="0" w:line="480" w:lineRule="auto"/>
        <w:ind w:firstLine="360"/>
        <w:jc w:val="both"/>
        <w:rPr>
          <w:rFonts w:ascii="Times" w:eastAsia="Times New Roman" w:hAnsi="Times"/>
          <w:color w:val="000000" w:themeColor="text1"/>
          <w:sz w:val="24"/>
          <w:szCs w:val="24"/>
        </w:rPr>
      </w:pPr>
      <w:r w:rsidRPr="00203D4D">
        <w:rPr>
          <w:rFonts w:ascii="Times" w:eastAsia="Times New Roman" w:hAnsi="Times"/>
          <w:color w:val="000000" w:themeColor="text1"/>
          <w:sz w:val="24"/>
          <w:szCs w:val="24"/>
        </w:rPr>
        <w:t>Subdivision c of new section 27-117 provides that t</w:t>
      </w:r>
      <w:r w:rsidR="00FC1863" w:rsidRPr="00203D4D">
        <w:rPr>
          <w:rFonts w:ascii="Times" w:eastAsia="Times New Roman" w:hAnsi="Times"/>
          <w:color w:val="000000" w:themeColor="text1"/>
          <w:sz w:val="24"/>
          <w:szCs w:val="24"/>
        </w:rPr>
        <w:t xml:space="preserve">he equitable </w:t>
      </w:r>
      <w:r w:rsidR="003732D4" w:rsidRPr="00203D4D">
        <w:rPr>
          <w:rFonts w:ascii="Times" w:eastAsia="Times New Roman" w:hAnsi="Times"/>
          <w:color w:val="000000" w:themeColor="text1"/>
          <w:sz w:val="24"/>
          <w:szCs w:val="24"/>
        </w:rPr>
        <w:t xml:space="preserve">development </w:t>
      </w:r>
      <w:r w:rsidR="00FC1863" w:rsidRPr="00203D4D">
        <w:rPr>
          <w:rFonts w:ascii="Times" w:eastAsia="Times New Roman" w:hAnsi="Times"/>
          <w:color w:val="000000" w:themeColor="text1"/>
          <w:sz w:val="24"/>
          <w:szCs w:val="24"/>
        </w:rPr>
        <w:t xml:space="preserve">data tool will include data relating to these categories: </w:t>
      </w:r>
      <w:r>
        <w:rPr>
          <w:rFonts w:ascii="Times" w:eastAsia="Times New Roman" w:hAnsi="Times"/>
          <w:color w:val="000000" w:themeColor="text1"/>
          <w:sz w:val="24"/>
          <w:szCs w:val="24"/>
        </w:rPr>
        <w:t>(1) demographic conditions, (2</w:t>
      </w:r>
      <w:r w:rsidR="00674087" w:rsidRPr="00203D4D">
        <w:rPr>
          <w:rFonts w:ascii="Times" w:eastAsia="Times New Roman" w:hAnsi="Times"/>
          <w:color w:val="000000" w:themeColor="text1"/>
          <w:sz w:val="24"/>
          <w:szCs w:val="24"/>
        </w:rPr>
        <w:t>) h</w:t>
      </w:r>
      <w:r>
        <w:rPr>
          <w:rFonts w:ascii="Times" w:eastAsia="Times New Roman" w:hAnsi="Times"/>
          <w:color w:val="000000" w:themeColor="text1"/>
          <w:sz w:val="24"/>
          <w:szCs w:val="24"/>
        </w:rPr>
        <w:t>ousehold economic security, (3</w:t>
      </w:r>
      <w:r w:rsidR="00674087" w:rsidRPr="00203D4D">
        <w:rPr>
          <w:rFonts w:ascii="Times" w:eastAsia="Times New Roman" w:hAnsi="Times"/>
          <w:color w:val="000000" w:themeColor="text1"/>
          <w:sz w:val="24"/>
          <w:szCs w:val="24"/>
        </w:rPr>
        <w:t>) neighborhood quality of lif</w:t>
      </w:r>
      <w:r>
        <w:rPr>
          <w:rFonts w:ascii="Times" w:eastAsia="Times New Roman" w:hAnsi="Times"/>
          <w:color w:val="000000" w:themeColor="text1"/>
          <w:sz w:val="24"/>
          <w:szCs w:val="24"/>
        </w:rPr>
        <w:t>e and access to opportunity, (4</w:t>
      </w:r>
      <w:r w:rsidR="00674087" w:rsidRPr="00203D4D">
        <w:rPr>
          <w:rFonts w:ascii="Times" w:eastAsia="Times New Roman" w:hAnsi="Times"/>
          <w:color w:val="000000" w:themeColor="text1"/>
          <w:sz w:val="24"/>
          <w:szCs w:val="24"/>
        </w:rPr>
        <w:t>) housing securit</w:t>
      </w:r>
      <w:r>
        <w:rPr>
          <w:rFonts w:ascii="Times" w:eastAsia="Times New Roman" w:hAnsi="Times"/>
          <w:color w:val="000000" w:themeColor="text1"/>
          <w:sz w:val="24"/>
          <w:szCs w:val="24"/>
        </w:rPr>
        <w:t>y, affordability and quality, (5) housing production and (6</w:t>
      </w:r>
      <w:r w:rsidR="00674087" w:rsidRPr="00203D4D">
        <w:rPr>
          <w:rFonts w:ascii="Times" w:eastAsia="Times New Roman" w:hAnsi="Times"/>
          <w:color w:val="000000" w:themeColor="text1"/>
          <w:sz w:val="24"/>
          <w:szCs w:val="24"/>
        </w:rPr>
        <w:t xml:space="preserve">) a displacement risk index. The data will include breakdowns by race and Hispanic origin where available and </w:t>
      </w:r>
      <w:r w:rsidR="004D63D8" w:rsidRPr="00203D4D">
        <w:rPr>
          <w:rFonts w:ascii="Times" w:eastAsia="Times New Roman" w:hAnsi="Times"/>
          <w:color w:val="000000" w:themeColor="text1"/>
          <w:sz w:val="24"/>
          <w:szCs w:val="24"/>
        </w:rPr>
        <w:t xml:space="preserve">include data over the previous two decades </w:t>
      </w:r>
      <w:r w:rsidR="00B8377F" w:rsidRPr="00203D4D">
        <w:rPr>
          <w:rFonts w:ascii="Times" w:eastAsia="Times New Roman" w:hAnsi="Times"/>
          <w:color w:val="000000" w:themeColor="text1"/>
          <w:sz w:val="24"/>
          <w:szCs w:val="24"/>
        </w:rPr>
        <w:t>to allow for analyses over time.</w:t>
      </w:r>
      <w:r w:rsidR="007526BB" w:rsidRPr="00203D4D">
        <w:rPr>
          <w:rFonts w:ascii="Times" w:eastAsia="Times New Roman" w:hAnsi="Times"/>
          <w:color w:val="000000" w:themeColor="text1"/>
          <w:sz w:val="24"/>
          <w:szCs w:val="24"/>
        </w:rPr>
        <w:t xml:space="preserve"> The</w:t>
      </w:r>
      <w:r>
        <w:rPr>
          <w:rFonts w:ascii="Times" w:eastAsia="Times New Roman" w:hAnsi="Times"/>
          <w:color w:val="000000" w:themeColor="text1"/>
          <w:sz w:val="24"/>
          <w:szCs w:val="24"/>
        </w:rPr>
        <w:t xml:space="preserve">re is also a list of data points and indicators that are required to be included within each category.  </w:t>
      </w:r>
    </w:p>
    <w:p w14:paraId="32994A60" w14:textId="50F17C1A" w:rsidR="006637C9" w:rsidRDefault="00203D4D" w:rsidP="00FD57E8">
      <w:pPr>
        <w:spacing w:after="0" w:line="480" w:lineRule="auto"/>
        <w:ind w:firstLine="360"/>
        <w:jc w:val="both"/>
        <w:rPr>
          <w:rFonts w:ascii="Times" w:eastAsia="Times New Roman" w:hAnsi="Times"/>
          <w:color w:val="000000" w:themeColor="text1"/>
          <w:sz w:val="24"/>
          <w:szCs w:val="24"/>
        </w:rPr>
      </w:pPr>
      <w:r>
        <w:rPr>
          <w:rFonts w:ascii="Times" w:eastAsia="Times New Roman" w:hAnsi="Times"/>
          <w:color w:val="000000" w:themeColor="text1"/>
          <w:sz w:val="24"/>
          <w:szCs w:val="24"/>
        </w:rPr>
        <w:t>Subdivision d of new section 27-117</w:t>
      </w:r>
      <w:r w:rsidR="007526BB" w:rsidRPr="00203D4D">
        <w:rPr>
          <w:rFonts w:ascii="Times" w:eastAsia="Times New Roman" w:hAnsi="Times"/>
          <w:color w:val="000000" w:themeColor="text1"/>
          <w:sz w:val="24"/>
          <w:szCs w:val="24"/>
        </w:rPr>
        <w:t xml:space="preserve"> </w:t>
      </w:r>
      <w:r>
        <w:rPr>
          <w:rFonts w:ascii="Times" w:eastAsia="Times New Roman" w:hAnsi="Times"/>
          <w:color w:val="000000" w:themeColor="text1"/>
          <w:sz w:val="24"/>
          <w:szCs w:val="24"/>
        </w:rPr>
        <w:t xml:space="preserve">provides that the </w:t>
      </w:r>
      <w:r w:rsidR="00275A40" w:rsidRPr="00203D4D">
        <w:rPr>
          <w:rFonts w:ascii="Times" w:eastAsia="Times New Roman" w:hAnsi="Times"/>
          <w:color w:val="000000" w:themeColor="text1"/>
          <w:sz w:val="24"/>
          <w:szCs w:val="24"/>
        </w:rPr>
        <w:t xml:space="preserve">data </w:t>
      </w:r>
      <w:r w:rsidR="00794B1E" w:rsidRPr="00203D4D">
        <w:rPr>
          <w:rFonts w:ascii="Times" w:eastAsia="Times New Roman" w:hAnsi="Times"/>
          <w:color w:val="000000" w:themeColor="text1"/>
          <w:sz w:val="24"/>
          <w:szCs w:val="24"/>
        </w:rPr>
        <w:t>tool will be</w:t>
      </w:r>
      <w:r w:rsidR="001A291F" w:rsidRPr="00203D4D">
        <w:rPr>
          <w:rFonts w:ascii="Times" w:eastAsia="Times New Roman" w:hAnsi="Times"/>
          <w:color w:val="000000" w:themeColor="text1"/>
          <w:sz w:val="24"/>
          <w:szCs w:val="24"/>
        </w:rPr>
        <w:t xml:space="preserve"> </w:t>
      </w:r>
      <w:r w:rsidR="00045A5C" w:rsidRPr="00203D4D">
        <w:rPr>
          <w:rFonts w:ascii="Times" w:eastAsia="Times New Roman" w:hAnsi="Times"/>
          <w:color w:val="000000" w:themeColor="text1"/>
          <w:sz w:val="24"/>
          <w:szCs w:val="24"/>
        </w:rPr>
        <w:t xml:space="preserve">available to the public </w:t>
      </w:r>
      <w:r w:rsidR="004E4B9B" w:rsidRPr="00203D4D">
        <w:rPr>
          <w:rFonts w:ascii="Times" w:eastAsia="Times New Roman" w:hAnsi="Times"/>
          <w:color w:val="000000" w:themeColor="text1"/>
          <w:sz w:val="24"/>
          <w:szCs w:val="24"/>
        </w:rPr>
        <w:t xml:space="preserve">starting April 1, </w:t>
      </w:r>
      <w:r w:rsidR="00795F6A">
        <w:rPr>
          <w:rFonts w:ascii="Times" w:eastAsia="Times New Roman" w:hAnsi="Times"/>
          <w:color w:val="000000" w:themeColor="text1"/>
          <w:sz w:val="24"/>
          <w:szCs w:val="24"/>
        </w:rPr>
        <w:t>2022</w:t>
      </w:r>
      <w:r>
        <w:rPr>
          <w:rFonts w:ascii="Times" w:eastAsia="Times New Roman" w:hAnsi="Times"/>
          <w:color w:val="000000" w:themeColor="text1"/>
          <w:sz w:val="24"/>
          <w:szCs w:val="24"/>
        </w:rPr>
        <w:t xml:space="preserve"> after a public hearing on a draft tool</w:t>
      </w:r>
      <w:r w:rsidR="004E4B9B" w:rsidRPr="00203D4D">
        <w:rPr>
          <w:rFonts w:ascii="Times" w:eastAsia="Times New Roman" w:hAnsi="Times"/>
          <w:color w:val="000000" w:themeColor="text1"/>
          <w:sz w:val="24"/>
          <w:szCs w:val="24"/>
        </w:rPr>
        <w:t>.</w:t>
      </w:r>
    </w:p>
    <w:p w14:paraId="3DC7120D" w14:textId="77777777" w:rsidR="00203D4D" w:rsidRPr="00203D4D" w:rsidRDefault="00203D4D" w:rsidP="00FD57E8">
      <w:pPr>
        <w:spacing w:after="0" w:line="480" w:lineRule="auto"/>
        <w:ind w:firstLine="360"/>
        <w:jc w:val="both"/>
        <w:rPr>
          <w:rFonts w:ascii="Times" w:eastAsia="Times New Roman" w:hAnsi="Times"/>
          <w:color w:val="000000" w:themeColor="text1"/>
          <w:sz w:val="24"/>
          <w:szCs w:val="24"/>
        </w:rPr>
      </w:pPr>
      <w:r>
        <w:rPr>
          <w:rFonts w:ascii="Times" w:eastAsia="Times New Roman" w:hAnsi="Times"/>
          <w:color w:val="000000" w:themeColor="text1"/>
          <w:sz w:val="24"/>
          <w:szCs w:val="24"/>
        </w:rPr>
        <w:t xml:space="preserve">Subdivision e of new section 27-117 provides that </w:t>
      </w:r>
      <w:r w:rsidR="00696050">
        <w:rPr>
          <w:rFonts w:ascii="Times" w:eastAsia="Times New Roman" w:hAnsi="Times"/>
          <w:color w:val="000000" w:themeColor="text1"/>
          <w:sz w:val="24"/>
          <w:szCs w:val="24"/>
        </w:rPr>
        <w:t xml:space="preserve">the methodologies and indicators comprising the equitable development data tool be updated as new data sources and analytical tools are developed.   Source data shall be provided on the website where the tool is available to the public, as well as information on statistical reliability and methodology for establishment of the displacement risk index.  </w:t>
      </w:r>
    </w:p>
    <w:p w14:paraId="190C5A03" w14:textId="77777777" w:rsidR="00B4012C" w:rsidRPr="00696050" w:rsidRDefault="006637C9" w:rsidP="00FD57E8">
      <w:pPr>
        <w:spacing w:after="0" w:line="480" w:lineRule="auto"/>
        <w:ind w:firstLine="360"/>
        <w:jc w:val="both"/>
        <w:rPr>
          <w:rFonts w:ascii="Times" w:eastAsia="Times New Roman" w:hAnsi="Times"/>
          <w:color w:val="000000" w:themeColor="text1"/>
          <w:sz w:val="24"/>
          <w:szCs w:val="24"/>
        </w:rPr>
      </w:pPr>
      <w:r w:rsidRPr="000B28EF">
        <w:rPr>
          <w:rFonts w:ascii="Times" w:eastAsia="Times New Roman" w:hAnsi="Times"/>
          <w:color w:val="000000" w:themeColor="text1"/>
          <w:sz w:val="24"/>
          <w:szCs w:val="24"/>
        </w:rPr>
        <w:t xml:space="preserve">In addition to </w:t>
      </w:r>
      <w:r w:rsidR="00696050">
        <w:rPr>
          <w:rFonts w:ascii="Times" w:eastAsia="Times New Roman" w:hAnsi="Times"/>
          <w:color w:val="000000" w:themeColor="text1"/>
          <w:sz w:val="24"/>
          <w:szCs w:val="24"/>
        </w:rPr>
        <w:t xml:space="preserve">adding </w:t>
      </w:r>
      <w:r w:rsidR="00D75DBC" w:rsidRPr="000B28EF">
        <w:rPr>
          <w:rFonts w:ascii="Times" w:eastAsia="Times New Roman" w:hAnsi="Times"/>
          <w:color w:val="000000" w:themeColor="text1"/>
          <w:sz w:val="24"/>
          <w:szCs w:val="24"/>
        </w:rPr>
        <w:t xml:space="preserve">the </w:t>
      </w:r>
      <w:r w:rsidR="00B82908" w:rsidRPr="000B28EF">
        <w:rPr>
          <w:rFonts w:ascii="Times" w:eastAsia="Times New Roman" w:hAnsi="Times"/>
          <w:color w:val="000000" w:themeColor="text1"/>
          <w:sz w:val="24"/>
          <w:szCs w:val="24"/>
        </w:rPr>
        <w:t xml:space="preserve">equitable development data tool, </w:t>
      </w:r>
      <w:r w:rsidR="00F02D09">
        <w:rPr>
          <w:rFonts w:ascii="Times" w:eastAsia="Times New Roman" w:hAnsi="Times"/>
          <w:color w:val="000000" w:themeColor="text1"/>
          <w:sz w:val="24"/>
          <w:szCs w:val="24"/>
        </w:rPr>
        <w:t xml:space="preserve">Proposed </w:t>
      </w:r>
      <w:r w:rsidR="00696050">
        <w:rPr>
          <w:rFonts w:ascii="Times" w:eastAsia="Times New Roman" w:hAnsi="Times"/>
          <w:color w:val="000000" w:themeColor="text1"/>
          <w:sz w:val="24"/>
          <w:szCs w:val="24"/>
        </w:rPr>
        <w:t>Int. No. 1572-B specifies</w:t>
      </w:r>
      <w:r w:rsidR="00203D4D">
        <w:rPr>
          <w:rFonts w:ascii="Times" w:eastAsia="Times New Roman" w:hAnsi="Times"/>
          <w:color w:val="000000" w:themeColor="text1"/>
          <w:sz w:val="24"/>
          <w:szCs w:val="24"/>
        </w:rPr>
        <w:t>, in subdivision b</w:t>
      </w:r>
      <w:r w:rsidR="00FC1E00">
        <w:rPr>
          <w:rFonts w:ascii="Times" w:eastAsia="Times New Roman" w:hAnsi="Times"/>
          <w:color w:val="000000" w:themeColor="text1"/>
          <w:sz w:val="24"/>
          <w:szCs w:val="24"/>
        </w:rPr>
        <w:t xml:space="preserve"> of new section 25-118</w:t>
      </w:r>
      <w:r w:rsidR="00203D4D">
        <w:rPr>
          <w:rFonts w:ascii="Times" w:eastAsia="Times New Roman" w:hAnsi="Times"/>
          <w:color w:val="000000" w:themeColor="text1"/>
          <w:sz w:val="24"/>
          <w:szCs w:val="24"/>
        </w:rPr>
        <w:t xml:space="preserve">, </w:t>
      </w:r>
      <w:r w:rsidR="002F58B5" w:rsidRPr="000B28EF">
        <w:rPr>
          <w:rFonts w:ascii="Times" w:eastAsia="Times New Roman" w:hAnsi="Times"/>
          <w:color w:val="000000" w:themeColor="text1"/>
          <w:sz w:val="24"/>
          <w:szCs w:val="24"/>
        </w:rPr>
        <w:t xml:space="preserve">the </w:t>
      </w:r>
      <w:r w:rsidR="00B538A1" w:rsidRPr="000B28EF">
        <w:rPr>
          <w:rFonts w:ascii="Times" w:eastAsia="Times New Roman" w:hAnsi="Times"/>
          <w:color w:val="000000" w:themeColor="text1"/>
          <w:sz w:val="24"/>
          <w:szCs w:val="24"/>
        </w:rPr>
        <w:t>types of projects that</w:t>
      </w:r>
      <w:r w:rsidR="00696050">
        <w:rPr>
          <w:rFonts w:ascii="Times" w:eastAsia="Times New Roman" w:hAnsi="Times"/>
          <w:color w:val="000000" w:themeColor="text1"/>
          <w:sz w:val="24"/>
          <w:szCs w:val="24"/>
        </w:rPr>
        <w:t xml:space="preserve"> require a racial equity report.  </w:t>
      </w:r>
      <w:r w:rsidR="00AE39C9" w:rsidRPr="000B28EF">
        <w:rPr>
          <w:rFonts w:ascii="Times" w:eastAsia="Times New Roman" w:hAnsi="Times"/>
          <w:color w:val="000000" w:themeColor="text1"/>
          <w:sz w:val="24"/>
          <w:szCs w:val="24"/>
        </w:rPr>
        <w:t xml:space="preserve">The types of projects </w:t>
      </w:r>
      <w:r w:rsidR="00C0267A" w:rsidRPr="000B28EF">
        <w:rPr>
          <w:rFonts w:ascii="Times" w:eastAsia="Times New Roman" w:hAnsi="Times"/>
          <w:color w:val="000000" w:themeColor="text1"/>
          <w:sz w:val="24"/>
          <w:szCs w:val="24"/>
        </w:rPr>
        <w:t>that req</w:t>
      </w:r>
      <w:r w:rsidR="00D60699" w:rsidRPr="000B28EF">
        <w:rPr>
          <w:rFonts w:ascii="Times" w:eastAsia="Times New Roman" w:hAnsi="Times"/>
          <w:color w:val="000000" w:themeColor="text1"/>
          <w:sz w:val="24"/>
          <w:szCs w:val="24"/>
        </w:rPr>
        <w:t xml:space="preserve">uire a racial equity report are those </w:t>
      </w:r>
      <w:r w:rsidR="00696050" w:rsidRPr="00696050">
        <w:rPr>
          <w:rFonts w:ascii="Times New Roman" w:eastAsia="Times New Roman" w:hAnsi="Times New Roman"/>
          <w:color w:val="000000"/>
          <w:sz w:val="24"/>
          <w:szCs w:val="24"/>
        </w:rPr>
        <w:t>submitted pursuant to section 201 of the charter for a citywide amendment to t</w:t>
      </w:r>
      <w:r w:rsidR="00696050">
        <w:rPr>
          <w:rFonts w:ascii="Times New Roman" w:eastAsia="Times New Roman" w:hAnsi="Times New Roman"/>
          <w:color w:val="000000"/>
          <w:sz w:val="24"/>
          <w:szCs w:val="24"/>
        </w:rPr>
        <w:t>he zoning resolution affecting five</w:t>
      </w:r>
      <w:r w:rsidR="00696050" w:rsidRPr="00696050">
        <w:rPr>
          <w:rFonts w:ascii="Times New Roman" w:eastAsia="Times New Roman" w:hAnsi="Times New Roman"/>
          <w:color w:val="000000"/>
          <w:sz w:val="24"/>
          <w:szCs w:val="24"/>
        </w:rPr>
        <w:t xml:space="preserve"> or more community districts, applications submitted for designation of historic districts pursuant to section 3020 of the charter </w:t>
      </w:r>
      <w:r w:rsidR="00696050">
        <w:rPr>
          <w:rFonts w:ascii="Times New Roman" w:eastAsia="Times New Roman" w:hAnsi="Times New Roman"/>
          <w:color w:val="000000"/>
          <w:sz w:val="24"/>
          <w:szCs w:val="24"/>
        </w:rPr>
        <w:t>affecting at least four</w:t>
      </w:r>
      <w:r w:rsidR="00696050" w:rsidRPr="00696050">
        <w:rPr>
          <w:rFonts w:ascii="Times New Roman" w:eastAsia="Times New Roman" w:hAnsi="Times New Roman"/>
          <w:color w:val="000000"/>
          <w:sz w:val="24"/>
          <w:szCs w:val="24"/>
        </w:rPr>
        <w:t xml:space="preserve"> city blocks, and for applications submitted pursuant to subdivision a of section 197-c of the charter that seek approval for (i) an acquisition or disposition of land to facilitate a non-residential project containing at least 50,000 square feet of floor area, (ii) an acquisition or disposition of land to facilitate a residential project, other than a residential project consisting of a building to be preserved, provided that such equity report shall only be required related to a building in such project containing at least 50,000 square feet of floor area, (iii) an increase in permitted residential floor area of at least 50,000 square feet, (iv) an increase in permitted non-residential floor area by at least 200,000 square feet or (v) a decrease in permitted floor area or number of housing units on at least four contiguous city blocks. However, in addition to the foregoing, any application seeking approval of change to the permitted floor area for any use in a manufacturing district or change to the use regulations of a manufacturing district, whether by change to the zoning map pursuant to section 197-c of the charter, change to the text of the zoning resolution pursuant to section 201 of the charter, or by special permit pursuant to section 197-c of the charter, related to a building in such project containing at least 100,000 square feet of floor area, shall</w:t>
      </w:r>
      <w:r w:rsidR="00696050">
        <w:rPr>
          <w:rFonts w:ascii="Times New Roman" w:eastAsia="Times New Roman" w:hAnsi="Times New Roman"/>
          <w:color w:val="000000"/>
          <w:sz w:val="24"/>
          <w:szCs w:val="24"/>
        </w:rPr>
        <w:t xml:space="preserve"> also be required to submit a racial equity report</w:t>
      </w:r>
      <w:r w:rsidR="00696050" w:rsidRPr="00696050">
        <w:rPr>
          <w:rFonts w:ascii="Times New Roman" w:eastAsia="Times New Roman" w:hAnsi="Times New Roman"/>
          <w:color w:val="000000"/>
          <w:sz w:val="24"/>
          <w:szCs w:val="24"/>
        </w:rPr>
        <w:t xml:space="preserve">. </w:t>
      </w:r>
      <w:r w:rsidR="00696050" w:rsidRPr="00696050">
        <w:rPr>
          <w:rFonts w:ascii="Times" w:eastAsia="Times New Roman" w:hAnsi="Times"/>
          <w:color w:val="000000" w:themeColor="text1"/>
          <w:sz w:val="24"/>
          <w:szCs w:val="24"/>
        </w:rPr>
        <w:t xml:space="preserve"> Subdivision b also includes requirements for distributing the racial equity report. The report will be provided to the affected community board and borough president, the affected council member, the </w:t>
      </w:r>
      <w:r w:rsidR="00696050" w:rsidRPr="00696050">
        <w:rPr>
          <w:rFonts w:ascii="Times" w:hAnsi="Times"/>
          <w:color w:val="000000" w:themeColor="text1"/>
          <w:sz w:val="24"/>
          <w:szCs w:val="24"/>
        </w:rPr>
        <w:t>public advocate and the speaker of the council</w:t>
      </w:r>
      <w:r w:rsidR="00696050" w:rsidRPr="00696050">
        <w:rPr>
          <w:rFonts w:ascii="Times" w:eastAsia="Times New Roman" w:hAnsi="Times"/>
          <w:color w:val="000000" w:themeColor="text1"/>
          <w:sz w:val="24"/>
          <w:szCs w:val="24"/>
        </w:rPr>
        <w:t>, and will also promptly be posted on the website of an agency designated by the mayor.</w:t>
      </w:r>
    </w:p>
    <w:p w14:paraId="1201D10C" w14:textId="5052F7EE" w:rsidR="003F4767" w:rsidRDefault="00696050" w:rsidP="00FD57E8">
      <w:pPr>
        <w:spacing w:after="0" w:line="480" w:lineRule="auto"/>
        <w:ind w:firstLine="360"/>
        <w:jc w:val="both"/>
        <w:rPr>
          <w:rFonts w:ascii="Times New Roman" w:eastAsia="Times New Roman" w:hAnsi="Times New Roman"/>
          <w:color w:val="000000"/>
          <w:sz w:val="24"/>
          <w:szCs w:val="24"/>
          <w:u w:val="single"/>
        </w:rPr>
      </w:pPr>
      <w:r w:rsidRPr="00FC1E00">
        <w:rPr>
          <w:rFonts w:ascii="Times" w:eastAsia="Times New Roman" w:hAnsi="Times"/>
          <w:color w:val="000000" w:themeColor="text1"/>
          <w:sz w:val="24"/>
          <w:szCs w:val="24"/>
        </w:rPr>
        <w:t xml:space="preserve">Subdivision c of </w:t>
      </w:r>
      <w:r w:rsidR="00FC1E00" w:rsidRPr="00FC1E00">
        <w:rPr>
          <w:rFonts w:ascii="Times" w:eastAsia="Times New Roman" w:hAnsi="Times"/>
          <w:color w:val="000000" w:themeColor="text1"/>
          <w:sz w:val="24"/>
          <w:szCs w:val="24"/>
        </w:rPr>
        <w:t>new section 25-118</w:t>
      </w:r>
      <w:r w:rsidRPr="00FC1E00">
        <w:rPr>
          <w:rFonts w:ascii="Times" w:eastAsia="Times New Roman" w:hAnsi="Times"/>
          <w:color w:val="000000" w:themeColor="text1"/>
          <w:sz w:val="24"/>
          <w:szCs w:val="24"/>
        </w:rPr>
        <w:t xml:space="preserve"> sets for</w:t>
      </w:r>
      <w:r w:rsidR="00FC1E00" w:rsidRPr="00FC1E00">
        <w:rPr>
          <w:rFonts w:ascii="Times" w:eastAsia="Times New Roman" w:hAnsi="Times"/>
          <w:color w:val="000000" w:themeColor="text1"/>
          <w:sz w:val="24"/>
          <w:szCs w:val="24"/>
        </w:rPr>
        <w:t>th</w:t>
      </w:r>
      <w:r w:rsidRPr="00FC1E00">
        <w:rPr>
          <w:rFonts w:ascii="Times" w:eastAsia="Times New Roman" w:hAnsi="Times"/>
          <w:color w:val="000000" w:themeColor="text1"/>
          <w:sz w:val="24"/>
          <w:szCs w:val="24"/>
        </w:rPr>
        <w:t xml:space="preserve"> the required contents of the racial equity report.   </w:t>
      </w:r>
      <w:r w:rsidR="00FC1E00">
        <w:rPr>
          <w:rFonts w:ascii="Times" w:eastAsia="Times New Roman" w:hAnsi="Times"/>
          <w:color w:val="000000" w:themeColor="text1"/>
          <w:sz w:val="24"/>
          <w:szCs w:val="24"/>
        </w:rPr>
        <w:t>The contents include an executive summary written in plain language</w:t>
      </w:r>
      <w:r w:rsidR="00795F6A">
        <w:rPr>
          <w:rFonts w:ascii="Times" w:eastAsia="Times New Roman" w:hAnsi="Times"/>
          <w:color w:val="000000" w:themeColor="text1"/>
          <w:sz w:val="24"/>
          <w:szCs w:val="24"/>
        </w:rPr>
        <w:t>, for all reports.  For residential projects</w:t>
      </w:r>
      <w:r w:rsidR="003F4767">
        <w:rPr>
          <w:rFonts w:ascii="Times" w:eastAsia="Times New Roman" w:hAnsi="Times"/>
          <w:color w:val="000000" w:themeColor="text1"/>
          <w:sz w:val="24"/>
          <w:szCs w:val="24"/>
        </w:rPr>
        <w:t>,</w:t>
      </w:r>
      <w:r w:rsidR="00795F6A">
        <w:rPr>
          <w:rFonts w:ascii="Times" w:eastAsia="Times New Roman" w:hAnsi="Times"/>
          <w:color w:val="000000" w:themeColor="text1"/>
          <w:sz w:val="24"/>
          <w:szCs w:val="24"/>
        </w:rPr>
        <w:t xml:space="preserve"> other than historic districts, the second section of the report will provide the affordability of expected housing and the incomes that would be needed to avoid housing cost burden</w:t>
      </w:r>
      <w:r w:rsidR="00FC1E00">
        <w:rPr>
          <w:rFonts w:ascii="Times" w:eastAsia="Times New Roman" w:hAnsi="Times"/>
          <w:color w:val="000000" w:themeColor="text1"/>
          <w:sz w:val="24"/>
          <w:szCs w:val="24"/>
        </w:rPr>
        <w:t xml:space="preserve">.  </w:t>
      </w:r>
      <w:r w:rsidR="00795F6A">
        <w:rPr>
          <w:rFonts w:ascii="Times" w:eastAsia="Times New Roman" w:hAnsi="Times"/>
          <w:color w:val="000000" w:themeColor="text1"/>
          <w:sz w:val="24"/>
          <w:szCs w:val="24"/>
        </w:rPr>
        <w:t xml:space="preserve">For non-residential projects other than historic districts, </w:t>
      </w:r>
      <w:r w:rsidR="003F4767">
        <w:rPr>
          <w:rFonts w:ascii="Times" w:eastAsia="Times New Roman" w:hAnsi="Times"/>
          <w:color w:val="000000" w:themeColor="text1"/>
          <w:sz w:val="24"/>
          <w:szCs w:val="24"/>
        </w:rPr>
        <w:t>where the project is use-specific, the second section must include job projections by sector or occupation, median wage levels, and the racial and ethnic composition and educational attainment of the workforce for jobs in that sector or occupation.</w:t>
      </w:r>
      <w:r w:rsidR="00C56AD5" w:rsidRPr="00FC1E00">
        <w:rPr>
          <w:rFonts w:ascii="Times" w:eastAsia="Times New Roman" w:hAnsi="Times"/>
          <w:color w:val="000000" w:themeColor="text1"/>
          <w:sz w:val="24"/>
          <w:szCs w:val="24"/>
        </w:rPr>
        <w:t xml:space="preserve"> </w:t>
      </w:r>
      <w:r w:rsidR="0040463B" w:rsidRPr="00FC1E00">
        <w:rPr>
          <w:rFonts w:ascii="Times" w:eastAsia="Times New Roman" w:hAnsi="Times"/>
          <w:color w:val="000000" w:themeColor="text1"/>
          <w:sz w:val="24"/>
          <w:szCs w:val="24"/>
        </w:rPr>
        <w:t xml:space="preserve"> </w:t>
      </w:r>
      <w:r w:rsidR="003F4767">
        <w:rPr>
          <w:rFonts w:ascii="Times" w:eastAsia="Times New Roman" w:hAnsi="Times"/>
          <w:color w:val="000000" w:themeColor="text1"/>
          <w:sz w:val="24"/>
          <w:szCs w:val="24"/>
        </w:rPr>
        <w:t xml:space="preserve">For projects other than zoning text amendments, the community profile must be provided. The community profile is defined in subdivision a of section 25-118 as </w:t>
      </w:r>
      <w:r w:rsidR="003F4767" w:rsidRPr="003F4767">
        <w:rPr>
          <w:rFonts w:ascii="Times New Roman" w:eastAsia="Times New Roman" w:hAnsi="Times New Roman"/>
          <w:color w:val="000000"/>
          <w:sz w:val="24"/>
          <w:szCs w:val="24"/>
        </w:rPr>
        <w:t>data for a local study area drawn from the equitable development data tool required by section 25-117</w:t>
      </w:r>
      <w:r w:rsidR="003F4767">
        <w:rPr>
          <w:rFonts w:ascii="Times" w:eastAsia="Times New Roman" w:hAnsi="Times"/>
          <w:color w:val="000000" w:themeColor="text1"/>
          <w:sz w:val="24"/>
          <w:szCs w:val="24"/>
        </w:rPr>
        <w:t>.  The community profile data must be compared with borough and citywide data for all categories</w:t>
      </w:r>
      <w:r w:rsidR="0063592F">
        <w:rPr>
          <w:rFonts w:ascii="Times" w:eastAsia="Times New Roman" w:hAnsi="Times"/>
          <w:color w:val="000000" w:themeColor="text1"/>
          <w:sz w:val="24"/>
          <w:szCs w:val="24"/>
        </w:rPr>
        <w:t>,</w:t>
      </w:r>
      <w:r w:rsidR="003F4767">
        <w:rPr>
          <w:rFonts w:ascii="Times" w:eastAsia="Times New Roman" w:hAnsi="Times"/>
          <w:color w:val="000000" w:themeColor="text1"/>
          <w:sz w:val="24"/>
          <w:szCs w:val="24"/>
        </w:rPr>
        <w:t xml:space="preserve"> data and indicator</w:t>
      </w:r>
      <w:r w:rsidR="0063592F">
        <w:rPr>
          <w:rFonts w:ascii="Times" w:eastAsia="Times New Roman" w:hAnsi="Times"/>
          <w:color w:val="000000" w:themeColor="text1"/>
          <w:sz w:val="24"/>
          <w:szCs w:val="24"/>
        </w:rPr>
        <w:t>s</w:t>
      </w:r>
      <w:r w:rsidR="003F4767">
        <w:rPr>
          <w:rFonts w:ascii="Times" w:eastAsia="Times New Roman" w:hAnsi="Times"/>
          <w:color w:val="000000" w:themeColor="text1"/>
          <w:sz w:val="24"/>
          <w:szCs w:val="24"/>
        </w:rPr>
        <w:t xml:space="preserve"> in the equitable development data</w:t>
      </w:r>
      <w:r w:rsidR="0063592F">
        <w:rPr>
          <w:rFonts w:ascii="Times" w:eastAsia="Times New Roman" w:hAnsi="Times"/>
          <w:color w:val="000000" w:themeColor="text1"/>
          <w:sz w:val="24"/>
          <w:szCs w:val="24"/>
        </w:rPr>
        <w:t xml:space="preserve"> tool</w:t>
      </w:r>
      <w:r w:rsidR="003F4767">
        <w:rPr>
          <w:rFonts w:ascii="Times" w:eastAsia="Times New Roman" w:hAnsi="Times"/>
          <w:color w:val="000000" w:themeColor="text1"/>
          <w:sz w:val="24"/>
          <w:szCs w:val="24"/>
        </w:rPr>
        <w:t xml:space="preserve">, and disaggregated by race and Hispanic origin.   </w:t>
      </w:r>
      <w:r w:rsidR="003F4767" w:rsidRPr="003F4767">
        <w:rPr>
          <w:rFonts w:ascii="Times New Roman" w:eastAsia="Times New Roman" w:hAnsi="Times New Roman"/>
          <w:color w:val="000000"/>
          <w:sz w:val="24"/>
          <w:szCs w:val="24"/>
        </w:rPr>
        <w:t xml:space="preserve">For projects with residential floor area, other than a designation of a historic district, such community profile </w:t>
      </w:r>
      <w:r w:rsidR="00210118">
        <w:rPr>
          <w:rFonts w:ascii="Times New Roman" w:eastAsia="Times New Roman" w:hAnsi="Times New Roman"/>
          <w:color w:val="000000"/>
          <w:sz w:val="24"/>
          <w:szCs w:val="24"/>
        </w:rPr>
        <w:t xml:space="preserve">will provide a </w:t>
      </w:r>
      <w:r w:rsidR="003F4767" w:rsidRPr="003F4767">
        <w:rPr>
          <w:rFonts w:ascii="Times New Roman" w:eastAsia="Times New Roman" w:hAnsi="Times New Roman"/>
          <w:color w:val="000000"/>
          <w:sz w:val="24"/>
          <w:szCs w:val="24"/>
        </w:rPr>
        <w:t xml:space="preserve">summary of the distribution of households by income levels disaggregated by race and Hispanic origin, </w:t>
      </w:r>
      <w:r w:rsidR="00210118">
        <w:rPr>
          <w:rFonts w:ascii="Times New Roman" w:eastAsia="Times New Roman" w:hAnsi="Times New Roman"/>
          <w:color w:val="000000"/>
          <w:sz w:val="24"/>
          <w:szCs w:val="24"/>
        </w:rPr>
        <w:t xml:space="preserve">as well as </w:t>
      </w:r>
      <w:r w:rsidR="003F4767" w:rsidRPr="003F4767">
        <w:rPr>
          <w:rFonts w:ascii="Times New Roman" w:eastAsia="Times New Roman" w:hAnsi="Times New Roman"/>
          <w:color w:val="000000"/>
          <w:sz w:val="24"/>
          <w:szCs w:val="24"/>
        </w:rPr>
        <w:t>data on affordable housing lottery applicants and awardees.  All projects will be required to state how the proposed project relates t</w:t>
      </w:r>
      <w:r w:rsidR="00210118">
        <w:rPr>
          <w:rFonts w:ascii="Times New Roman" w:eastAsia="Times New Roman" w:hAnsi="Times New Roman"/>
          <w:color w:val="000000"/>
          <w:sz w:val="24"/>
          <w:szCs w:val="24"/>
        </w:rPr>
        <w:t>o</w:t>
      </w:r>
      <w:r w:rsidR="003F4767" w:rsidRPr="003F4767">
        <w:rPr>
          <w:rFonts w:ascii="Times New Roman" w:eastAsia="Times New Roman" w:hAnsi="Times New Roman"/>
          <w:color w:val="000000"/>
          <w:sz w:val="24"/>
          <w:szCs w:val="24"/>
        </w:rPr>
        <w:t xml:space="preserve"> the goals and str</w:t>
      </w:r>
      <w:r w:rsidR="00210118">
        <w:rPr>
          <w:rFonts w:ascii="Times New Roman" w:eastAsia="Times New Roman" w:hAnsi="Times New Roman"/>
          <w:color w:val="000000"/>
          <w:sz w:val="24"/>
          <w:szCs w:val="24"/>
        </w:rPr>
        <w:t>at</w:t>
      </w:r>
      <w:r w:rsidR="003F4767" w:rsidRPr="003F4767">
        <w:rPr>
          <w:rFonts w:ascii="Times New Roman" w:eastAsia="Times New Roman" w:hAnsi="Times New Roman"/>
          <w:color w:val="000000"/>
          <w:sz w:val="24"/>
          <w:szCs w:val="24"/>
        </w:rPr>
        <w:t>egies to affirmatively further fair housing and promote equitable access to opportunity with reference to the city’s fair housing plan, as set forth in agency rules.  All projects will also be required to provide an estimate of the number of construction jobs created.</w:t>
      </w:r>
      <w:r w:rsidR="003F4767">
        <w:rPr>
          <w:rFonts w:ascii="Times New Roman" w:eastAsia="Times New Roman" w:hAnsi="Times New Roman"/>
          <w:color w:val="000000"/>
          <w:sz w:val="24"/>
          <w:szCs w:val="24"/>
          <w:u w:val="single"/>
        </w:rPr>
        <w:t xml:space="preserve">  </w:t>
      </w:r>
    </w:p>
    <w:p w14:paraId="09E5DE0A" w14:textId="6576FBE8" w:rsidR="00124AAF" w:rsidRDefault="003F4767" w:rsidP="00FD57E8">
      <w:pPr>
        <w:spacing w:after="0" w:line="480" w:lineRule="auto"/>
        <w:ind w:firstLine="360"/>
        <w:jc w:val="both"/>
        <w:rPr>
          <w:rFonts w:ascii="Times" w:eastAsia="Times New Roman" w:hAnsi="Times"/>
          <w:color w:val="000000" w:themeColor="text1"/>
          <w:sz w:val="24"/>
          <w:szCs w:val="24"/>
        </w:rPr>
      </w:pPr>
      <w:r w:rsidRPr="003F4767">
        <w:rPr>
          <w:rFonts w:ascii="Times New Roman" w:eastAsia="Times New Roman" w:hAnsi="Times New Roman"/>
          <w:color w:val="000000"/>
          <w:sz w:val="24"/>
          <w:szCs w:val="24"/>
        </w:rPr>
        <w:t>Last, subdivision d</w:t>
      </w:r>
      <w:r w:rsidR="00FC1E00" w:rsidRPr="00FC1E00">
        <w:rPr>
          <w:rFonts w:ascii="Times" w:eastAsia="Times New Roman" w:hAnsi="Times"/>
          <w:color w:val="000000" w:themeColor="text1"/>
          <w:sz w:val="24"/>
          <w:szCs w:val="24"/>
        </w:rPr>
        <w:t xml:space="preserve"> </w:t>
      </w:r>
      <w:r>
        <w:rPr>
          <w:rFonts w:ascii="Times" w:eastAsia="Times New Roman" w:hAnsi="Times"/>
          <w:color w:val="000000" w:themeColor="text1"/>
          <w:sz w:val="24"/>
          <w:szCs w:val="24"/>
        </w:rPr>
        <w:t xml:space="preserve">of section 25-118 </w:t>
      </w:r>
      <w:r w:rsidR="00FC1E00" w:rsidRPr="00FC1E00">
        <w:rPr>
          <w:rFonts w:ascii="Times" w:eastAsia="Times New Roman" w:hAnsi="Times"/>
          <w:color w:val="000000" w:themeColor="text1"/>
          <w:sz w:val="24"/>
          <w:szCs w:val="24"/>
        </w:rPr>
        <w:t>provides that i</w:t>
      </w:r>
      <w:r w:rsidR="0040463B" w:rsidRPr="00FC1E00">
        <w:rPr>
          <w:rFonts w:ascii="Times" w:eastAsia="Times New Roman" w:hAnsi="Times"/>
          <w:color w:val="000000" w:themeColor="text1"/>
          <w:sz w:val="24"/>
          <w:szCs w:val="24"/>
        </w:rPr>
        <w:t xml:space="preserve">f a racial equity report is not </w:t>
      </w:r>
      <w:r w:rsidR="00E17BFB" w:rsidRPr="00FC1E00">
        <w:rPr>
          <w:rFonts w:ascii="Times" w:eastAsia="Times New Roman" w:hAnsi="Times"/>
          <w:color w:val="000000" w:themeColor="text1"/>
          <w:sz w:val="24"/>
          <w:szCs w:val="24"/>
        </w:rPr>
        <w:t xml:space="preserve">submitted, </w:t>
      </w:r>
      <w:r w:rsidR="00EB2DC0" w:rsidRPr="00FC1E00">
        <w:rPr>
          <w:rFonts w:ascii="Times" w:eastAsia="Times New Roman" w:hAnsi="Times"/>
          <w:color w:val="000000" w:themeColor="text1"/>
          <w:sz w:val="24"/>
          <w:szCs w:val="24"/>
        </w:rPr>
        <w:t xml:space="preserve">that information will be posted on the city website, and </w:t>
      </w:r>
      <w:r w:rsidR="00403E95" w:rsidRPr="00FC1E00">
        <w:rPr>
          <w:rFonts w:ascii="Times" w:eastAsia="Times New Roman" w:hAnsi="Times"/>
          <w:color w:val="000000" w:themeColor="text1"/>
          <w:sz w:val="24"/>
          <w:szCs w:val="24"/>
        </w:rPr>
        <w:t xml:space="preserve">the above-mentioned parties that </w:t>
      </w:r>
      <w:r w:rsidR="00AA5FE0" w:rsidRPr="00FC1E00">
        <w:rPr>
          <w:rFonts w:ascii="Times" w:eastAsia="Times New Roman" w:hAnsi="Times"/>
          <w:color w:val="000000" w:themeColor="text1"/>
          <w:sz w:val="24"/>
          <w:szCs w:val="24"/>
        </w:rPr>
        <w:t>would receive the report will be informed that the report was not completed.</w:t>
      </w:r>
      <w:r w:rsidR="00124AAF" w:rsidRPr="00124AAF">
        <w:rPr>
          <w:rFonts w:ascii="Times" w:eastAsia="Times New Roman" w:hAnsi="Times"/>
          <w:color w:val="000000" w:themeColor="text1"/>
          <w:sz w:val="24"/>
          <w:szCs w:val="24"/>
        </w:rPr>
        <w:t xml:space="preserve"> </w:t>
      </w:r>
    </w:p>
    <w:p w14:paraId="5283DAE8" w14:textId="77777777" w:rsidR="00CE0FC1" w:rsidRDefault="00124AAF" w:rsidP="00FD57E8">
      <w:pPr>
        <w:spacing w:after="0" w:line="480" w:lineRule="auto"/>
        <w:ind w:firstLine="360"/>
        <w:jc w:val="both"/>
        <w:rPr>
          <w:rFonts w:ascii="Times" w:eastAsia="Times New Roman" w:hAnsi="Times"/>
          <w:color w:val="000000" w:themeColor="text1"/>
          <w:sz w:val="24"/>
          <w:szCs w:val="24"/>
        </w:rPr>
      </w:pPr>
      <w:r>
        <w:rPr>
          <w:rFonts w:ascii="Times" w:eastAsia="Times New Roman" w:hAnsi="Times"/>
          <w:color w:val="000000" w:themeColor="text1"/>
          <w:sz w:val="24"/>
          <w:szCs w:val="24"/>
        </w:rPr>
        <w:t>Bill section two would provide that no private right of action shall be created to enforce the provisions of new section 25-118.</w:t>
      </w:r>
    </w:p>
    <w:p w14:paraId="2771D5BE" w14:textId="77777777" w:rsidR="00124AAF" w:rsidRPr="00FC1E00" w:rsidRDefault="00124AAF" w:rsidP="00FD57E8">
      <w:pPr>
        <w:spacing w:after="0" w:line="480" w:lineRule="auto"/>
        <w:ind w:firstLine="360"/>
        <w:jc w:val="both"/>
        <w:rPr>
          <w:rFonts w:ascii="Times" w:eastAsia="Times New Roman" w:hAnsi="Times"/>
          <w:color w:val="000000" w:themeColor="text1"/>
          <w:sz w:val="24"/>
          <w:szCs w:val="24"/>
        </w:rPr>
      </w:pPr>
      <w:r>
        <w:rPr>
          <w:rFonts w:ascii="Times" w:eastAsia="Times New Roman" w:hAnsi="Times"/>
          <w:color w:val="000000" w:themeColor="text1"/>
          <w:sz w:val="24"/>
          <w:szCs w:val="24"/>
        </w:rPr>
        <w:t xml:space="preserve">Bill section three would provide that the local law takes effect immediately.  </w:t>
      </w:r>
    </w:p>
    <w:p w14:paraId="55219D3C" w14:textId="77777777" w:rsidR="005B208C" w:rsidRPr="009E611F" w:rsidRDefault="005B208C" w:rsidP="00FD57E8">
      <w:pPr>
        <w:spacing w:after="0" w:line="480" w:lineRule="auto"/>
        <w:ind w:firstLine="360"/>
        <w:jc w:val="both"/>
        <w:rPr>
          <w:rFonts w:ascii="Times" w:eastAsia="Times New Roman" w:hAnsi="Times"/>
          <w:color w:val="4472C4" w:themeColor="accent5"/>
          <w:sz w:val="24"/>
          <w:szCs w:val="24"/>
          <w:shd w:val="clear" w:color="auto" w:fill="FFFFFF"/>
        </w:rPr>
      </w:pPr>
    </w:p>
    <w:p w14:paraId="0599DE04" w14:textId="77777777" w:rsidR="0056505C" w:rsidRPr="00A62CE4" w:rsidRDefault="0056505C" w:rsidP="006109A9">
      <w:pPr>
        <w:spacing w:after="0" w:line="480" w:lineRule="auto"/>
        <w:ind w:firstLine="360"/>
        <w:jc w:val="both"/>
        <w:rPr>
          <w:rFonts w:ascii="Times" w:eastAsia="Times New Roman" w:hAnsi="Times"/>
          <w:smallCaps/>
          <w:sz w:val="24"/>
          <w:szCs w:val="24"/>
        </w:rPr>
      </w:pPr>
    </w:p>
    <w:p w14:paraId="7AE70369" w14:textId="77777777" w:rsidR="00162BD1" w:rsidRPr="00A62CE4" w:rsidRDefault="00162BD1" w:rsidP="006D6CD2">
      <w:pPr>
        <w:spacing w:after="0" w:line="480" w:lineRule="auto"/>
        <w:ind w:firstLine="720"/>
        <w:jc w:val="both"/>
        <w:rPr>
          <w:rFonts w:ascii="Times" w:eastAsia="Times New Roman" w:hAnsi="Times"/>
          <w:sz w:val="24"/>
          <w:szCs w:val="24"/>
        </w:rPr>
        <w:sectPr w:rsidR="00162BD1" w:rsidRPr="00A62CE4" w:rsidSect="008F28C1">
          <w:footerReference w:type="default" r:id="rId9"/>
          <w:pgSz w:w="12240" w:h="15840"/>
          <w:pgMar w:top="1350" w:right="1440" w:bottom="1152" w:left="1440" w:header="720" w:footer="720" w:gutter="0"/>
          <w:cols w:space="720"/>
          <w:titlePg/>
          <w:docGrid w:linePitch="360"/>
        </w:sectPr>
      </w:pPr>
    </w:p>
    <w:p w14:paraId="35D4D44C" w14:textId="77777777" w:rsidR="00B65177" w:rsidRPr="00B65177" w:rsidRDefault="00B65177" w:rsidP="008D71CA">
      <w:pPr>
        <w:pStyle w:val="NormalWeb"/>
        <w:suppressLineNumbers/>
        <w:shd w:val="clear" w:color="auto" w:fill="FFFFFF" w:themeFill="background1"/>
        <w:spacing w:before="0" w:after="0" w:line="480" w:lineRule="auto"/>
        <w:jc w:val="center"/>
        <w:rPr>
          <w:rFonts w:eastAsia="Times New Roman" w:cs="Times New Roman"/>
          <w:color w:val="000000" w:themeColor="text1"/>
        </w:rPr>
      </w:pPr>
      <w:r w:rsidRPr="00B65177">
        <w:rPr>
          <w:rFonts w:eastAsia="Times New Roman" w:cs="Times New Roman"/>
          <w:color w:val="000000" w:themeColor="text1"/>
        </w:rPr>
        <w:t>Proposed Int. No. 1572-B</w:t>
      </w:r>
    </w:p>
    <w:p w14:paraId="40E13C47" w14:textId="77777777" w:rsidR="00B65177" w:rsidRPr="00B65177" w:rsidRDefault="00B65177" w:rsidP="008D71CA">
      <w:pPr>
        <w:suppressLineNumbers/>
        <w:spacing w:after="0"/>
        <w:jc w:val="both"/>
        <w:rPr>
          <w:rFonts w:ascii="Times New Roman" w:eastAsia="Times New Roman" w:hAnsi="Times New Roman"/>
          <w:color w:val="000000" w:themeColor="text1"/>
          <w:sz w:val="24"/>
          <w:szCs w:val="24"/>
          <w:bdr w:val="none" w:sz="0" w:space="0" w:color="auto" w:frame="1"/>
        </w:rPr>
      </w:pPr>
      <w:r w:rsidRPr="00B65177">
        <w:rPr>
          <w:rFonts w:ascii="Times New Roman" w:eastAsia="Times New Roman" w:hAnsi="Times New Roman"/>
          <w:color w:val="000000" w:themeColor="text1"/>
          <w:sz w:val="24"/>
          <w:szCs w:val="24"/>
        </w:rPr>
        <w:t xml:space="preserve">By the Public Advocate (Mr. Williams) and Council Members </w:t>
      </w:r>
      <w:r w:rsidRPr="00B65177">
        <w:rPr>
          <w:rFonts w:ascii="Times New Roman" w:eastAsia="Times New Roman" w:hAnsi="Times New Roman"/>
          <w:color w:val="000000" w:themeColor="text1"/>
          <w:sz w:val="24"/>
          <w:szCs w:val="24"/>
          <w:bdr w:val="none" w:sz="0" w:space="0" w:color="auto" w:frame="1"/>
          <w:shd w:val="clear" w:color="auto" w:fill="FFFFFF"/>
        </w:rPr>
        <w:t>Salamanca, Reynoso, Chin, Levine, Levin, Lander, Menchaca, Van Bramer, Kallos, Rosenthal, Louis, Ampry-Samuel, Adams, Gibson, Miller, Barron, Rose, Cornegy, Moya, Koo, Ayala, Riley, Cumbo and D. Diaz</w:t>
      </w:r>
    </w:p>
    <w:p w14:paraId="1BD25360" w14:textId="77777777" w:rsidR="00B65177" w:rsidRPr="00B65177" w:rsidRDefault="00B65177" w:rsidP="008D71CA">
      <w:pPr>
        <w:pStyle w:val="NormalWeb"/>
        <w:suppressLineNumbers/>
        <w:shd w:val="clear" w:color="auto" w:fill="FFFFFF" w:themeFill="background1"/>
        <w:spacing w:before="0" w:after="0"/>
        <w:jc w:val="both"/>
        <w:rPr>
          <w:rFonts w:eastAsia="Times New Roman" w:cs="Times New Roman"/>
          <w:color w:val="000000" w:themeColor="text1"/>
        </w:rPr>
      </w:pPr>
    </w:p>
    <w:p w14:paraId="6ED54CB5" w14:textId="77777777" w:rsidR="00B65177" w:rsidRPr="00B65177" w:rsidRDefault="00B65177" w:rsidP="008D71CA">
      <w:pPr>
        <w:pStyle w:val="NormalWeb"/>
        <w:suppressLineNumbers/>
        <w:shd w:val="clear" w:color="auto" w:fill="FFFFFF" w:themeFill="background1"/>
        <w:spacing w:before="0" w:after="0"/>
        <w:jc w:val="both"/>
        <w:rPr>
          <w:rFonts w:eastAsia="Times New Roman" w:cs="Times New Roman"/>
          <w:vanish/>
          <w:color w:val="000000" w:themeColor="text1"/>
        </w:rPr>
      </w:pPr>
      <w:r w:rsidRPr="00B65177">
        <w:rPr>
          <w:rFonts w:eastAsia="Times New Roman" w:cs="Times New Roman"/>
          <w:vanish/>
          <w:color w:val="000000" w:themeColor="text1"/>
        </w:rPr>
        <w:t>..Title</w:t>
      </w:r>
    </w:p>
    <w:p w14:paraId="07ECBCDC" w14:textId="77777777" w:rsidR="00B65177" w:rsidRPr="00B65177" w:rsidRDefault="00B65177" w:rsidP="008D71CA">
      <w:pPr>
        <w:pStyle w:val="NormalWeb"/>
        <w:suppressLineNumbers/>
        <w:shd w:val="clear" w:color="auto" w:fill="FFFFFF" w:themeFill="background1"/>
        <w:spacing w:before="0" w:after="0"/>
        <w:jc w:val="both"/>
        <w:rPr>
          <w:rFonts w:eastAsia="Times New Roman" w:cs="Times New Roman"/>
          <w:color w:val="000000" w:themeColor="text1"/>
        </w:rPr>
      </w:pPr>
      <w:r w:rsidRPr="00B65177">
        <w:rPr>
          <w:rFonts w:eastAsia="Times New Roman" w:cs="Times New Roman"/>
          <w:color w:val="000000" w:themeColor="text1"/>
        </w:rPr>
        <w:t>A Local Law to amend the administrative code of the city of New York, in relation to requiring a citywide equitable development data tool and racial equity reports on housing and opportunity</w:t>
      </w:r>
    </w:p>
    <w:p w14:paraId="2015F633" w14:textId="77777777" w:rsidR="00B65177" w:rsidRPr="00B65177" w:rsidRDefault="00B65177" w:rsidP="008D71CA">
      <w:pPr>
        <w:pStyle w:val="NormalWeb"/>
        <w:suppressLineNumbers/>
        <w:shd w:val="clear" w:color="auto" w:fill="FFFFFF" w:themeFill="background1"/>
        <w:spacing w:before="0" w:after="0"/>
        <w:jc w:val="both"/>
        <w:rPr>
          <w:rFonts w:eastAsia="Times New Roman" w:cs="Times New Roman"/>
          <w:vanish/>
          <w:color w:val="000000" w:themeColor="text1"/>
        </w:rPr>
      </w:pPr>
      <w:r w:rsidRPr="00B65177">
        <w:rPr>
          <w:rFonts w:eastAsia="Times New Roman" w:cs="Times New Roman"/>
          <w:vanish/>
          <w:color w:val="000000" w:themeColor="text1"/>
        </w:rPr>
        <w:t>..Body</w:t>
      </w:r>
    </w:p>
    <w:p w14:paraId="0592D7CD" w14:textId="77777777" w:rsidR="00B65177" w:rsidRPr="00B65177" w:rsidRDefault="00B65177" w:rsidP="008D71CA">
      <w:pPr>
        <w:pStyle w:val="NormalWeb"/>
        <w:suppressLineNumbers/>
        <w:shd w:val="clear" w:color="auto" w:fill="FFFFFF" w:themeFill="background1"/>
        <w:spacing w:before="0" w:after="0"/>
        <w:jc w:val="both"/>
        <w:rPr>
          <w:rFonts w:eastAsia="Times New Roman" w:cs="Times New Roman"/>
          <w:color w:val="000000" w:themeColor="text1"/>
        </w:rPr>
      </w:pPr>
      <w:r w:rsidRPr="00B65177">
        <w:rPr>
          <w:rFonts w:eastAsia="Times New Roman" w:cs="Times New Roman"/>
          <w:color w:val="000000" w:themeColor="text1"/>
        </w:rPr>
        <w:t> </w:t>
      </w:r>
    </w:p>
    <w:p w14:paraId="6D6D7BB5" w14:textId="77777777" w:rsidR="00B65177" w:rsidRPr="00B65177" w:rsidRDefault="00B65177" w:rsidP="008D71CA">
      <w:pPr>
        <w:pStyle w:val="NormalWeb"/>
        <w:suppressLineNumbers/>
        <w:shd w:val="clear" w:color="auto" w:fill="FFFFFF" w:themeFill="background1"/>
        <w:spacing w:before="0" w:after="0" w:line="480" w:lineRule="auto"/>
        <w:jc w:val="both"/>
        <w:rPr>
          <w:rFonts w:eastAsia="Times New Roman" w:cs="Times New Roman"/>
          <w:color w:val="000000" w:themeColor="text1"/>
        </w:rPr>
      </w:pPr>
      <w:r w:rsidRPr="00B65177">
        <w:rPr>
          <w:rFonts w:eastAsia="Times New Roman" w:cs="Times New Roman"/>
          <w:color w:val="000000" w:themeColor="text1"/>
          <w:u w:val="single"/>
        </w:rPr>
        <w:t>Be it enacted by the Council as follows:</w:t>
      </w:r>
      <w:r w:rsidRPr="00B65177">
        <w:rPr>
          <w:rFonts w:eastAsia="Times New Roman" w:cs="Times New Roman"/>
          <w:color w:val="000000" w:themeColor="text1"/>
        </w:rPr>
        <w:t xml:space="preserve"> </w:t>
      </w:r>
    </w:p>
    <w:p w14:paraId="1C2FBD5A"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000000" w:themeColor="text1"/>
        </w:rPr>
      </w:pPr>
      <w:r w:rsidRPr="00B65177">
        <w:rPr>
          <w:rFonts w:eastAsia="Times New Roman" w:cs="Times New Roman"/>
          <w:color w:val="000000" w:themeColor="text1"/>
        </w:rPr>
        <w:t>Section 1. Chapter 1 of title 25 of the administrative code of the city of New York is amended by adding new sections 25-117 and 25-118 to read as follows:</w:t>
      </w:r>
    </w:p>
    <w:p w14:paraId="6E7FDD11"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000000" w:themeColor="text1"/>
          <w:u w:val="single"/>
        </w:rPr>
      </w:pPr>
      <w:r w:rsidRPr="00B65177">
        <w:rPr>
          <w:rFonts w:eastAsia="Times New Roman" w:cs="Times New Roman"/>
          <w:color w:val="000000" w:themeColor="text1"/>
          <w:u w:val="single"/>
        </w:rPr>
        <w:t>§ 25-117 Equitable development data tool. a. Definitions. For the purposes of this section, the following terms have the following meanings:</w:t>
      </w:r>
    </w:p>
    <w:p w14:paraId="3A50B7EF"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Area median income. The term “area median income” means the income limits as defined annually by the United States department of housing and urban development (HUD) for the New York, NY HUD Metro FMA Area (HMFA).</w:t>
      </w:r>
    </w:p>
    <w:p w14:paraId="45AD0EE3"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Department. The term “department” means the department of housing preservation and development and the department of city planning</w:t>
      </w:r>
      <w:r w:rsidRPr="00B65177">
        <w:rPr>
          <w:rFonts w:ascii="Times New Roman" w:eastAsia="Times New Roman" w:hAnsi="Times New Roman"/>
          <w:vanish/>
          <w:color w:val="000000" w:themeColor="text1"/>
          <w:sz w:val="24"/>
          <w:szCs w:val="24"/>
          <w:u w:val="single"/>
        </w:rPr>
        <w:t>t not including such inor details as legal requirements that would not, in practice, lead to us saying th</w:t>
      </w:r>
      <w:r w:rsidRPr="00B65177">
        <w:rPr>
          <w:rFonts w:ascii="Times New Roman" w:eastAsia="Times New Roman" w:hAnsi="Times New Roman"/>
          <w:color w:val="000000" w:themeColor="text1"/>
          <w:sz w:val="24"/>
          <w:szCs w:val="24"/>
          <w:u w:val="single"/>
        </w:rPr>
        <w:t>.</w:t>
      </w:r>
    </w:p>
    <w:p w14:paraId="1B20E3BF"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Extremely low income (ELI) household. The terms "extremely low income household" and “ELI household” mean a household that has an income of no more than 30 percent of the area median income, adjusted for the size of the household.</w:t>
      </w:r>
    </w:p>
    <w:p w14:paraId="57CDE296"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Extremely low income affordable housing (ELI-AH) unit. The terms "extremely low income affordable housing unit" and “ELI-AH unit” mean a housing unit that is required to be affordable to an extremely low income household pursuant to a</w:t>
      </w:r>
      <w:r w:rsidRPr="00B65177">
        <w:rPr>
          <w:rFonts w:ascii="Times New Roman" w:hAnsi="Times New Roman"/>
          <w:sz w:val="24"/>
          <w:szCs w:val="24"/>
          <w:u w:val="single"/>
        </w:rPr>
        <w:t xml:space="preserve"> regulatory agreement, restrictive declaration or other similar instrument with a federal, state or local governmental entity or instrumentality</w:t>
      </w:r>
      <w:r w:rsidRPr="00B65177">
        <w:rPr>
          <w:rFonts w:ascii="Times New Roman" w:eastAsia="Times New Roman" w:hAnsi="Times New Roman"/>
          <w:color w:val="000000" w:themeColor="text1"/>
          <w:sz w:val="24"/>
          <w:szCs w:val="24"/>
          <w:u w:val="single"/>
        </w:rPr>
        <w:t>.</w:t>
      </w:r>
    </w:p>
    <w:p w14:paraId="107A8A48"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Higher income (HI) household. The terms “higher income household” and “HI household” mean a household that has an income of more than 165 percent of the area median income, adjusted for the size of the household.</w:t>
      </w:r>
    </w:p>
    <w:p w14:paraId="4817B450"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Low income (LI) household. The terms "low income household" and “LI household” mean a household that has an income of more than 50 percent but no more than 80 percent of the area median income, adjusted for the size of the household.</w:t>
      </w:r>
    </w:p>
    <w:p w14:paraId="506D37D4"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Low income affordable housing (LI-AH) unit. The terms "low income affordable housing unit" and “LI-AH unit” mean a housing unit that is required to be affordable to a low income household pursuant to a</w:t>
      </w:r>
      <w:r w:rsidRPr="00B65177">
        <w:rPr>
          <w:rFonts w:ascii="Times New Roman" w:hAnsi="Times New Roman"/>
          <w:sz w:val="24"/>
          <w:szCs w:val="24"/>
          <w:u w:val="single"/>
        </w:rPr>
        <w:t xml:space="preserve"> regulatory agreement, restrictive declaration or other similar instrument with a federal, state or local governmental entity or instrumentality</w:t>
      </w:r>
      <w:r w:rsidRPr="00B65177">
        <w:rPr>
          <w:rFonts w:ascii="Times New Roman" w:eastAsia="Times New Roman" w:hAnsi="Times New Roman"/>
          <w:color w:val="000000" w:themeColor="text1"/>
          <w:sz w:val="24"/>
          <w:szCs w:val="24"/>
          <w:u w:val="single"/>
        </w:rPr>
        <w:t>.</w:t>
      </w:r>
    </w:p>
    <w:p w14:paraId="0903A6E5"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Middle income (MIDI) household. The terms "middle income household" and “MIDI household” mean a household that has an income of more than 120 percent but no more than 165 percent of the area median income, adjusted for the size of the household.</w:t>
      </w:r>
    </w:p>
    <w:p w14:paraId="6C2661BA"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Middle income affordable housing (MIDI-AH) unit. The terms "middle income affordable housing unit" and “MIDI-AH unit” mean a housing unit that is required to be affordable to a middle income household pursuant to a</w:t>
      </w:r>
      <w:r w:rsidRPr="00B65177">
        <w:rPr>
          <w:rFonts w:ascii="Times New Roman" w:hAnsi="Times New Roman"/>
          <w:sz w:val="24"/>
          <w:szCs w:val="24"/>
          <w:u w:val="single"/>
        </w:rPr>
        <w:t xml:space="preserve"> regulatory agreement, restrictive declaration or other similar instrument with a federal, state or local governmental entity or instrumentality</w:t>
      </w:r>
      <w:r w:rsidRPr="00B65177">
        <w:rPr>
          <w:rFonts w:ascii="Times New Roman" w:eastAsia="Times New Roman" w:hAnsi="Times New Roman"/>
          <w:color w:val="000000" w:themeColor="text1"/>
          <w:sz w:val="24"/>
          <w:szCs w:val="24"/>
          <w:u w:val="single"/>
        </w:rPr>
        <w:t>.</w:t>
      </w:r>
    </w:p>
    <w:p w14:paraId="178001CD"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Moderate income (MI) household. The terms "moderate income household" and “MI household” mean a household that has an income of more than 80 percent but no more than 120 percent of the area median income, adjusted for the size of the household.</w:t>
      </w:r>
    </w:p>
    <w:p w14:paraId="24D1D83C"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Moderate income affordable housing (MI-AH) unit. The terms "moderate income affordable housing unit" and “MI-AH unit” mean a housing unit that is required to be affordable to a moderate income household pursuant to a</w:t>
      </w:r>
      <w:r w:rsidRPr="00B65177">
        <w:rPr>
          <w:rFonts w:ascii="Times New Roman" w:hAnsi="Times New Roman"/>
          <w:sz w:val="24"/>
          <w:szCs w:val="24"/>
          <w:u w:val="single"/>
        </w:rPr>
        <w:t xml:space="preserve"> regulatory agreement, restrictive declaration or other similar instrument with a federal, state or local governmental entity or instrumentality</w:t>
      </w:r>
      <w:r w:rsidRPr="00B65177">
        <w:rPr>
          <w:rFonts w:ascii="Times New Roman" w:eastAsia="Times New Roman" w:hAnsi="Times New Roman"/>
          <w:color w:val="000000" w:themeColor="text1"/>
          <w:sz w:val="24"/>
          <w:szCs w:val="24"/>
          <w:u w:val="single"/>
        </w:rPr>
        <w:t>.</w:t>
      </w:r>
    </w:p>
    <w:p w14:paraId="21614992"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Rent burden. The term “rent burden” means household housing costs that exceed 30 percent of the household’s income.</w:t>
      </w:r>
    </w:p>
    <w:p w14:paraId="2C501C5D"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Very low income (VLI) household. The terms "very low income household" and “VLI household” mean a household that has an income of more than 30 percent but no more than 50 percent of the area median income, adjusted for the size of the household.</w:t>
      </w:r>
    </w:p>
    <w:p w14:paraId="185CE9B7"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Very low income affordable housing (VLI-AH) unit. The terms "very low income affordable housing  unit" and “VLI-AH unit” mean a housing unit that is required to be affordable to a very low income household pursuant to a</w:t>
      </w:r>
      <w:r w:rsidRPr="00B65177">
        <w:rPr>
          <w:rFonts w:ascii="Times New Roman" w:hAnsi="Times New Roman"/>
          <w:sz w:val="24"/>
          <w:szCs w:val="24"/>
          <w:u w:val="single"/>
        </w:rPr>
        <w:t xml:space="preserve"> regulatory agreement, restrictive declaration or other similar instrument with a federal, state or local governmental entity or instrumentality</w:t>
      </w:r>
      <w:r w:rsidRPr="00B65177">
        <w:rPr>
          <w:rFonts w:ascii="Times New Roman" w:eastAsia="Times New Roman" w:hAnsi="Times New Roman"/>
          <w:color w:val="000000" w:themeColor="text1"/>
          <w:sz w:val="24"/>
          <w:szCs w:val="24"/>
          <w:u w:val="single"/>
        </w:rPr>
        <w:t>.</w:t>
      </w:r>
    </w:p>
    <w:p w14:paraId="3F7EC15C"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000000" w:themeColor="text1"/>
          <w:u w:val="single"/>
        </w:rPr>
      </w:pPr>
      <w:r w:rsidRPr="00B65177">
        <w:rPr>
          <w:rFonts w:eastAsia="Times New Roman" w:cs="Times New Roman"/>
          <w:color w:val="000000" w:themeColor="text1"/>
          <w:u w:val="single"/>
        </w:rPr>
        <w:t>b. Equitable development data tool. The department, with the cooperation of any other relevant agencies, shall develop and publish an equitable development data tool. The tool shall be available online for public use and any other use required by law. The tool shall be accessible through the city’s website, be updated by the department at least annually, and present the categories, data and indicators set forth in subdivision c of this section at the following levels of geography:  (i) a neighborhood level to be determined by the department, where statistically reliable data is available, (ii) public use microdata area or community district, where statistically reliable data is available, (iii) boroughwide and (iv) citywide. The tool shall be capable of generating reports of such data and indicators for any such level of geography. The department may include additional levels of geography, including census tracts, if statistically reliable data is available.</w:t>
      </w:r>
    </w:p>
    <w:p w14:paraId="7CCCC2E1"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auto"/>
          <w:u w:val="single"/>
          <w:bdr w:val="none" w:sz="0" w:space="0" w:color="auto"/>
        </w:rPr>
      </w:pPr>
      <w:r w:rsidRPr="00B65177">
        <w:rPr>
          <w:rFonts w:eastAsia="Times New Roman" w:cs="Times New Roman"/>
          <w:color w:val="000000" w:themeColor="text1"/>
          <w:u w:val="single"/>
        </w:rPr>
        <w:t xml:space="preserve">c. Categories, data and indicators. The equitable development data tool shall include, but need not be limited to, the following categories: (i) demographic conditions, (ii) household economic security, (iii) neighborhood quality of life and access to opportunity, (iv) housing security, affordability and quality, (v) housing production and (vi) a displacement risk index. Where available, such data shall be disaggregated by race and Hispanic origin, and include data for such categories for the prior two decades to describe recent trends over time. The department, with the cooperation of any other relevant agencies, </w:t>
      </w:r>
      <w:r w:rsidRPr="00B65177">
        <w:rPr>
          <w:rFonts w:eastAsia="Times New Roman" w:cs="Times New Roman"/>
          <w:color w:val="auto"/>
          <w:u w:val="single"/>
          <w:bdr w:val="none" w:sz="0" w:space="0" w:color="auto"/>
        </w:rPr>
        <w:t>may identify data and indicators for each category, provided that such data and indicators shall include, to the extent available, the following:</w:t>
      </w:r>
    </w:p>
    <w:p w14:paraId="565D377C"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auto"/>
          <w:u w:val="single"/>
          <w:bdr w:val="none" w:sz="0" w:space="0" w:color="auto"/>
        </w:rPr>
      </w:pPr>
      <w:r w:rsidRPr="00B65177">
        <w:rPr>
          <w:rFonts w:eastAsia="Times New Roman" w:cs="Times New Roman"/>
          <w:color w:val="auto"/>
          <w:u w:val="single"/>
          <w:bdr w:val="none" w:sz="0" w:space="0" w:color="auto"/>
        </w:rPr>
        <w:t>1. Demographic conditions, including but not limited to race and Hispanic origin, limited English speaking households, foreign born population and age;</w:t>
      </w:r>
    </w:p>
    <w:p w14:paraId="512672BA"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auto"/>
          <w:u w:val="single"/>
          <w:bdr w:val="none" w:sz="0" w:space="0" w:color="auto"/>
        </w:rPr>
      </w:pPr>
      <w:r w:rsidRPr="00B65177">
        <w:rPr>
          <w:rFonts w:eastAsia="Times New Roman" w:cs="Times New Roman"/>
          <w:color w:val="auto"/>
          <w:u w:val="single"/>
          <w:bdr w:val="none" w:sz="0" w:space="0" w:color="auto"/>
        </w:rPr>
        <w:t xml:space="preserve">2. </w:t>
      </w:r>
      <w:r w:rsidRPr="00B65177">
        <w:rPr>
          <w:rFonts w:eastAsia="Times New Roman" w:cs="Times New Roman"/>
          <w:color w:val="auto"/>
          <w:u w:val="single"/>
        </w:rPr>
        <w:t>Household e</w:t>
      </w:r>
      <w:r w:rsidRPr="00B65177">
        <w:rPr>
          <w:rFonts w:eastAsia="Times New Roman" w:cs="Times New Roman"/>
          <w:color w:val="auto"/>
          <w:u w:val="single"/>
          <w:bdr w:val="none" w:sz="0" w:space="0" w:color="auto"/>
        </w:rPr>
        <w:t>conomic security, includ</w:t>
      </w:r>
      <w:r w:rsidRPr="00B65177">
        <w:rPr>
          <w:rFonts w:eastAsia="Times New Roman" w:cs="Times New Roman"/>
          <w:color w:val="auto"/>
          <w:u w:val="single"/>
        </w:rPr>
        <w:t>ing</w:t>
      </w:r>
      <w:r w:rsidRPr="00B65177">
        <w:rPr>
          <w:rFonts w:eastAsia="Times New Roman" w:cs="Times New Roman"/>
          <w:color w:val="auto"/>
          <w:u w:val="single"/>
          <w:bdr w:val="none" w:sz="0" w:space="0" w:color="auto"/>
        </w:rPr>
        <w:t xml:space="preserve"> but not limited to median household income, distribution of households by income levels corresponding to ELI, VLI, LI, MI, MIDI, and HI households, labor force participation, employment by occupation or industry sector, </w:t>
      </w:r>
      <w:r w:rsidRPr="00B65177">
        <w:rPr>
          <w:rFonts w:eastAsia="Times New Roman" w:cs="Times New Roman"/>
          <w:color w:val="auto"/>
          <w:u w:val="single"/>
        </w:rPr>
        <w:t xml:space="preserve">average wages by occupation or industry sector, </w:t>
      </w:r>
      <w:r w:rsidRPr="00B65177">
        <w:rPr>
          <w:rFonts w:eastAsia="Times New Roman" w:cs="Times New Roman"/>
          <w:color w:val="auto"/>
          <w:u w:val="single"/>
          <w:bdr w:val="none" w:sz="0" w:space="0" w:color="auto"/>
        </w:rPr>
        <w:t>and educational attainment;</w:t>
      </w:r>
    </w:p>
    <w:p w14:paraId="4B0C2BE0"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000000" w:themeColor="text1"/>
          <w:u w:val="single"/>
        </w:rPr>
      </w:pPr>
      <w:r w:rsidRPr="00B65177">
        <w:rPr>
          <w:rFonts w:eastAsia="Times New Roman" w:cs="Times New Roman"/>
          <w:color w:val="auto"/>
          <w:u w:val="single"/>
          <w:bdr w:val="none" w:sz="0" w:space="0" w:color="auto"/>
        </w:rPr>
        <w:t xml:space="preserve">3. </w:t>
      </w:r>
      <w:r w:rsidRPr="00B65177">
        <w:rPr>
          <w:rFonts w:eastAsia="Times New Roman" w:cs="Times New Roman"/>
          <w:color w:val="000000" w:themeColor="text1"/>
          <w:u w:val="single"/>
        </w:rPr>
        <w:t>Neighborhood quality of life and access to opportunity, including but not limited to health outcomes, access to open space, indicators of public safety, indicators of school quality, indicators of access to transit and employment opportunities;</w:t>
      </w:r>
    </w:p>
    <w:p w14:paraId="2CFC1634"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000000" w:themeColor="text1"/>
          <w:u w:val="single"/>
        </w:rPr>
      </w:pPr>
      <w:r w:rsidRPr="00B65177">
        <w:rPr>
          <w:rFonts w:eastAsia="Times New Roman" w:cs="Times New Roman"/>
          <w:color w:val="000000" w:themeColor="text1"/>
          <w:u w:val="single"/>
        </w:rPr>
        <w:t xml:space="preserve">4. Housing security, affordability and quality, including but not limited to median rent, median home value, housing tenure, share of housing units that are rent-stabilized, share of housing units that are income-restricted, share of households that are rent-burdened, share of housing units affordable to </w:t>
      </w:r>
      <w:r w:rsidRPr="00B65177">
        <w:rPr>
          <w:rFonts w:eastAsia="Times New Roman" w:cs="Times New Roman"/>
          <w:color w:val="auto"/>
          <w:u w:val="single"/>
          <w:bdr w:val="none" w:sz="0" w:space="0" w:color="auto"/>
        </w:rPr>
        <w:t xml:space="preserve">ELI, VLI, LI, MI, MIDI and HI </w:t>
      </w:r>
      <w:r w:rsidRPr="00B65177">
        <w:rPr>
          <w:rFonts w:eastAsia="Times New Roman" w:cs="Times New Roman"/>
          <w:color w:val="000000" w:themeColor="text1"/>
          <w:u w:val="single"/>
        </w:rPr>
        <w:t>households, residential eviction cases filed in housing court and residential evictions executed by city marshals pursuant to a warrant issued in accordance with section 749 of the real property actions and proceedings law, share of housing units with three or more maintenance deficiencies, share of housing units that are overcrowded, affordable housing lottery applicants and awardees as described in the most recent report required by section 26-2602 and number of individuals and families in the shelter system operated by the department of homeless services or a provider under contract or similar agreement with the department of homeless services by community district based on last known address of such individuals or families, where known.</w:t>
      </w:r>
    </w:p>
    <w:p w14:paraId="5DEC9CF5"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000000" w:themeColor="text1"/>
          <w:u w:val="single"/>
        </w:rPr>
      </w:pPr>
      <w:r w:rsidRPr="00B65177">
        <w:rPr>
          <w:rFonts w:eastAsia="Times New Roman" w:cs="Times New Roman"/>
          <w:color w:val="000000" w:themeColor="text1"/>
          <w:u w:val="single"/>
        </w:rPr>
        <w:t>5. Housing production, including but not limited to total additions and subtractions to housing units; ELI-AH, VLI-AH, LI-AH, MI-AH and MIDI-AH unit production; ELI-AH, VLI-AH, LI-AH, MI-AH and MIDI-AH</w:t>
      </w:r>
      <w:r w:rsidRPr="00B65177" w:rsidDel="00E940CE">
        <w:rPr>
          <w:rFonts w:eastAsia="Times New Roman" w:cs="Times New Roman"/>
          <w:color w:val="000000" w:themeColor="text1"/>
          <w:u w:val="single"/>
        </w:rPr>
        <w:t xml:space="preserve"> </w:t>
      </w:r>
      <w:r w:rsidRPr="00B65177">
        <w:rPr>
          <w:rFonts w:eastAsia="Times New Roman" w:cs="Times New Roman"/>
          <w:color w:val="000000" w:themeColor="text1"/>
          <w:u w:val="single"/>
        </w:rPr>
        <w:t>unit preservation; and portion of area that is within historic districts; and</w:t>
      </w:r>
    </w:p>
    <w:p w14:paraId="594E5B90"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000000" w:themeColor="text1"/>
          <w:u w:val="single"/>
        </w:rPr>
      </w:pPr>
      <w:r w:rsidRPr="00B65177">
        <w:rPr>
          <w:rFonts w:eastAsia="Times New Roman" w:cs="Times New Roman"/>
          <w:color w:val="000000" w:themeColor="text1"/>
          <w:u w:val="single"/>
        </w:rPr>
        <w:t>6. A displacement risk index comprised of indicators of population vulnerability, housing conditions and neighborhood change, including but not limited to race and Hispanic origin, income, English language proficiency, share of housing units that are renter-occupied, share of housing units that are rent-stabilized, share of housing units that are income-restricted, share of households experiencing rent burden, trends in housing prices and rents, and share of housing units with three or more maintenance deficiencies.</w:t>
      </w:r>
    </w:p>
    <w:p w14:paraId="2E1B871E"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000000" w:themeColor="text1"/>
          <w:u w:val="single"/>
        </w:rPr>
      </w:pPr>
      <w:r w:rsidRPr="00B65177">
        <w:rPr>
          <w:rFonts w:eastAsia="Times New Roman" w:cs="Times New Roman"/>
          <w:color w:val="000000" w:themeColor="text1"/>
          <w:u w:val="single"/>
        </w:rPr>
        <w:t xml:space="preserve">d. Availability. The equitable development data tool shall be available for public use by April 1, 2022, provided that the department shall release a draft equitable development data tool before such date and shall hold a public hearing regarding such draft tool not fewer than 60 days after such release. </w:t>
      </w:r>
    </w:p>
    <w:p w14:paraId="711B61A3"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000000" w:themeColor="text1"/>
        </w:rPr>
      </w:pPr>
      <w:r w:rsidRPr="00B65177">
        <w:rPr>
          <w:rFonts w:eastAsia="Times New Roman" w:cs="Times New Roman"/>
          <w:color w:val="000000" w:themeColor="text1"/>
          <w:u w:val="single"/>
        </w:rPr>
        <w:t xml:space="preserve">e. Updates of methodologies and indicators. The department, with the cooperation of any other relevant agencies, shall update the methodologies and indicators comprising the equitable development data tool as new data sources and analytical tools are developed. The website where the tool is available to the public shall include the sources for all data used in the tool, information about limitations or statistical reliability of such data, information about the methodology used to select and weigh the indicators included in the displacement risk index and any necessary explanation about such data that is unavailable or unreliable at any level of geography described in subdivision b of this section. Whenever the department updates such a methodology or indicators the department shall post on such website a description of the update and the reasons for the update. </w:t>
      </w:r>
    </w:p>
    <w:p w14:paraId="427D9EF4"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000000" w:themeColor="text1"/>
          <w:u w:val="single"/>
        </w:rPr>
      </w:pPr>
      <w:r w:rsidRPr="00B65177">
        <w:rPr>
          <w:rFonts w:eastAsia="Times New Roman" w:cs="Times New Roman"/>
          <w:color w:val="000000" w:themeColor="text1"/>
          <w:u w:val="single"/>
        </w:rPr>
        <w:t>§ 25-118 Racial equity report on housing and opportunity. a. Definitions. For the purposes of this section, the following terms have the following meanings:</w:t>
      </w:r>
    </w:p>
    <w:p w14:paraId="6847D07A"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b/>
          <w:bCs/>
          <w:color w:val="000000" w:themeColor="text1"/>
          <w:sz w:val="24"/>
          <w:szCs w:val="24"/>
          <w:u w:val="single"/>
        </w:rPr>
      </w:pPr>
      <w:r w:rsidRPr="00B65177">
        <w:rPr>
          <w:rFonts w:ascii="Times New Roman" w:eastAsia="Times New Roman" w:hAnsi="Times New Roman"/>
          <w:color w:val="000000" w:themeColor="text1"/>
          <w:sz w:val="24"/>
          <w:szCs w:val="24"/>
          <w:u w:val="single"/>
        </w:rPr>
        <w:t xml:space="preserve">Area median income. The term “area median income” </w:t>
      </w:r>
      <w:bookmarkStart w:id="1" w:name="_Hlk73615491"/>
      <w:r w:rsidRPr="00B65177">
        <w:rPr>
          <w:rFonts w:ascii="Times New Roman" w:eastAsia="Times New Roman" w:hAnsi="Times New Roman"/>
          <w:color w:val="000000" w:themeColor="text1"/>
          <w:sz w:val="24"/>
          <w:szCs w:val="24"/>
          <w:u w:val="single"/>
        </w:rPr>
        <w:t xml:space="preserve">has the meaning given to that term in section 25-117.  </w:t>
      </w:r>
      <w:bookmarkEnd w:id="1"/>
    </w:p>
    <w:p w14:paraId="2615D05B"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Community profile. The term “community profile” means data for a local study area drawn from the equitable development data tool required by section 25-117. Such community profile shall include all categories, data and indicators available from such equitable development data tool for</w:t>
      </w:r>
      <w:r w:rsidRPr="00B65177">
        <w:rPr>
          <w:rFonts w:ascii="Times New Roman" w:hAnsi="Times New Roman"/>
          <w:sz w:val="24"/>
          <w:szCs w:val="24"/>
          <w:u w:val="single"/>
        </w:rPr>
        <w:t xml:space="preserve"> </w:t>
      </w:r>
      <w:r w:rsidRPr="00B65177">
        <w:rPr>
          <w:rFonts w:ascii="Times New Roman" w:eastAsia="Times New Roman" w:hAnsi="Times New Roman"/>
          <w:color w:val="000000" w:themeColor="text1"/>
          <w:sz w:val="24"/>
          <w:szCs w:val="24"/>
          <w:u w:val="single"/>
        </w:rPr>
        <w:t>a local study area that best approximates a half-mile radius of the project area based on aggregation of public use microdata areas or community districts or a neighborhood level of geography to be determined by the department.</w:t>
      </w:r>
    </w:p>
    <w:p w14:paraId="2DE70C73"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Department. The term “department” means an agency or agencies designated by the mayor to administer this section.</w:t>
      </w:r>
    </w:p>
    <w:p w14:paraId="13D56601"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 xml:space="preserve">Extremely low income (ELI) household. The terms "extremely low income household" and “ELI household” have the meaning given to those terms in section 25-117. </w:t>
      </w:r>
    </w:p>
    <w:p w14:paraId="7CB7001D"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 xml:space="preserve">Extremely low income affordable housing (ELI-AH) unit. The terms "extremely low income affordable housing unit" and “ELI-AH unit” have the meaning given to those terms in section 25-117. </w:t>
      </w:r>
    </w:p>
    <w:p w14:paraId="138C4AE1"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Floor area.</w:t>
      </w:r>
      <w:r w:rsidRPr="00B65177">
        <w:rPr>
          <w:rFonts w:ascii="Times New Roman" w:eastAsia="Times New Roman" w:hAnsi="Times New Roman"/>
          <w:b/>
          <w:bCs/>
          <w:color w:val="000000" w:themeColor="text1"/>
          <w:sz w:val="24"/>
          <w:szCs w:val="24"/>
          <w:u w:val="single"/>
        </w:rPr>
        <w:t xml:space="preserve"> </w:t>
      </w:r>
      <w:r w:rsidRPr="00B65177">
        <w:rPr>
          <w:rFonts w:ascii="Times New Roman" w:eastAsia="Times New Roman" w:hAnsi="Times New Roman"/>
          <w:color w:val="000000" w:themeColor="text1"/>
          <w:sz w:val="24"/>
          <w:szCs w:val="24"/>
          <w:u w:val="single"/>
        </w:rPr>
        <w:t>The term “floor area” has the meaning given to that term in section 12-10 of the zoning resolution.</w:t>
      </w:r>
    </w:p>
    <w:p w14:paraId="08215469"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bookmarkStart w:id="2" w:name="_Hlk72151409"/>
      <w:r w:rsidRPr="00B65177">
        <w:rPr>
          <w:rFonts w:ascii="Times New Roman" w:eastAsia="Times New Roman" w:hAnsi="Times New Roman"/>
          <w:color w:val="000000" w:themeColor="text1"/>
          <w:sz w:val="24"/>
          <w:szCs w:val="24"/>
          <w:u w:val="single"/>
        </w:rPr>
        <w:t xml:space="preserve">Higher income (HI) household. The terms “higher income household” and “HI household” have the meaning given to those terms in section 25-117. </w:t>
      </w:r>
    </w:p>
    <w:p w14:paraId="01AFFC3E"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Housing cost burden. The term “housing cost burden” means household housing costs that exceed 30 percent of the household’s income.</w:t>
      </w:r>
    </w:p>
    <w:p w14:paraId="576C7D8F"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 xml:space="preserve">Low income (LI) household. The terms "low income household" and “LI household” have the meaning given to those terms in section 25-117. </w:t>
      </w:r>
    </w:p>
    <w:p w14:paraId="7819C924"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 xml:space="preserve">Low income affordable housing (LI-AH) unit. The terms "low income affordable housing unit" and “LI-AH unit” have the meaning given to those terms in section 25-117. </w:t>
      </w:r>
    </w:p>
    <w:p w14:paraId="10465408"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Manufacturing. The term “manufacturing” has the meaning given to that term in section 12-10 of the zoning resolution.</w:t>
      </w:r>
    </w:p>
    <w:p w14:paraId="75126463"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Manufacturing district. The term “manufacturing district” has the meaning giving to that term in section 12-10 of the zoning resolution.</w:t>
      </w:r>
    </w:p>
    <w:p w14:paraId="5DA20D9E"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 xml:space="preserve">Middle income (MIDI) household. The terms "middle income household" and “MIDI household” have the meaning given to those terms in section 25-117. </w:t>
      </w:r>
    </w:p>
    <w:p w14:paraId="2CF156B8"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 xml:space="preserve">Middle income affordable housing (MIDI-AH) unit. The terms "middle income affordable housing unit" and “MIDI-AH unit” have the meaning given to those terms in section 25-117. </w:t>
      </w:r>
    </w:p>
    <w:p w14:paraId="41988F09"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 xml:space="preserve">Moderate income (MI) household. The terms "moderate income household" and “MI household” have the meaning given to those terms in section 25-117.   </w:t>
      </w:r>
    </w:p>
    <w:p w14:paraId="14B41CF8"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 xml:space="preserve">Moderate income affordable housing (MI-AH) unit. The terms "moderate income affordable housing unit" and “MI-AH unit” have the meaning given to those terms in section 25-117. </w:t>
      </w:r>
    </w:p>
    <w:p w14:paraId="5CC8219F"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Preserved. The term "preserved" means received physical rehabilitation or financial operating assistance for existing buildings, or both, in exchange for affordability for existing and future tenants.</w:t>
      </w:r>
      <w:bookmarkEnd w:id="2"/>
    </w:p>
    <w:p w14:paraId="04BEAE34"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Residential. The term “residential” has the meaning giving to that term in section 12-10 of the zoning resolution.</w:t>
      </w:r>
    </w:p>
    <w:p w14:paraId="222DA169"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 xml:space="preserve">Very low income (VLI) household. The terms "very low income household" and “VLI household” have the meaning given to those terms in section 25-117. </w:t>
      </w:r>
    </w:p>
    <w:p w14:paraId="4B960C8A"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 xml:space="preserve">Very low income affordable housing (VLI-AH) unit. The terms "very low income affordable housing unit" and “VLI-AH unit” have the meaning given to those terms in section 25-117. </w:t>
      </w:r>
    </w:p>
    <w:p w14:paraId="566BEA57"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000000" w:themeColor="text1"/>
          <w:u w:val="single"/>
        </w:rPr>
      </w:pPr>
      <w:r w:rsidRPr="00B65177">
        <w:rPr>
          <w:rFonts w:eastAsia="Times New Roman" w:cs="Times New Roman"/>
          <w:color w:val="000000" w:themeColor="text1"/>
          <w:u w:val="single"/>
        </w:rPr>
        <w:t xml:space="preserve">b. Racial equity report on housing and opportunity. For an application submitted on or after June 1, 2022, an applicant shall file, in accordance with this subdivision, a racial equity report described in this section. Such report shall be required for all applications submitted pursuant to section 201 of the charter for a citywide amendment to the zoning resolution affecting 5 or more community districts, applications submitted for designation of historic districts pursuant to section 3020 of the charter affecting at least 4 city blocks, and for applications submitted pursuant to subdivision a of section 197-c of the charter that seek approval for (i) an acquisition or disposition of land to facilitate a non-residential project containing at least 50,000 square feet of floor area, (ii) an acquisition or disposition of land to facilitate a residential project, other than a residential project consisting of a building to be preserved, provided that such equity report shall only be required related to a building in such project containing at least 50,000 square feet of floor area, (iii) an increase in permitted residential floor area of at least 50,000 square feet, (iv) an increase in permitted non-residential floor area by at least 200,000 square feet or (v) a decrease in permitted floor area or number of housing units on at least four contiguous city blocks. However, in addition to the foregoing, any application seeking approval of change to the permitted floor area for any use in a manufacturing district or change to the use regulations of a manufacturing district, whether by change to the zoning map pursuant to section 197-c of the charter, change to the text of the zoning resolution pursuant to section 201 of the charter, or by special permit pursuant to section 197-c of the charter, related to a building in such project containing at least 100,000 square feet of floor area, shall be subject to the requirements of this section. Within nine days of such application being certified or referred by the department of city planning or, in the case of an application for designation of historic districts, within 15 days of such application being designated by the landmarks preservation commission, the department shall provide copies of the racial equity report to the affected community board and borough president, as defined in section 196 of the charter, the affected council member, the </w:t>
      </w:r>
      <w:r w:rsidRPr="00B65177">
        <w:rPr>
          <w:rFonts w:cs="Times New Roman"/>
          <w:color w:val="000000" w:themeColor="text1"/>
          <w:u w:val="single"/>
        </w:rPr>
        <w:t>public advocate and the speaker of the council</w:t>
      </w:r>
      <w:r w:rsidRPr="00B65177">
        <w:rPr>
          <w:rFonts w:eastAsia="Times New Roman" w:cs="Times New Roman"/>
          <w:color w:val="000000" w:themeColor="text1"/>
          <w:u w:val="single"/>
        </w:rPr>
        <w:t>, and shall also promptly post such report on its website. The racial equity report need not be updated if a project changes after an application has been certified or referred by the department of city planning or designated by the landmarks preservation commission. The department, with the cooperation of other relevant agencies,</w:t>
      </w:r>
      <w:r w:rsidRPr="00B65177" w:rsidDel="000B523F">
        <w:rPr>
          <w:rFonts w:eastAsia="Times New Roman" w:cs="Times New Roman"/>
          <w:color w:val="000000" w:themeColor="text1"/>
          <w:u w:val="single"/>
        </w:rPr>
        <w:t xml:space="preserve"> </w:t>
      </w:r>
      <w:r w:rsidRPr="00B65177">
        <w:rPr>
          <w:rFonts w:eastAsia="Times New Roman" w:cs="Times New Roman"/>
          <w:color w:val="000000" w:themeColor="text1"/>
          <w:u w:val="single"/>
        </w:rPr>
        <w:t>shall establish minimum standards for the preparation of the racial equity report and may establish by rule guidance for applicants preparing the report.</w:t>
      </w:r>
    </w:p>
    <w:p w14:paraId="0509EE24"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000000" w:themeColor="text1"/>
          <w:u w:val="single"/>
        </w:rPr>
      </w:pPr>
      <w:r w:rsidRPr="00B65177">
        <w:rPr>
          <w:rFonts w:eastAsia="Times New Roman" w:cs="Times New Roman"/>
          <w:color w:val="000000" w:themeColor="text1"/>
          <w:u w:val="single"/>
        </w:rPr>
        <w:t>c. Contents of racial equity report. A racial equity report filed pursuant to this section shall include:</w:t>
      </w:r>
    </w:p>
    <w:p w14:paraId="69018915"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000000" w:themeColor="text1"/>
          <w:u w:val="single"/>
        </w:rPr>
      </w:pPr>
      <w:r w:rsidRPr="00B65177">
        <w:rPr>
          <w:rFonts w:eastAsia="Times New Roman" w:cs="Times New Roman"/>
          <w:color w:val="000000" w:themeColor="text1"/>
          <w:u w:val="single"/>
        </w:rPr>
        <w:t>1. For all projects, a first section comprised of an executive summary written in plain language.</w:t>
      </w:r>
    </w:p>
    <w:p w14:paraId="7AF4D8B2"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000000" w:themeColor="text1"/>
          <w:u w:val="single"/>
        </w:rPr>
      </w:pPr>
      <w:r w:rsidRPr="00B65177">
        <w:rPr>
          <w:rFonts w:eastAsia="Times New Roman" w:cs="Times New Roman"/>
          <w:color w:val="000000" w:themeColor="text1"/>
          <w:u w:val="single"/>
        </w:rPr>
        <w:t>2. For projects with residential floor area other than a designation of a historic district, a second section listing the number of ELI-AH, VLI-AH, LI-AH, MI-AH and MIDI-AH units and units that are not income-restricted that are expected to be created and their expected rents or prices, as well as the household incomes needed to afford such units without incurring housing cost burden.</w:t>
      </w:r>
    </w:p>
    <w:p w14:paraId="1E2A1E5A"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000000" w:themeColor="text1"/>
          <w:u w:val="single"/>
        </w:rPr>
      </w:pPr>
      <w:r w:rsidRPr="00B65177">
        <w:rPr>
          <w:rFonts w:eastAsia="Times New Roman" w:cs="Times New Roman"/>
          <w:color w:val="000000" w:themeColor="text1"/>
          <w:u w:val="single"/>
        </w:rPr>
        <w:t xml:space="preserve">3. For projects with non-residential floor area when specific non-residential uses are being proposed, other than the designation of a historic district, a second section listing the projected number of jobs in each sector or occupation, median wage levels of such jobs based on the most recently available quarterly census data on employment and wages or other publicly available data, and the racial and ethnic composition and educational attainment of the workforce for the projected sectors of such jobs. </w:t>
      </w:r>
    </w:p>
    <w:p w14:paraId="50DB1592"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000000" w:themeColor="text1"/>
          <w:u w:val="single"/>
        </w:rPr>
      </w:pPr>
      <w:r w:rsidRPr="00B65177">
        <w:rPr>
          <w:rFonts w:eastAsia="Times New Roman" w:cs="Times New Roman"/>
          <w:color w:val="000000" w:themeColor="text1"/>
          <w:u w:val="single"/>
        </w:rPr>
        <w:t xml:space="preserve">4. For all projects other than applications submitted pursuant to section 201 of the charter, the community profile, including a summary of the data on existing conditions and of trends in the prior two decades, and comparison of the community profile for the local study area with the borough and citywide data obtained from the equitable development data tool required by section 25-117, for all categories, data and indicators provided therein, and disaggregated by race and Hispanic origin. For projects with residential floor area, other than a designation of a historic district, such community profile shall first include a summary of the distribution of households by income levels corresponding to ELI, VLI, LI, MI, MIDI and HI households disaggregated by race and Hispanic origin, and of the available data on affordable housing lottery applicants and awardees as described in the most recent report required by section 26-2602. </w:t>
      </w:r>
    </w:p>
    <w:p w14:paraId="7FD768B0"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000000" w:themeColor="text1"/>
          <w:u w:val="single"/>
        </w:rPr>
      </w:pPr>
      <w:r w:rsidRPr="00B65177">
        <w:rPr>
          <w:rFonts w:eastAsia="Times New Roman" w:cs="Times New Roman"/>
          <w:color w:val="000000" w:themeColor="text1"/>
          <w:u w:val="single"/>
        </w:rPr>
        <w:t>5. For all projects, a narrative statement by the applicant of how the proposed project relates to the goals and strategies to affirmatively further fair housing and promote equitable access to opportunity identified within the city’s fair housing plan that is indicated in the department’s rules.</w:t>
      </w:r>
    </w:p>
    <w:p w14:paraId="05D8224D"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000000" w:themeColor="text1"/>
          <w:u w:val="single"/>
        </w:rPr>
      </w:pPr>
      <w:r w:rsidRPr="00B65177">
        <w:rPr>
          <w:rFonts w:eastAsia="Times New Roman" w:cs="Times New Roman"/>
          <w:color w:val="000000" w:themeColor="text1"/>
          <w:u w:val="single"/>
        </w:rPr>
        <w:t>6. For all projects, an estimate of the number of construction jobs to be created by the project.</w:t>
      </w:r>
    </w:p>
    <w:p w14:paraId="4FA888E9"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000000" w:themeColor="text1"/>
          <w:u w:val="single"/>
        </w:rPr>
      </w:pPr>
      <w:r w:rsidRPr="00B65177" w:rsidDel="00AF7D0E">
        <w:rPr>
          <w:rFonts w:eastAsia="Times New Roman" w:cs="Times New Roman"/>
          <w:color w:val="000000" w:themeColor="text1"/>
          <w:u w:val="single"/>
        </w:rPr>
        <w:t xml:space="preserve">d. Failure to provide </w:t>
      </w:r>
      <w:r w:rsidRPr="00B65177">
        <w:rPr>
          <w:rFonts w:eastAsia="Times New Roman" w:cs="Times New Roman"/>
          <w:color w:val="000000" w:themeColor="text1"/>
          <w:u w:val="single"/>
        </w:rPr>
        <w:t>racial equity</w:t>
      </w:r>
      <w:r w:rsidRPr="00B65177" w:rsidDel="00AF7D0E">
        <w:rPr>
          <w:rFonts w:eastAsia="Times New Roman" w:cs="Times New Roman"/>
          <w:color w:val="000000" w:themeColor="text1"/>
          <w:u w:val="single"/>
        </w:rPr>
        <w:t xml:space="preserve"> report. 1. </w:t>
      </w:r>
      <w:r w:rsidRPr="00B65177">
        <w:rPr>
          <w:rFonts w:eastAsia="Times New Roman" w:cs="Times New Roman"/>
          <w:color w:val="000000" w:themeColor="text1"/>
          <w:u w:val="single"/>
        </w:rPr>
        <w:t>The department shall identify on its website any application for which an applicant does not submit a racial equity report as required by this section. The department shall promptly notify any person required to receive such report pursuant to subdivision b of this section that such report was not timely filed, and if such report is subsequently filed, shall notify any such person of such filings.</w:t>
      </w:r>
    </w:p>
    <w:p w14:paraId="0F99418B" w14:textId="77777777" w:rsidR="00B65177" w:rsidRPr="00B65177" w:rsidRDefault="00B65177" w:rsidP="008D71CA">
      <w:pPr>
        <w:pStyle w:val="NormalWeb"/>
        <w:shd w:val="clear" w:color="auto" w:fill="FFFFFF" w:themeFill="background1"/>
        <w:spacing w:before="0" w:after="0" w:line="480" w:lineRule="auto"/>
        <w:ind w:firstLine="720"/>
        <w:jc w:val="both"/>
        <w:rPr>
          <w:rFonts w:eastAsia="Times New Roman" w:cs="Times New Roman"/>
          <w:color w:val="000000" w:themeColor="text1"/>
          <w:u w:val="single"/>
        </w:rPr>
      </w:pPr>
      <w:r w:rsidRPr="00B65177">
        <w:rPr>
          <w:rFonts w:eastAsia="Times New Roman" w:cs="Times New Roman"/>
          <w:color w:val="000000" w:themeColor="text1"/>
          <w:u w:val="single"/>
        </w:rPr>
        <w:t xml:space="preserve">2. </w:t>
      </w:r>
      <w:r w:rsidRPr="00B65177" w:rsidDel="00AF7D0E">
        <w:rPr>
          <w:rFonts w:eastAsia="Times New Roman" w:cs="Times New Roman"/>
          <w:color w:val="000000" w:themeColor="text1"/>
          <w:u w:val="single"/>
        </w:rPr>
        <w:t>This section shall not be construed to create a private right of action to enforce its provisions.</w:t>
      </w:r>
    </w:p>
    <w:p w14:paraId="05741E62" w14:textId="77777777" w:rsidR="00B65177" w:rsidRPr="00B65177" w:rsidRDefault="00B65177" w:rsidP="008D71CA">
      <w:pPr>
        <w:shd w:val="clear" w:color="auto" w:fill="FFFFFF" w:themeFill="background1"/>
        <w:spacing w:after="0" w:line="480" w:lineRule="auto"/>
        <w:ind w:firstLine="720"/>
        <w:jc w:val="both"/>
        <w:rPr>
          <w:rFonts w:ascii="Times New Roman" w:eastAsia="Times New Roman" w:hAnsi="Times New Roman"/>
          <w:color w:val="000000" w:themeColor="text1"/>
          <w:sz w:val="24"/>
          <w:szCs w:val="24"/>
          <w:u w:val="single"/>
        </w:rPr>
      </w:pPr>
      <w:r w:rsidRPr="00B65177">
        <w:rPr>
          <w:rFonts w:ascii="Times New Roman" w:eastAsia="Times New Roman" w:hAnsi="Times New Roman"/>
          <w:color w:val="000000" w:themeColor="text1"/>
          <w:sz w:val="24"/>
          <w:szCs w:val="24"/>
          <w:u w:val="single"/>
        </w:rPr>
        <w:t>§ 3. This local law takes effect immediately.</w:t>
      </w:r>
    </w:p>
    <w:p w14:paraId="52BE4182" w14:textId="77777777" w:rsidR="00B65177" w:rsidRDefault="00B65177" w:rsidP="00B65177">
      <w:pPr>
        <w:pStyle w:val="NormalWeb"/>
        <w:suppressLineNumbers/>
        <w:shd w:val="clear" w:color="auto" w:fill="FFFFFF" w:themeFill="background1"/>
        <w:spacing w:before="0" w:after="0"/>
        <w:jc w:val="both"/>
        <w:rPr>
          <w:rFonts w:eastAsia="Times New Roman" w:cs="Times New Roman"/>
          <w:color w:val="000000" w:themeColor="text1"/>
          <w:sz w:val="20"/>
          <w:szCs w:val="20"/>
        </w:rPr>
      </w:pPr>
    </w:p>
    <w:p w14:paraId="67E402FF" w14:textId="77777777" w:rsidR="00B65177" w:rsidRPr="00FD2767" w:rsidRDefault="00B65177" w:rsidP="00B65177">
      <w:pPr>
        <w:pStyle w:val="NormalWeb"/>
        <w:suppressLineNumbers/>
        <w:shd w:val="clear" w:color="auto" w:fill="FFFFFF" w:themeFill="background1"/>
        <w:spacing w:before="0" w:after="0"/>
        <w:jc w:val="both"/>
        <w:rPr>
          <w:rFonts w:eastAsia="Times New Roman" w:cs="Times New Roman"/>
          <w:color w:val="000000" w:themeColor="text1"/>
          <w:sz w:val="20"/>
          <w:szCs w:val="20"/>
        </w:rPr>
      </w:pPr>
    </w:p>
    <w:p w14:paraId="14F51930" w14:textId="77777777" w:rsidR="00162BD1" w:rsidRPr="0039590B" w:rsidRDefault="00162BD1" w:rsidP="006A1770">
      <w:pPr>
        <w:pStyle w:val="NormalWeb"/>
        <w:suppressLineNumbers/>
        <w:shd w:val="clear" w:color="auto" w:fill="FFFFFF" w:themeFill="background1"/>
        <w:spacing w:before="0" w:after="0" w:line="480" w:lineRule="auto"/>
        <w:jc w:val="center"/>
        <w:rPr>
          <w:rFonts w:ascii="Times" w:eastAsia="Times New Roman" w:hAnsi="Times"/>
          <w:color w:val="4472C4" w:themeColor="accent5"/>
        </w:rPr>
      </w:pPr>
    </w:p>
    <w:sectPr w:rsidR="00162BD1" w:rsidRPr="0039590B" w:rsidSect="00A07D4B">
      <w:footerReference w:type="even" r:id="rId10"/>
      <w:footerReference w:type="default" r:id="rId11"/>
      <w:pgSz w:w="12240" w:h="15840"/>
      <w:pgMar w:top="1440" w:right="1440" w:bottom="1440" w:left="1440" w:header="720" w:footer="720"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9491B" w14:textId="77777777" w:rsidR="00EB71D5" w:rsidRDefault="00EB71D5" w:rsidP="00133A5F">
      <w:pPr>
        <w:spacing w:after="0" w:line="240" w:lineRule="auto"/>
      </w:pPr>
      <w:r>
        <w:separator/>
      </w:r>
    </w:p>
  </w:endnote>
  <w:endnote w:type="continuationSeparator" w:id="0">
    <w:p w14:paraId="787FBDB0" w14:textId="77777777" w:rsidR="00EB71D5" w:rsidRDefault="00EB71D5" w:rsidP="0013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669099668"/>
      <w:docPartObj>
        <w:docPartGallery w:val="Page Numbers (Bottom of Page)"/>
        <w:docPartUnique/>
      </w:docPartObj>
    </w:sdtPr>
    <w:sdtEndPr>
      <w:rPr>
        <w:noProof/>
      </w:rPr>
    </w:sdtEndPr>
    <w:sdtContent>
      <w:p w14:paraId="4AF5E194" w14:textId="3E72B798" w:rsidR="00D76617" w:rsidRPr="00D955AD" w:rsidRDefault="00D76617">
        <w:pPr>
          <w:pStyle w:val="Footer"/>
          <w:jc w:val="center"/>
          <w:rPr>
            <w:rFonts w:ascii="Times New Roman" w:hAnsi="Times New Roman"/>
            <w:sz w:val="24"/>
            <w:szCs w:val="24"/>
          </w:rPr>
        </w:pPr>
        <w:r w:rsidRPr="00D955AD">
          <w:rPr>
            <w:rFonts w:ascii="Times New Roman" w:hAnsi="Times New Roman"/>
            <w:sz w:val="24"/>
            <w:szCs w:val="24"/>
          </w:rPr>
          <w:fldChar w:fldCharType="begin"/>
        </w:r>
        <w:r w:rsidRPr="00D955AD">
          <w:rPr>
            <w:rFonts w:ascii="Times New Roman" w:hAnsi="Times New Roman"/>
            <w:sz w:val="24"/>
            <w:szCs w:val="24"/>
          </w:rPr>
          <w:instrText xml:space="preserve"> PAGE   \* MERGEFORMAT </w:instrText>
        </w:r>
        <w:r w:rsidRPr="00D955AD">
          <w:rPr>
            <w:rFonts w:ascii="Times New Roman" w:hAnsi="Times New Roman"/>
            <w:sz w:val="24"/>
            <w:szCs w:val="24"/>
          </w:rPr>
          <w:fldChar w:fldCharType="separate"/>
        </w:r>
        <w:r w:rsidR="00D9076A">
          <w:rPr>
            <w:rFonts w:ascii="Times New Roman" w:hAnsi="Times New Roman"/>
            <w:noProof/>
            <w:sz w:val="24"/>
            <w:szCs w:val="24"/>
          </w:rPr>
          <w:t>11</w:t>
        </w:r>
        <w:r w:rsidRPr="00D955AD">
          <w:rPr>
            <w:rFonts w:ascii="Times New Roman" w:hAnsi="Times New Roman"/>
            <w:noProof/>
            <w:sz w:val="24"/>
            <w:szCs w:val="24"/>
          </w:rPr>
          <w:fldChar w:fldCharType="end"/>
        </w:r>
      </w:p>
    </w:sdtContent>
  </w:sdt>
  <w:p w14:paraId="55DBBBD7" w14:textId="77777777" w:rsidR="00D76617" w:rsidRDefault="00D76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8453825"/>
      <w:docPartObj>
        <w:docPartGallery w:val="Page Numbers (Bottom of Page)"/>
        <w:docPartUnique/>
      </w:docPartObj>
    </w:sdtPr>
    <w:sdtEndPr>
      <w:rPr>
        <w:rStyle w:val="PageNumber"/>
      </w:rPr>
    </w:sdtEndPr>
    <w:sdtContent>
      <w:p w14:paraId="3153EA9F" w14:textId="77777777" w:rsidR="00A81783" w:rsidRDefault="00DB33C2" w:rsidP="00B114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5CA482" w14:textId="77777777" w:rsidR="00A81783" w:rsidRDefault="00D90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0805887"/>
      <w:docPartObj>
        <w:docPartGallery w:val="Page Numbers (Bottom of Page)"/>
        <w:docPartUnique/>
      </w:docPartObj>
    </w:sdtPr>
    <w:sdtEndPr>
      <w:rPr>
        <w:rStyle w:val="PageNumber"/>
      </w:rPr>
    </w:sdtEndPr>
    <w:sdtContent>
      <w:p w14:paraId="646FE71E" w14:textId="79C40C9A" w:rsidR="00A81783" w:rsidRDefault="00DB33C2" w:rsidP="00B114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9076A">
          <w:rPr>
            <w:rStyle w:val="PageNumber"/>
            <w:noProof/>
          </w:rPr>
          <w:t>22</w:t>
        </w:r>
        <w:r>
          <w:rPr>
            <w:rStyle w:val="PageNumber"/>
          </w:rPr>
          <w:fldChar w:fldCharType="end"/>
        </w:r>
      </w:p>
    </w:sdtContent>
  </w:sdt>
  <w:p w14:paraId="34025B57" w14:textId="77777777" w:rsidR="00A81783" w:rsidRDefault="00D90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3D75B" w14:textId="77777777" w:rsidR="00EB71D5" w:rsidRDefault="00EB71D5" w:rsidP="00133A5F">
      <w:pPr>
        <w:spacing w:after="0" w:line="240" w:lineRule="auto"/>
      </w:pPr>
      <w:r>
        <w:separator/>
      </w:r>
    </w:p>
  </w:footnote>
  <w:footnote w:type="continuationSeparator" w:id="0">
    <w:p w14:paraId="4A7F0937" w14:textId="77777777" w:rsidR="00EB71D5" w:rsidRDefault="00EB71D5" w:rsidP="00133A5F">
      <w:pPr>
        <w:spacing w:after="0" w:line="240" w:lineRule="auto"/>
      </w:pPr>
      <w:r>
        <w:continuationSeparator/>
      </w:r>
    </w:p>
  </w:footnote>
  <w:footnote w:id="1">
    <w:p w14:paraId="6B06CC2C" w14:textId="77777777" w:rsidR="00D76617" w:rsidRPr="000131F0" w:rsidRDefault="00D76617">
      <w:pPr>
        <w:pStyle w:val="FootnoteText"/>
        <w:rPr>
          <w:rFonts w:ascii="Times New Roman" w:hAnsi="Times New Roman" w:cs="Times New Roman"/>
          <w:color w:val="000000" w:themeColor="text1"/>
        </w:rPr>
      </w:pPr>
      <w:r w:rsidRPr="000131F0">
        <w:rPr>
          <w:rStyle w:val="FootnoteReference"/>
          <w:rFonts w:ascii="Times New Roman" w:hAnsi="Times New Roman" w:cs="Times New Roman"/>
          <w:color w:val="000000" w:themeColor="text1"/>
        </w:rPr>
        <w:footnoteRef/>
      </w:r>
      <w:r>
        <w:rPr>
          <w:rStyle w:val="normaltextrun"/>
          <w:rFonts w:ascii="Times New Roman" w:hAnsi="Times New Roman" w:cs="Times New Roman"/>
          <w:color w:val="000000" w:themeColor="text1"/>
          <w:u w:val="single"/>
          <w:shd w:val="clear" w:color="auto" w:fill="FFFFFF"/>
        </w:rPr>
        <w:t xml:space="preserve"> </w:t>
      </w:r>
      <w:r w:rsidRPr="00D955AD">
        <w:rPr>
          <w:rStyle w:val="normaltextrun"/>
          <w:rFonts w:ascii="Times New Roman" w:hAnsi="Times New Roman" w:cs="Times New Roman"/>
          <w:color w:val="000000" w:themeColor="text1"/>
          <w:shd w:val="clear" w:color="auto" w:fill="FFFFFF"/>
        </w:rPr>
        <w:t>US Department of Transportation, Federal Transit Administration. Circular FTA C 4702.1B: Title VIE Requirements and Guidelines for FTA Recipients.</w:t>
      </w:r>
      <w:r>
        <w:rPr>
          <w:rStyle w:val="normaltextrun"/>
          <w:rFonts w:ascii="Times New Roman" w:hAnsi="Times New Roman" w:cs="Times New Roman"/>
          <w:color w:val="000000" w:themeColor="text1"/>
          <w:shd w:val="clear" w:color="auto" w:fill="FFFFFF"/>
        </w:rPr>
        <w:t xml:space="preserve"> (October 2012).</w:t>
      </w:r>
      <w:r w:rsidRPr="00D955AD">
        <w:rPr>
          <w:rStyle w:val="normaltextrun"/>
          <w:rFonts w:ascii="Times New Roman" w:hAnsi="Times New Roman" w:cs="Times New Roman"/>
          <w:color w:val="000000" w:themeColor="text1"/>
          <w:shd w:val="clear" w:color="auto" w:fill="FFFFFF"/>
        </w:rPr>
        <w:t xml:space="preserve"> Available at</w:t>
      </w:r>
      <w:r>
        <w:rPr>
          <w:rStyle w:val="normaltextrun"/>
          <w:rFonts w:ascii="Times New Roman" w:hAnsi="Times New Roman" w:cs="Times New Roman"/>
          <w:color w:val="000000" w:themeColor="text1"/>
          <w:u w:val="single"/>
          <w:shd w:val="clear" w:color="auto" w:fill="FFFFFF"/>
        </w:rPr>
        <w:t xml:space="preserve"> </w:t>
      </w:r>
      <w:r w:rsidRPr="004E4ABF">
        <w:rPr>
          <w:rStyle w:val="normaltextrun"/>
          <w:rFonts w:ascii="Times New Roman" w:hAnsi="Times New Roman" w:cs="Times New Roman"/>
          <w:color w:val="000000" w:themeColor="text1"/>
          <w:u w:val="single"/>
          <w:shd w:val="clear" w:color="auto" w:fill="FFFFFF"/>
        </w:rPr>
        <w:t>https://www.transit.dot.gov/sites/fta.dot.gov/files/docs/FTA_Title_VI_FINAL.pdf</w:t>
      </w:r>
      <w:r w:rsidRPr="000131F0">
        <w:rPr>
          <w:rStyle w:val="normaltextrun"/>
          <w:rFonts w:ascii="Times New Roman" w:hAnsi="Times New Roman" w:cs="Times New Roman"/>
          <w:color w:val="000000" w:themeColor="text1"/>
          <w:shd w:val="clear" w:color="auto" w:fill="FFFFFF"/>
        </w:rPr>
        <w:t>; </w:t>
      </w:r>
      <w:r>
        <w:rPr>
          <w:rStyle w:val="normaltextrun"/>
          <w:rFonts w:ascii="Times New Roman" w:hAnsi="Times New Roman" w:cs="Times New Roman"/>
          <w:color w:val="000000" w:themeColor="text1"/>
          <w:shd w:val="clear" w:color="auto" w:fill="FFFFFF"/>
        </w:rPr>
        <w:t xml:space="preserve">New York Metropolitan Transportation Council. Plan 2040, Appendix 4: Environmental Justice and Title VI. Available at </w:t>
      </w:r>
      <w:r w:rsidRPr="009902D6">
        <w:rPr>
          <w:rFonts w:ascii="Times New Roman" w:hAnsi="Times New Roman" w:cs="Times New Roman"/>
          <w:shd w:val="clear" w:color="auto" w:fill="FFFFFF"/>
        </w:rPr>
        <w:t>https://www.nymtc.org/portals/0/pdf/Appendix4.pdf</w:t>
      </w:r>
    </w:p>
  </w:footnote>
  <w:footnote w:id="2">
    <w:p w14:paraId="7ED3AF17" w14:textId="77777777" w:rsidR="00D76617" w:rsidRPr="000131F0" w:rsidRDefault="00D76617">
      <w:pPr>
        <w:pStyle w:val="FootnoteText"/>
        <w:rPr>
          <w:rFonts w:ascii="Times New Roman" w:hAnsi="Times New Roman" w:cs="Times New Roman"/>
        </w:rPr>
      </w:pPr>
      <w:r w:rsidRPr="000131F0">
        <w:rPr>
          <w:rStyle w:val="FootnoteReference"/>
          <w:rFonts w:ascii="Times New Roman" w:hAnsi="Times New Roman" w:cs="Times New Roman"/>
        </w:rPr>
        <w:footnoteRef/>
      </w:r>
      <w:r w:rsidRPr="000131F0">
        <w:rPr>
          <w:rFonts w:ascii="Times New Roman" w:hAnsi="Times New Roman" w:cs="Times New Roman"/>
        </w:rPr>
        <w:t xml:space="preserve"> </w:t>
      </w:r>
      <w:r>
        <w:rPr>
          <w:rFonts w:ascii="Times New Roman" w:hAnsi="Times New Roman" w:cs="Times New Roman"/>
        </w:rPr>
        <w:t xml:space="preserve">National League of Cities. Municipal Action Guide Advancing Racial Equity in Your City. Available at </w:t>
      </w:r>
      <w:r w:rsidRPr="009902D6">
        <w:rPr>
          <w:rFonts w:ascii="Times New Roman" w:hAnsi="Times New Roman" w:cs="Times New Roman"/>
        </w:rPr>
        <w:t>https://www.nlc.org/wp-content/uploads/2017/10/NLC-MAG-on-Racial-Equity.pdf</w:t>
      </w:r>
      <w:r w:rsidRPr="000131F0">
        <w:rPr>
          <w:rFonts w:ascii="Times New Roman" w:hAnsi="Times New Roman" w:cs="Times New Roman"/>
        </w:rPr>
        <w:t xml:space="preserve"> </w:t>
      </w:r>
    </w:p>
  </w:footnote>
  <w:footnote w:id="3">
    <w:p w14:paraId="19F0EFFB" w14:textId="77777777" w:rsidR="00D76617" w:rsidRPr="007C24A4" w:rsidRDefault="00D76617">
      <w:pPr>
        <w:pStyle w:val="FootnoteText"/>
        <w:rPr>
          <w:rFonts w:ascii="Times New Roman" w:hAnsi="Times New Roman" w:cs="Times New Roman"/>
          <w:color w:val="000000" w:themeColor="text1"/>
        </w:rPr>
      </w:pPr>
      <w:r w:rsidRPr="000131F0">
        <w:rPr>
          <w:rStyle w:val="FootnoteReference"/>
          <w:rFonts w:ascii="Times New Roman" w:hAnsi="Times New Roman" w:cs="Times New Roman"/>
          <w:color w:val="000000" w:themeColor="text1"/>
        </w:rPr>
        <w:footnoteRef/>
      </w:r>
      <w:r w:rsidRPr="00B75FDF">
        <w:rPr>
          <w:rFonts w:ascii="Times New Roman" w:hAnsi="Times New Roman" w:cs="Times New Roman"/>
          <w:color w:val="000000" w:themeColor="text1"/>
        </w:rPr>
        <w:t>Seattle Office of Pla</w:t>
      </w:r>
      <w:r>
        <w:rPr>
          <w:rFonts w:ascii="Times New Roman" w:hAnsi="Times New Roman" w:cs="Times New Roman"/>
          <w:color w:val="000000" w:themeColor="text1"/>
        </w:rPr>
        <w:t>nning and Community Development.</w:t>
      </w:r>
      <w:r w:rsidRPr="00B75FDF">
        <w:rPr>
          <w:rFonts w:ascii="Times New Roman" w:hAnsi="Times New Roman" w:cs="Times New Roman"/>
          <w:color w:val="000000" w:themeColor="text1"/>
        </w:rPr>
        <w:t xml:space="preserve"> Seattle 2035: Growth and Equity: Analyzing Impacts on Displacement and Opportunity Related to Seattle’s Growth Strategy</w:t>
      </w:r>
      <w:r>
        <w:rPr>
          <w:rFonts w:ascii="Times New Roman" w:hAnsi="Times New Roman" w:cs="Times New Roman"/>
          <w:color w:val="000000" w:themeColor="text1"/>
        </w:rPr>
        <w:t>. (May 2016). A</w:t>
      </w:r>
      <w:r w:rsidRPr="00B75FDF">
        <w:rPr>
          <w:rFonts w:ascii="Times New Roman" w:hAnsi="Times New Roman" w:cs="Times New Roman"/>
          <w:color w:val="000000" w:themeColor="text1"/>
        </w:rPr>
        <w:t xml:space="preserve">vailable at </w:t>
      </w:r>
      <w:r w:rsidRPr="001F091B">
        <w:rPr>
          <w:rFonts w:ascii="Times New Roman" w:hAnsi="Times New Roman" w:cs="Times New Roman"/>
        </w:rPr>
        <w:t>https://www.seattle.gov/Documents/Departments/OPCD/OngoingInitiatives/SeattlesComprehensivePlan/FinalGrowthandEquityAnalysis.pdf</w:t>
      </w:r>
      <w:r>
        <w:rPr>
          <w:rFonts w:ascii="Times New Roman" w:hAnsi="Times New Roman" w:cs="Times New Roman"/>
          <w:color w:val="000000" w:themeColor="text1"/>
        </w:rPr>
        <w:t xml:space="preserve"> </w:t>
      </w:r>
    </w:p>
  </w:footnote>
  <w:footnote w:id="4">
    <w:p w14:paraId="4B3335F1" w14:textId="77777777" w:rsidR="00D76617" w:rsidRPr="006E0F57" w:rsidRDefault="00D76617">
      <w:pPr>
        <w:pStyle w:val="FootnoteText"/>
        <w:rPr>
          <w:rFonts w:ascii="Times New Roman" w:hAnsi="Times New Roman" w:cs="Times New Roman"/>
        </w:rPr>
      </w:pPr>
      <w:r w:rsidRPr="006E0F57">
        <w:rPr>
          <w:rStyle w:val="FootnoteReference"/>
          <w:rFonts w:ascii="Times New Roman" w:hAnsi="Times New Roman" w:cs="Times New Roman"/>
        </w:rPr>
        <w:footnoteRef/>
      </w:r>
      <w:r w:rsidRPr="006E0F57">
        <w:rPr>
          <w:rFonts w:ascii="Times New Roman" w:hAnsi="Times New Roman" w:cs="Times New Roman"/>
        </w:rPr>
        <w:t xml:space="preserve"> </w:t>
      </w:r>
      <w:r>
        <w:rPr>
          <w:rFonts w:ascii="Times New Roman" w:hAnsi="Times New Roman" w:cs="Times New Roman"/>
        </w:rPr>
        <w:t xml:space="preserve">Mayor Bill de Blasio. Where We Live NYC: Fair Housing Together. (October 2020). Available at </w:t>
      </w:r>
      <w:r w:rsidRPr="00F51168">
        <w:rPr>
          <w:rFonts w:ascii="Times New Roman" w:hAnsi="Times New Roman" w:cs="Times New Roman"/>
        </w:rPr>
        <w:t>https://www1.nyc.gov/assets/hpd/downloads/pdfs/wwl-plan.pdf</w:t>
      </w:r>
      <w:r w:rsidRPr="006E0F57">
        <w:rPr>
          <w:rFonts w:ascii="Times New Roman" w:hAnsi="Times New Roman" w:cs="Times New Roman"/>
        </w:rPr>
        <w:t xml:space="preserve"> </w:t>
      </w:r>
    </w:p>
  </w:footnote>
  <w:footnote w:id="5">
    <w:p w14:paraId="06A93C84" w14:textId="77777777" w:rsidR="00D76617" w:rsidRPr="006E0F57" w:rsidRDefault="00D76617">
      <w:pPr>
        <w:pStyle w:val="FootnoteText"/>
        <w:rPr>
          <w:rFonts w:ascii="Times New Roman" w:hAnsi="Times New Roman" w:cs="Times New Roman"/>
          <w:color w:val="000000" w:themeColor="text1"/>
        </w:rPr>
      </w:pPr>
      <w:r w:rsidRPr="006E0F57">
        <w:rPr>
          <w:rStyle w:val="FootnoteReference"/>
          <w:rFonts w:ascii="Times New Roman" w:hAnsi="Times New Roman" w:cs="Times New Roman"/>
          <w:color w:val="000000" w:themeColor="text1"/>
        </w:rPr>
        <w:footnoteRef/>
      </w:r>
      <w:r w:rsidRPr="00E26044">
        <w:rPr>
          <w:rStyle w:val="normaltextrun"/>
          <w:rFonts w:ascii="Times New Roman" w:hAnsi="Times New Roman" w:cs="Times New Roman"/>
          <w:color w:val="000000" w:themeColor="text1"/>
          <w:u w:val="single"/>
          <w:shd w:val="clear" w:color="auto" w:fill="FFFFFF"/>
        </w:rPr>
        <w:t xml:space="preserve">  Furman Center for Real Estate </w:t>
      </w:r>
      <w:r w:rsidRPr="00820A13">
        <w:rPr>
          <w:rStyle w:val="normaltextrun"/>
          <w:rFonts w:ascii="Times New Roman" w:hAnsi="Times New Roman" w:cs="Times New Roman"/>
          <w:color w:val="000000" w:themeColor="text1"/>
          <w:shd w:val="clear" w:color="auto" w:fill="FFFFFF"/>
        </w:rPr>
        <w:t xml:space="preserve">and </w:t>
      </w:r>
      <w:r>
        <w:rPr>
          <w:rStyle w:val="normaltextrun"/>
          <w:rFonts w:ascii="Times New Roman" w:hAnsi="Times New Roman" w:cs="Times New Roman"/>
          <w:color w:val="000000" w:themeColor="text1"/>
          <w:shd w:val="clear" w:color="auto" w:fill="FFFFFF"/>
        </w:rPr>
        <w:t>Urban Policy.</w:t>
      </w:r>
      <w:r w:rsidRPr="00820A13">
        <w:rPr>
          <w:rStyle w:val="normaltextrun"/>
          <w:rFonts w:ascii="Times New Roman" w:hAnsi="Times New Roman" w:cs="Times New Roman"/>
          <w:color w:val="000000" w:themeColor="text1"/>
          <w:shd w:val="clear" w:color="auto" w:fill="FFFFFF"/>
        </w:rPr>
        <w:t xml:space="preserve"> How Have Recent Rezonings Affected the City’s Ability to Grow?</w:t>
      </w:r>
      <w:r>
        <w:rPr>
          <w:rStyle w:val="normaltextrun"/>
          <w:rFonts w:ascii="Times New Roman" w:hAnsi="Times New Roman" w:cs="Times New Roman"/>
          <w:color w:val="000000" w:themeColor="text1"/>
          <w:shd w:val="clear" w:color="auto" w:fill="FFFFFF"/>
        </w:rPr>
        <w:t xml:space="preserve"> (March 2010). A</w:t>
      </w:r>
      <w:r w:rsidRPr="00820A13">
        <w:rPr>
          <w:rStyle w:val="normaltextrun"/>
          <w:rFonts w:ascii="Times New Roman" w:hAnsi="Times New Roman" w:cs="Times New Roman"/>
          <w:color w:val="000000" w:themeColor="text1"/>
          <w:shd w:val="clear" w:color="auto" w:fill="FFFFFF"/>
        </w:rPr>
        <w:t>vailable at https://furmancenter.org/files/publications/Rezonings_Furman_Center_Policy_Brief_March_2010.pdf</w:t>
      </w:r>
    </w:p>
  </w:footnote>
  <w:footnote w:id="6">
    <w:p w14:paraId="25833EE4" w14:textId="77777777" w:rsidR="00D76617" w:rsidRPr="007C24A4" w:rsidRDefault="00D76617">
      <w:pPr>
        <w:pStyle w:val="FootnoteText"/>
        <w:rPr>
          <w:rFonts w:ascii="Times New Roman" w:hAnsi="Times New Roman" w:cs="Times New Roman"/>
          <w:color w:val="000000" w:themeColor="text1"/>
        </w:rPr>
      </w:pPr>
      <w:r w:rsidRPr="006E0F57">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Churches United for Fair Housing. Zoning and Racialized Displacement in NYC. Available at </w:t>
      </w:r>
      <w:r w:rsidRPr="00F51168">
        <w:rPr>
          <w:rFonts w:ascii="Times New Roman" w:hAnsi="Times New Roman" w:cs="Times New Roman"/>
        </w:rPr>
        <w:t>https://static1.squarespace.com/static/5dc0429de5717c7ff1caead0/t/5de6c0e683bec649d37ab0cc/1575403753814/Zoning+and+Racialized+Displacement+in+NYC.pdf</w:t>
      </w:r>
      <w:r>
        <w:rPr>
          <w:rFonts w:ascii="Times New Roman" w:hAnsi="Times New Roman" w:cs="Times New Roman"/>
          <w:color w:val="000000" w:themeColor="text1"/>
        </w:rPr>
        <w:t xml:space="preserve"> </w:t>
      </w:r>
    </w:p>
  </w:footnote>
  <w:footnote w:id="7">
    <w:p w14:paraId="37106760" w14:textId="77777777" w:rsidR="00D76617" w:rsidRPr="007C24A4" w:rsidRDefault="00D76617" w:rsidP="006D6CD2">
      <w:pPr>
        <w:pStyle w:val="ListParagraph"/>
        <w:spacing w:after="0" w:line="240" w:lineRule="auto"/>
        <w:ind w:left="0"/>
        <w:rPr>
          <w:rFonts w:ascii="Times New Roman" w:eastAsia="Times New Roman" w:hAnsi="Times New Roman"/>
          <w:b/>
          <w:smallCaps/>
          <w:color w:val="000000" w:themeColor="text1"/>
          <w:sz w:val="20"/>
          <w:szCs w:val="20"/>
          <w:u w:val="single"/>
        </w:rPr>
      </w:pPr>
      <w:r w:rsidRPr="007C24A4">
        <w:rPr>
          <w:rStyle w:val="FootnoteReference"/>
          <w:rFonts w:ascii="Times New Roman" w:hAnsi="Times New Roman"/>
          <w:color w:val="000000" w:themeColor="text1"/>
          <w:sz w:val="20"/>
          <w:szCs w:val="20"/>
        </w:rPr>
        <w:footnoteRef/>
      </w:r>
      <w:r>
        <w:rPr>
          <w:rFonts w:ascii="Times New Roman" w:hAnsi="Times New Roman"/>
          <w:color w:val="000000" w:themeColor="text1"/>
          <w:sz w:val="20"/>
          <w:szCs w:val="20"/>
        </w:rPr>
        <w:t xml:space="preserve"> Sadef Ali Kully. Call for City to Assess Racial Impact as it Reviews Impact of Real-Estate Development. City Limits. (January 15, 2019). Available at</w:t>
      </w:r>
      <w:r w:rsidRPr="007C24A4">
        <w:rPr>
          <w:rFonts w:ascii="Times New Roman" w:hAnsi="Times New Roman"/>
          <w:color w:val="000000" w:themeColor="text1"/>
          <w:sz w:val="20"/>
          <w:szCs w:val="20"/>
        </w:rPr>
        <w:t xml:space="preserve"> </w:t>
      </w:r>
      <w:r w:rsidRPr="00737D84">
        <w:rPr>
          <w:rFonts w:ascii="Times New Roman" w:hAnsi="Times New Roman"/>
          <w:sz w:val="20"/>
          <w:szCs w:val="20"/>
        </w:rPr>
        <w:t>https://citylimits.org/2019/01/15/call-for-city-to-assess-racial-impact-as-it-reviews-impact-of-real-estate-development/</w:t>
      </w:r>
      <w:r>
        <w:rPr>
          <w:rFonts w:ascii="Times New Roman" w:hAnsi="Times New Roman"/>
          <w:color w:val="000000" w:themeColor="text1"/>
          <w:sz w:val="20"/>
          <w:szCs w:val="20"/>
        </w:rPr>
        <w:t xml:space="preserve"> </w:t>
      </w:r>
    </w:p>
    <w:p w14:paraId="0B5AB0B5" w14:textId="77777777" w:rsidR="00D76617" w:rsidRPr="007C24A4" w:rsidRDefault="00D76617">
      <w:pPr>
        <w:pStyle w:val="FootnoteText"/>
        <w:rPr>
          <w:rFonts w:ascii="Times New Roman" w:hAnsi="Times New Roman" w:cs="Times New Roman"/>
          <w:color w:val="000000" w:themeColor="text1"/>
        </w:rPr>
      </w:pPr>
    </w:p>
  </w:footnote>
  <w:footnote w:id="8">
    <w:p w14:paraId="3139D9A2" w14:textId="77777777" w:rsidR="00D76617" w:rsidRPr="007C24A4" w:rsidRDefault="00D76617">
      <w:pPr>
        <w:pStyle w:val="FootnoteText"/>
        <w:rPr>
          <w:rFonts w:ascii="Times New Roman" w:hAnsi="Times New Roman" w:cs="Times New Roman"/>
          <w:color w:val="000000" w:themeColor="text1"/>
        </w:rPr>
      </w:pPr>
      <w:r w:rsidRPr="007C24A4">
        <w:rPr>
          <w:rStyle w:val="FootnoteReference"/>
          <w:rFonts w:ascii="Times New Roman" w:hAnsi="Times New Roman" w:cs="Times New Roman"/>
          <w:color w:val="000000" w:themeColor="text1"/>
        </w:rPr>
        <w:footnoteRef/>
      </w:r>
      <w:r w:rsidRPr="007C24A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Federal Department of Housing and Urban Development. FR-6228-F-01 Preserving Community and Neighborhood Choice. (August 2020). Available at </w:t>
      </w:r>
      <w:r w:rsidRPr="001A50D2">
        <w:t>https://beta.regulations.gov/document/HUD-2020-0053-0001</w:t>
      </w:r>
      <w:r>
        <w:rPr>
          <w:rFonts w:ascii="Times New Roman" w:eastAsia="Times New Roman" w:hAnsi="Times New Roman" w:cs="Times New Roman"/>
          <w:color w:val="000000" w:themeColor="text1"/>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985"/>
    <w:multiLevelType w:val="hybridMultilevel"/>
    <w:tmpl w:val="72500418"/>
    <w:lvl w:ilvl="0" w:tplc="80D4E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326F6B"/>
    <w:multiLevelType w:val="hybridMultilevel"/>
    <w:tmpl w:val="3780B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510723"/>
    <w:multiLevelType w:val="hybridMultilevel"/>
    <w:tmpl w:val="D878F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D864C8"/>
    <w:multiLevelType w:val="hybridMultilevel"/>
    <w:tmpl w:val="102001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F393343"/>
    <w:multiLevelType w:val="hybridMultilevel"/>
    <w:tmpl w:val="EA426E08"/>
    <w:lvl w:ilvl="0" w:tplc="E52A1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9077FF"/>
    <w:multiLevelType w:val="hybridMultilevel"/>
    <w:tmpl w:val="2AC060E6"/>
    <w:lvl w:ilvl="0" w:tplc="E60E5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27942"/>
    <w:multiLevelType w:val="hybridMultilevel"/>
    <w:tmpl w:val="50727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323091"/>
    <w:multiLevelType w:val="hybridMultilevel"/>
    <w:tmpl w:val="10CA92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2"/>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EC"/>
    <w:rsid w:val="00001200"/>
    <w:rsid w:val="00010A2A"/>
    <w:rsid w:val="000131F0"/>
    <w:rsid w:val="000132B6"/>
    <w:rsid w:val="00013D99"/>
    <w:rsid w:val="0001562E"/>
    <w:rsid w:val="00015649"/>
    <w:rsid w:val="000172AE"/>
    <w:rsid w:val="0002470B"/>
    <w:rsid w:val="00026E6B"/>
    <w:rsid w:val="00030EDB"/>
    <w:rsid w:val="00032AFA"/>
    <w:rsid w:val="00033F55"/>
    <w:rsid w:val="0003774B"/>
    <w:rsid w:val="00040704"/>
    <w:rsid w:val="00042749"/>
    <w:rsid w:val="0004349B"/>
    <w:rsid w:val="00043ED7"/>
    <w:rsid w:val="00045A5C"/>
    <w:rsid w:val="00051F78"/>
    <w:rsid w:val="00053376"/>
    <w:rsid w:val="000609A5"/>
    <w:rsid w:val="000642B3"/>
    <w:rsid w:val="000852A0"/>
    <w:rsid w:val="00095C45"/>
    <w:rsid w:val="00095D51"/>
    <w:rsid w:val="0009698F"/>
    <w:rsid w:val="00096C19"/>
    <w:rsid w:val="000A01A8"/>
    <w:rsid w:val="000B05EC"/>
    <w:rsid w:val="000B28EF"/>
    <w:rsid w:val="000B541A"/>
    <w:rsid w:val="000B5B83"/>
    <w:rsid w:val="000B5E78"/>
    <w:rsid w:val="000C7A0A"/>
    <w:rsid w:val="000D0409"/>
    <w:rsid w:val="000D2B84"/>
    <w:rsid w:val="000D3A3F"/>
    <w:rsid w:val="000D6792"/>
    <w:rsid w:val="000F0377"/>
    <w:rsid w:val="000F41E3"/>
    <w:rsid w:val="000F50C7"/>
    <w:rsid w:val="000F6A4E"/>
    <w:rsid w:val="000F7764"/>
    <w:rsid w:val="0010710F"/>
    <w:rsid w:val="00107F04"/>
    <w:rsid w:val="001125CA"/>
    <w:rsid w:val="001206A7"/>
    <w:rsid w:val="00124AAF"/>
    <w:rsid w:val="00126502"/>
    <w:rsid w:val="00133A5F"/>
    <w:rsid w:val="00143FAE"/>
    <w:rsid w:val="001446DE"/>
    <w:rsid w:val="001465A8"/>
    <w:rsid w:val="0015011B"/>
    <w:rsid w:val="00153137"/>
    <w:rsid w:val="00155B37"/>
    <w:rsid w:val="00156557"/>
    <w:rsid w:val="00156FA7"/>
    <w:rsid w:val="00162BD1"/>
    <w:rsid w:val="001630FD"/>
    <w:rsid w:val="001658CF"/>
    <w:rsid w:val="001661E1"/>
    <w:rsid w:val="00166D88"/>
    <w:rsid w:val="0017131C"/>
    <w:rsid w:val="001734BD"/>
    <w:rsid w:val="00174ED4"/>
    <w:rsid w:val="00190A34"/>
    <w:rsid w:val="00197A4A"/>
    <w:rsid w:val="001A291F"/>
    <w:rsid w:val="001A2DEA"/>
    <w:rsid w:val="001A50D2"/>
    <w:rsid w:val="001A6ECF"/>
    <w:rsid w:val="001B6829"/>
    <w:rsid w:val="001B7BFF"/>
    <w:rsid w:val="001C462C"/>
    <w:rsid w:val="001C50A0"/>
    <w:rsid w:val="001D2A07"/>
    <w:rsid w:val="001D40B2"/>
    <w:rsid w:val="001D4E51"/>
    <w:rsid w:val="001E1B72"/>
    <w:rsid w:val="001E3045"/>
    <w:rsid w:val="001E6E57"/>
    <w:rsid w:val="001F091B"/>
    <w:rsid w:val="001F0D1D"/>
    <w:rsid w:val="001F229D"/>
    <w:rsid w:val="001F31BC"/>
    <w:rsid w:val="001F5E62"/>
    <w:rsid w:val="001F776B"/>
    <w:rsid w:val="00203D4D"/>
    <w:rsid w:val="002055AF"/>
    <w:rsid w:val="00205C21"/>
    <w:rsid w:val="00210118"/>
    <w:rsid w:val="00210B16"/>
    <w:rsid w:val="00225C5E"/>
    <w:rsid w:val="0024513B"/>
    <w:rsid w:val="002455EB"/>
    <w:rsid w:val="00257D91"/>
    <w:rsid w:val="00260522"/>
    <w:rsid w:val="00264259"/>
    <w:rsid w:val="002662CF"/>
    <w:rsid w:val="002672CC"/>
    <w:rsid w:val="00271BDB"/>
    <w:rsid w:val="00272757"/>
    <w:rsid w:val="002727FE"/>
    <w:rsid w:val="00275A40"/>
    <w:rsid w:val="0027672E"/>
    <w:rsid w:val="00280CFE"/>
    <w:rsid w:val="00283E74"/>
    <w:rsid w:val="00284375"/>
    <w:rsid w:val="0028440F"/>
    <w:rsid w:val="002909ED"/>
    <w:rsid w:val="00291FBA"/>
    <w:rsid w:val="00293417"/>
    <w:rsid w:val="00293852"/>
    <w:rsid w:val="002964DA"/>
    <w:rsid w:val="00296D35"/>
    <w:rsid w:val="00296E9E"/>
    <w:rsid w:val="0029745E"/>
    <w:rsid w:val="002B1968"/>
    <w:rsid w:val="002B41EC"/>
    <w:rsid w:val="002D0942"/>
    <w:rsid w:val="002D2585"/>
    <w:rsid w:val="002D3335"/>
    <w:rsid w:val="002E08C7"/>
    <w:rsid w:val="002E2655"/>
    <w:rsid w:val="002E4533"/>
    <w:rsid w:val="002E6427"/>
    <w:rsid w:val="002F5820"/>
    <w:rsid w:val="002F58B5"/>
    <w:rsid w:val="003044AE"/>
    <w:rsid w:val="00305C05"/>
    <w:rsid w:val="00311CFF"/>
    <w:rsid w:val="00312CD0"/>
    <w:rsid w:val="00313EEC"/>
    <w:rsid w:val="00315F70"/>
    <w:rsid w:val="0032139A"/>
    <w:rsid w:val="00321F02"/>
    <w:rsid w:val="00322B68"/>
    <w:rsid w:val="00322EBB"/>
    <w:rsid w:val="00332FE9"/>
    <w:rsid w:val="003401A8"/>
    <w:rsid w:val="003426E1"/>
    <w:rsid w:val="00343B31"/>
    <w:rsid w:val="00344C2F"/>
    <w:rsid w:val="00346887"/>
    <w:rsid w:val="0034767F"/>
    <w:rsid w:val="00347EB6"/>
    <w:rsid w:val="00352566"/>
    <w:rsid w:val="0036084C"/>
    <w:rsid w:val="0036568E"/>
    <w:rsid w:val="00365F42"/>
    <w:rsid w:val="003706A0"/>
    <w:rsid w:val="003732D4"/>
    <w:rsid w:val="00374AA0"/>
    <w:rsid w:val="003809A8"/>
    <w:rsid w:val="00382C16"/>
    <w:rsid w:val="00384715"/>
    <w:rsid w:val="00387B7A"/>
    <w:rsid w:val="00387DFB"/>
    <w:rsid w:val="00391082"/>
    <w:rsid w:val="0039590B"/>
    <w:rsid w:val="003A682B"/>
    <w:rsid w:val="003A7BEC"/>
    <w:rsid w:val="003B0630"/>
    <w:rsid w:val="003B25AA"/>
    <w:rsid w:val="003B28E9"/>
    <w:rsid w:val="003B2AA8"/>
    <w:rsid w:val="003C5BDA"/>
    <w:rsid w:val="003D04EE"/>
    <w:rsid w:val="003D0526"/>
    <w:rsid w:val="003D16D9"/>
    <w:rsid w:val="003D3A36"/>
    <w:rsid w:val="003D78C0"/>
    <w:rsid w:val="003E1ABC"/>
    <w:rsid w:val="003E2F2D"/>
    <w:rsid w:val="003E4C23"/>
    <w:rsid w:val="003E5059"/>
    <w:rsid w:val="003F1C14"/>
    <w:rsid w:val="003F207A"/>
    <w:rsid w:val="003F4767"/>
    <w:rsid w:val="003F75FB"/>
    <w:rsid w:val="00403B5B"/>
    <w:rsid w:val="00403CE2"/>
    <w:rsid w:val="00403E95"/>
    <w:rsid w:val="0040463B"/>
    <w:rsid w:val="00404888"/>
    <w:rsid w:val="00421014"/>
    <w:rsid w:val="0043321A"/>
    <w:rsid w:val="00436005"/>
    <w:rsid w:val="0044169C"/>
    <w:rsid w:val="004501E3"/>
    <w:rsid w:val="0045703F"/>
    <w:rsid w:val="0046068B"/>
    <w:rsid w:val="00466D15"/>
    <w:rsid w:val="004670B1"/>
    <w:rsid w:val="00475392"/>
    <w:rsid w:val="00475FC5"/>
    <w:rsid w:val="00477C19"/>
    <w:rsid w:val="0048350E"/>
    <w:rsid w:val="00490EC8"/>
    <w:rsid w:val="004A0E13"/>
    <w:rsid w:val="004A3FFC"/>
    <w:rsid w:val="004A737B"/>
    <w:rsid w:val="004B31C6"/>
    <w:rsid w:val="004B36A2"/>
    <w:rsid w:val="004C31B4"/>
    <w:rsid w:val="004C6797"/>
    <w:rsid w:val="004C6A66"/>
    <w:rsid w:val="004C728B"/>
    <w:rsid w:val="004D5FFF"/>
    <w:rsid w:val="004D63D8"/>
    <w:rsid w:val="004E2A68"/>
    <w:rsid w:val="004E4ABF"/>
    <w:rsid w:val="004E4B9B"/>
    <w:rsid w:val="005145E3"/>
    <w:rsid w:val="005151E1"/>
    <w:rsid w:val="005238E7"/>
    <w:rsid w:val="00524A83"/>
    <w:rsid w:val="0052608E"/>
    <w:rsid w:val="00531137"/>
    <w:rsid w:val="00534314"/>
    <w:rsid w:val="0054024D"/>
    <w:rsid w:val="00540356"/>
    <w:rsid w:val="005429F6"/>
    <w:rsid w:val="00542B67"/>
    <w:rsid w:val="00543B87"/>
    <w:rsid w:val="0054418E"/>
    <w:rsid w:val="00546CD1"/>
    <w:rsid w:val="00547DE9"/>
    <w:rsid w:val="005529D9"/>
    <w:rsid w:val="00553302"/>
    <w:rsid w:val="00553AFC"/>
    <w:rsid w:val="005555A2"/>
    <w:rsid w:val="0055581C"/>
    <w:rsid w:val="00555F08"/>
    <w:rsid w:val="005569C5"/>
    <w:rsid w:val="0056505C"/>
    <w:rsid w:val="00571DC1"/>
    <w:rsid w:val="00573195"/>
    <w:rsid w:val="00582AD5"/>
    <w:rsid w:val="005870A6"/>
    <w:rsid w:val="005875B2"/>
    <w:rsid w:val="00590408"/>
    <w:rsid w:val="00590A05"/>
    <w:rsid w:val="00591ECF"/>
    <w:rsid w:val="00593FB2"/>
    <w:rsid w:val="0059727E"/>
    <w:rsid w:val="005A0AF3"/>
    <w:rsid w:val="005A5649"/>
    <w:rsid w:val="005A6456"/>
    <w:rsid w:val="005A7C08"/>
    <w:rsid w:val="005B0AA1"/>
    <w:rsid w:val="005B159B"/>
    <w:rsid w:val="005B18CF"/>
    <w:rsid w:val="005B208C"/>
    <w:rsid w:val="005B415B"/>
    <w:rsid w:val="005B5003"/>
    <w:rsid w:val="005C24AC"/>
    <w:rsid w:val="005C4D1D"/>
    <w:rsid w:val="005D3264"/>
    <w:rsid w:val="005D396F"/>
    <w:rsid w:val="005D4F26"/>
    <w:rsid w:val="005E7E44"/>
    <w:rsid w:val="005F383C"/>
    <w:rsid w:val="005F4395"/>
    <w:rsid w:val="005F5C54"/>
    <w:rsid w:val="006109A9"/>
    <w:rsid w:val="00610D9A"/>
    <w:rsid w:val="006137AF"/>
    <w:rsid w:val="0061416A"/>
    <w:rsid w:val="0061467A"/>
    <w:rsid w:val="00631D0E"/>
    <w:rsid w:val="006341B2"/>
    <w:rsid w:val="0063592F"/>
    <w:rsid w:val="00637F3A"/>
    <w:rsid w:val="006415D7"/>
    <w:rsid w:val="00641B17"/>
    <w:rsid w:val="0064314C"/>
    <w:rsid w:val="00646B13"/>
    <w:rsid w:val="00646F33"/>
    <w:rsid w:val="00651CFD"/>
    <w:rsid w:val="00657628"/>
    <w:rsid w:val="006609FB"/>
    <w:rsid w:val="006637C9"/>
    <w:rsid w:val="00665394"/>
    <w:rsid w:val="00665423"/>
    <w:rsid w:val="00671552"/>
    <w:rsid w:val="00674087"/>
    <w:rsid w:val="00691100"/>
    <w:rsid w:val="00694513"/>
    <w:rsid w:val="00696050"/>
    <w:rsid w:val="006A045C"/>
    <w:rsid w:val="006A1770"/>
    <w:rsid w:val="006A1FD3"/>
    <w:rsid w:val="006A35A6"/>
    <w:rsid w:val="006B7D0A"/>
    <w:rsid w:val="006D019C"/>
    <w:rsid w:val="006D3456"/>
    <w:rsid w:val="006D6CD2"/>
    <w:rsid w:val="006E00C9"/>
    <w:rsid w:val="006E0F57"/>
    <w:rsid w:val="006E343B"/>
    <w:rsid w:val="006E4BD6"/>
    <w:rsid w:val="006E5FA1"/>
    <w:rsid w:val="006E6BB6"/>
    <w:rsid w:val="006F7361"/>
    <w:rsid w:val="00701FAB"/>
    <w:rsid w:val="00702631"/>
    <w:rsid w:val="00707596"/>
    <w:rsid w:val="007140DB"/>
    <w:rsid w:val="00723A26"/>
    <w:rsid w:val="00724675"/>
    <w:rsid w:val="00725FA3"/>
    <w:rsid w:val="0072732E"/>
    <w:rsid w:val="0073612D"/>
    <w:rsid w:val="007365D4"/>
    <w:rsid w:val="00737D84"/>
    <w:rsid w:val="00740D1D"/>
    <w:rsid w:val="0074261D"/>
    <w:rsid w:val="007526BB"/>
    <w:rsid w:val="00756289"/>
    <w:rsid w:val="0076296F"/>
    <w:rsid w:val="00764843"/>
    <w:rsid w:val="007662FC"/>
    <w:rsid w:val="0076697A"/>
    <w:rsid w:val="00766EC8"/>
    <w:rsid w:val="0076701C"/>
    <w:rsid w:val="0076702D"/>
    <w:rsid w:val="00771CFA"/>
    <w:rsid w:val="007773E3"/>
    <w:rsid w:val="00781934"/>
    <w:rsid w:val="00785DCA"/>
    <w:rsid w:val="00791945"/>
    <w:rsid w:val="00794B1E"/>
    <w:rsid w:val="00795AE6"/>
    <w:rsid w:val="00795F6A"/>
    <w:rsid w:val="0079622E"/>
    <w:rsid w:val="00796EB6"/>
    <w:rsid w:val="007A1E88"/>
    <w:rsid w:val="007A6864"/>
    <w:rsid w:val="007B03B1"/>
    <w:rsid w:val="007B22C1"/>
    <w:rsid w:val="007B23C2"/>
    <w:rsid w:val="007B58C0"/>
    <w:rsid w:val="007C217B"/>
    <w:rsid w:val="007C24A4"/>
    <w:rsid w:val="007C28EE"/>
    <w:rsid w:val="007C696E"/>
    <w:rsid w:val="007D09D9"/>
    <w:rsid w:val="007D3D2A"/>
    <w:rsid w:val="007D73B4"/>
    <w:rsid w:val="007E7F05"/>
    <w:rsid w:val="007F508D"/>
    <w:rsid w:val="007F6605"/>
    <w:rsid w:val="007F6B12"/>
    <w:rsid w:val="00807F98"/>
    <w:rsid w:val="00811B03"/>
    <w:rsid w:val="0081389D"/>
    <w:rsid w:val="008150C2"/>
    <w:rsid w:val="00820A13"/>
    <w:rsid w:val="00824A7E"/>
    <w:rsid w:val="008262C3"/>
    <w:rsid w:val="00830E5A"/>
    <w:rsid w:val="00837393"/>
    <w:rsid w:val="008420FE"/>
    <w:rsid w:val="008448CD"/>
    <w:rsid w:val="00844D9D"/>
    <w:rsid w:val="00851383"/>
    <w:rsid w:val="008516CC"/>
    <w:rsid w:val="008521B0"/>
    <w:rsid w:val="00855639"/>
    <w:rsid w:val="008602EC"/>
    <w:rsid w:val="0086656D"/>
    <w:rsid w:val="00873409"/>
    <w:rsid w:val="008766C0"/>
    <w:rsid w:val="008869C2"/>
    <w:rsid w:val="00892CAE"/>
    <w:rsid w:val="008A0D19"/>
    <w:rsid w:val="008B0E38"/>
    <w:rsid w:val="008B23C4"/>
    <w:rsid w:val="008C01F1"/>
    <w:rsid w:val="008C1783"/>
    <w:rsid w:val="008D08B0"/>
    <w:rsid w:val="008D6B2B"/>
    <w:rsid w:val="008D71CA"/>
    <w:rsid w:val="008E23FD"/>
    <w:rsid w:val="008E56FC"/>
    <w:rsid w:val="008F0A5C"/>
    <w:rsid w:val="008F1B0A"/>
    <w:rsid w:val="008F21EC"/>
    <w:rsid w:val="008F28C1"/>
    <w:rsid w:val="008F2C78"/>
    <w:rsid w:val="008F7324"/>
    <w:rsid w:val="00901969"/>
    <w:rsid w:val="0090481A"/>
    <w:rsid w:val="00905870"/>
    <w:rsid w:val="00912DF4"/>
    <w:rsid w:val="00914BA3"/>
    <w:rsid w:val="00920D2A"/>
    <w:rsid w:val="009262F4"/>
    <w:rsid w:val="00926921"/>
    <w:rsid w:val="009278E9"/>
    <w:rsid w:val="00941CFB"/>
    <w:rsid w:val="00943736"/>
    <w:rsid w:val="00951E06"/>
    <w:rsid w:val="009520CA"/>
    <w:rsid w:val="0095460A"/>
    <w:rsid w:val="009548E9"/>
    <w:rsid w:val="00954A26"/>
    <w:rsid w:val="009569F1"/>
    <w:rsid w:val="00957BDB"/>
    <w:rsid w:val="009611EF"/>
    <w:rsid w:val="0096240D"/>
    <w:rsid w:val="00963752"/>
    <w:rsid w:val="00970A1D"/>
    <w:rsid w:val="00976059"/>
    <w:rsid w:val="00980D6D"/>
    <w:rsid w:val="00982316"/>
    <w:rsid w:val="009824E2"/>
    <w:rsid w:val="00982B52"/>
    <w:rsid w:val="009845C8"/>
    <w:rsid w:val="00984F33"/>
    <w:rsid w:val="00987439"/>
    <w:rsid w:val="009902D6"/>
    <w:rsid w:val="009912CE"/>
    <w:rsid w:val="009916E3"/>
    <w:rsid w:val="00993458"/>
    <w:rsid w:val="00995DDD"/>
    <w:rsid w:val="009A0168"/>
    <w:rsid w:val="009A4B1E"/>
    <w:rsid w:val="009A6BC9"/>
    <w:rsid w:val="009B1F9A"/>
    <w:rsid w:val="009B31D5"/>
    <w:rsid w:val="009B3857"/>
    <w:rsid w:val="009B778C"/>
    <w:rsid w:val="009B77FC"/>
    <w:rsid w:val="009C4A98"/>
    <w:rsid w:val="009C6145"/>
    <w:rsid w:val="009C6810"/>
    <w:rsid w:val="009D5EF8"/>
    <w:rsid w:val="009E2C37"/>
    <w:rsid w:val="009E494B"/>
    <w:rsid w:val="009E611F"/>
    <w:rsid w:val="009F5865"/>
    <w:rsid w:val="00A04F59"/>
    <w:rsid w:val="00A25E30"/>
    <w:rsid w:val="00A27023"/>
    <w:rsid w:val="00A31D47"/>
    <w:rsid w:val="00A33B19"/>
    <w:rsid w:val="00A34120"/>
    <w:rsid w:val="00A3507F"/>
    <w:rsid w:val="00A35A79"/>
    <w:rsid w:val="00A364EC"/>
    <w:rsid w:val="00A44094"/>
    <w:rsid w:val="00A467D2"/>
    <w:rsid w:val="00A5714F"/>
    <w:rsid w:val="00A62CE4"/>
    <w:rsid w:val="00A71EFF"/>
    <w:rsid w:val="00A73857"/>
    <w:rsid w:val="00A7394E"/>
    <w:rsid w:val="00A82BE6"/>
    <w:rsid w:val="00A83111"/>
    <w:rsid w:val="00A914B6"/>
    <w:rsid w:val="00A957F6"/>
    <w:rsid w:val="00A97CFF"/>
    <w:rsid w:val="00AA3721"/>
    <w:rsid w:val="00AA4F25"/>
    <w:rsid w:val="00AA5FE0"/>
    <w:rsid w:val="00AC40B2"/>
    <w:rsid w:val="00AD4E3A"/>
    <w:rsid w:val="00AE1908"/>
    <w:rsid w:val="00AE20C4"/>
    <w:rsid w:val="00AE3672"/>
    <w:rsid w:val="00AE39C9"/>
    <w:rsid w:val="00AE608E"/>
    <w:rsid w:val="00AE7AFB"/>
    <w:rsid w:val="00AF0B54"/>
    <w:rsid w:val="00AF1376"/>
    <w:rsid w:val="00AF1FAB"/>
    <w:rsid w:val="00AF37CA"/>
    <w:rsid w:val="00AF3B71"/>
    <w:rsid w:val="00AF734E"/>
    <w:rsid w:val="00B02502"/>
    <w:rsid w:val="00B03171"/>
    <w:rsid w:val="00B04996"/>
    <w:rsid w:val="00B04CF7"/>
    <w:rsid w:val="00B078B5"/>
    <w:rsid w:val="00B14A44"/>
    <w:rsid w:val="00B20AC7"/>
    <w:rsid w:val="00B23E61"/>
    <w:rsid w:val="00B32FCB"/>
    <w:rsid w:val="00B34C4C"/>
    <w:rsid w:val="00B35BC9"/>
    <w:rsid w:val="00B36FBC"/>
    <w:rsid w:val="00B4012C"/>
    <w:rsid w:val="00B4063A"/>
    <w:rsid w:val="00B412F9"/>
    <w:rsid w:val="00B429F2"/>
    <w:rsid w:val="00B4737C"/>
    <w:rsid w:val="00B534E7"/>
    <w:rsid w:val="00B538A1"/>
    <w:rsid w:val="00B64CF3"/>
    <w:rsid w:val="00B65177"/>
    <w:rsid w:val="00B72EDC"/>
    <w:rsid w:val="00B74D8C"/>
    <w:rsid w:val="00B753D9"/>
    <w:rsid w:val="00B75FDF"/>
    <w:rsid w:val="00B7602D"/>
    <w:rsid w:val="00B809CD"/>
    <w:rsid w:val="00B82908"/>
    <w:rsid w:val="00B8325E"/>
    <w:rsid w:val="00B8377F"/>
    <w:rsid w:val="00B84CB8"/>
    <w:rsid w:val="00B84CF6"/>
    <w:rsid w:val="00B84E44"/>
    <w:rsid w:val="00B8776F"/>
    <w:rsid w:val="00B9269F"/>
    <w:rsid w:val="00B957AB"/>
    <w:rsid w:val="00B95B9F"/>
    <w:rsid w:val="00BA2AFF"/>
    <w:rsid w:val="00BA422B"/>
    <w:rsid w:val="00BB330E"/>
    <w:rsid w:val="00BB39FA"/>
    <w:rsid w:val="00BB44C0"/>
    <w:rsid w:val="00BC7F32"/>
    <w:rsid w:val="00BD0B03"/>
    <w:rsid w:val="00BD1695"/>
    <w:rsid w:val="00BF15D7"/>
    <w:rsid w:val="00BF48B1"/>
    <w:rsid w:val="00C01D46"/>
    <w:rsid w:val="00C0267A"/>
    <w:rsid w:val="00C03BB7"/>
    <w:rsid w:val="00C058A7"/>
    <w:rsid w:val="00C120C8"/>
    <w:rsid w:val="00C13725"/>
    <w:rsid w:val="00C15372"/>
    <w:rsid w:val="00C15AF2"/>
    <w:rsid w:val="00C17404"/>
    <w:rsid w:val="00C20845"/>
    <w:rsid w:val="00C261EA"/>
    <w:rsid w:val="00C36E71"/>
    <w:rsid w:val="00C402B8"/>
    <w:rsid w:val="00C40A06"/>
    <w:rsid w:val="00C436D6"/>
    <w:rsid w:val="00C43768"/>
    <w:rsid w:val="00C47398"/>
    <w:rsid w:val="00C53DB4"/>
    <w:rsid w:val="00C542E7"/>
    <w:rsid w:val="00C56AD5"/>
    <w:rsid w:val="00C673D8"/>
    <w:rsid w:val="00C721D0"/>
    <w:rsid w:val="00C74C18"/>
    <w:rsid w:val="00C81979"/>
    <w:rsid w:val="00C830AE"/>
    <w:rsid w:val="00C9163B"/>
    <w:rsid w:val="00CA150B"/>
    <w:rsid w:val="00CA3200"/>
    <w:rsid w:val="00CA43B7"/>
    <w:rsid w:val="00CA6402"/>
    <w:rsid w:val="00CB5541"/>
    <w:rsid w:val="00CB5BD3"/>
    <w:rsid w:val="00CB72B9"/>
    <w:rsid w:val="00CC3064"/>
    <w:rsid w:val="00CC4B1D"/>
    <w:rsid w:val="00CC7CE2"/>
    <w:rsid w:val="00CD185F"/>
    <w:rsid w:val="00CD1899"/>
    <w:rsid w:val="00CD40F3"/>
    <w:rsid w:val="00CD48F1"/>
    <w:rsid w:val="00CD4B86"/>
    <w:rsid w:val="00CE0FC1"/>
    <w:rsid w:val="00CE12D0"/>
    <w:rsid w:val="00CE35B8"/>
    <w:rsid w:val="00CF0544"/>
    <w:rsid w:val="00CF401C"/>
    <w:rsid w:val="00CF5B76"/>
    <w:rsid w:val="00D05C46"/>
    <w:rsid w:val="00D20868"/>
    <w:rsid w:val="00D22484"/>
    <w:rsid w:val="00D231A3"/>
    <w:rsid w:val="00D26478"/>
    <w:rsid w:val="00D31F0B"/>
    <w:rsid w:val="00D3227B"/>
    <w:rsid w:val="00D33DAB"/>
    <w:rsid w:val="00D35BE8"/>
    <w:rsid w:val="00D36189"/>
    <w:rsid w:val="00D42658"/>
    <w:rsid w:val="00D60699"/>
    <w:rsid w:val="00D74CD6"/>
    <w:rsid w:val="00D75DBC"/>
    <w:rsid w:val="00D76617"/>
    <w:rsid w:val="00D82D4E"/>
    <w:rsid w:val="00D84613"/>
    <w:rsid w:val="00D87A08"/>
    <w:rsid w:val="00D87EC1"/>
    <w:rsid w:val="00D9076A"/>
    <w:rsid w:val="00D955AD"/>
    <w:rsid w:val="00DA1179"/>
    <w:rsid w:val="00DA134B"/>
    <w:rsid w:val="00DA5544"/>
    <w:rsid w:val="00DA709B"/>
    <w:rsid w:val="00DB0E1D"/>
    <w:rsid w:val="00DB110C"/>
    <w:rsid w:val="00DB33C2"/>
    <w:rsid w:val="00DB54C1"/>
    <w:rsid w:val="00DC664B"/>
    <w:rsid w:val="00DC779E"/>
    <w:rsid w:val="00DD388F"/>
    <w:rsid w:val="00DD53A6"/>
    <w:rsid w:val="00DD66D0"/>
    <w:rsid w:val="00DE1C0E"/>
    <w:rsid w:val="00DE2E01"/>
    <w:rsid w:val="00DF074F"/>
    <w:rsid w:val="00E00D0B"/>
    <w:rsid w:val="00E012AF"/>
    <w:rsid w:val="00E0476D"/>
    <w:rsid w:val="00E07455"/>
    <w:rsid w:val="00E121E7"/>
    <w:rsid w:val="00E13629"/>
    <w:rsid w:val="00E163FA"/>
    <w:rsid w:val="00E17BFB"/>
    <w:rsid w:val="00E26044"/>
    <w:rsid w:val="00E27BF6"/>
    <w:rsid w:val="00E31FAC"/>
    <w:rsid w:val="00E3630B"/>
    <w:rsid w:val="00E36F79"/>
    <w:rsid w:val="00E379B2"/>
    <w:rsid w:val="00E40676"/>
    <w:rsid w:val="00E40CBA"/>
    <w:rsid w:val="00E423EB"/>
    <w:rsid w:val="00E46474"/>
    <w:rsid w:val="00E56AF1"/>
    <w:rsid w:val="00E57305"/>
    <w:rsid w:val="00E57DB3"/>
    <w:rsid w:val="00E629E9"/>
    <w:rsid w:val="00E70BE4"/>
    <w:rsid w:val="00E728AE"/>
    <w:rsid w:val="00E76838"/>
    <w:rsid w:val="00E77746"/>
    <w:rsid w:val="00E77ED5"/>
    <w:rsid w:val="00E854BD"/>
    <w:rsid w:val="00E86ED6"/>
    <w:rsid w:val="00E911D7"/>
    <w:rsid w:val="00E945AC"/>
    <w:rsid w:val="00E96F24"/>
    <w:rsid w:val="00E96FAB"/>
    <w:rsid w:val="00EB2DC0"/>
    <w:rsid w:val="00EB71D5"/>
    <w:rsid w:val="00EB7BE2"/>
    <w:rsid w:val="00EC263A"/>
    <w:rsid w:val="00EC59A7"/>
    <w:rsid w:val="00EC5B35"/>
    <w:rsid w:val="00ED0898"/>
    <w:rsid w:val="00ED5EF9"/>
    <w:rsid w:val="00EE373E"/>
    <w:rsid w:val="00EF133E"/>
    <w:rsid w:val="00EF3AAD"/>
    <w:rsid w:val="00EF45CF"/>
    <w:rsid w:val="00EF7AB2"/>
    <w:rsid w:val="00F02D09"/>
    <w:rsid w:val="00F05301"/>
    <w:rsid w:val="00F059EB"/>
    <w:rsid w:val="00F110BF"/>
    <w:rsid w:val="00F13F95"/>
    <w:rsid w:val="00F2018C"/>
    <w:rsid w:val="00F21791"/>
    <w:rsid w:val="00F23291"/>
    <w:rsid w:val="00F2625D"/>
    <w:rsid w:val="00F31376"/>
    <w:rsid w:val="00F31E2F"/>
    <w:rsid w:val="00F3236E"/>
    <w:rsid w:val="00F41CB6"/>
    <w:rsid w:val="00F42568"/>
    <w:rsid w:val="00F51168"/>
    <w:rsid w:val="00F56AAC"/>
    <w:rsid w:val="00F60529"/>
    <w:rsid w:val="00F617C4"/>
    <w:rsid w:val="00F61B05"/>
    <w:rsid w:val="00F63E52"/>
    <w:rsid w:val="00F70DA3"/>
    <w:rsid w:val="00F82F9A"/>
    <w:rsid w:val="00F83335"/>
    <w:rsid w:val="00F83F8E"/>
    <w:rsid w:val="00F84A4F"/>
    <w:rsid w:val="00F916B7"/>
    <w:rsid w:val="00F94391"/>
    <w:rsid w:val="00FA15B7"/>
    <w:rsid w:val="00FA418E"/>
    <w:rsid w:val="00FA4393"/>
    <w:rsid w:val="00FA43FF"/>
    <w:rsid w:val="00FA6B7F"/>
    <w:rsid w:val="00FA7A9B"/>
    <w:rsid w:val="00FB6D1B"/>
    <w:rsid w:val="00FC1863"/>
    <w:rsid w:val="00FC1E00"/>
    <w:rsid w:val="00FC2B2A"/>
    <w:rsid w:val="00FC33A8"/>
    <w:rsid w:val="00FC53EE"/>
    <w:rsid w:val="00FC65CF"/>
    <w:rsid w:val="00FD57E8"/>
    <w:rsid w:val="00FE6C2D"/>
    <w:rsid w:val="00FF2C8C"/>
    <w:rsid w:val="00FF3257"/>
    <w:rsid w:val="00FF6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96D060"/>
  <w15:docId w15:val="{A3EDC986-91D3-4977-9C63-E08AADBD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0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EC8"/>
    <w:pPr>
      <w:ind w:left="720"/>
      <w:contextualSpacing/>
    </w:pPr>
  </w:style>
  <w:style w:type="character" w:styleId="CommentReference">
    <w:name w:val="annotation reference"/>
    <w:basedOn w:val="DefaultParagraphFont"/>
    <w:uiPriority w:val="99"/>
    <w:semiHidden/>
    <w:unhideWhenUsed/>
    <w:rsid w:val="00133A5F"/>
    <w:rPr>
      <w:sz w:val="16"/>
      <w:szCs w:val="16"/>
    </w:rPr>
  </w:style>
  <w:style w:type="paragraph" w:styleId="CommentText">
    <w:name w:val="annotation text"/>
    <w:basedOn w:val="Normal"/>
    <w:link w:val="CommentTextChar"/>
    <w:uiPriority w:val="99"/>
    <w:semiHidden/>
    <w:unhideWhenUsed/>
    <w:rsid w:val="00133A5F"/>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33A5F"/>
    <w:rPr>
      <w:sz w:val="20"/>
      <w:szCs w:val="20"/>
    </w:rPr>
  </w:style>
  <w:style w:type="paragraph" w:styleId="BalloonText">
    <w:name w:val="Balloon Text"/>
    <w:basedOn w:val="Normal"/>
    <w:link w:val="BalloonTextChar"/>
    <w:uiPriority w:val="99"/>
    <w:semiHidden/>
    <w:unhideWhenUsed/>
    <w:rsid w:val="00133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5F"/>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133A5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33A5F"/>
    <w:rPr>
      <w:sz w:val="20"/>
      <w:szCs w:val="20"/>
    </w:rPr>
  </w:style>
  <w:style w:type="character" w:styleId="FootnoteReference">
    <w:name w:val="footnote reference"/>
    <w:basedOn w:val="DefaultParagraphFont"/>
    <w:uiPriority w:val="99"/>
    <w:unhideWhenUsed/>
    <w:rsid w:val="00133A5F"/>
    <w:rPr>
      <w:vertAlign w:val="superscript"/>
    </w:rPr>
  </w:style>
  <w:style w:type="character" w:styleId="LineNumber">
    <w:name w:val="line number"/>
    <w:basedOn w:val="DefaultParagraphFont"/>
    <w:uiPriority w:val="99"/>
    <w:semiHidden/>
    <w:unhideWhenUsed/>
    <w:rsid w:val="00162BD1"/>
  </w:style>
  <w:style w:type="paragraph" w:styleId="Header">
    <w:name w:val="header"/>
    <w:basedOn w:val="Normal"/>
    <w:link w:val="HeaderChar"/>
    <w:uiPriority w:val="99"/>
    <w:unhideWhenUsed/>
    <w:rsid w:val="00AE2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0C4"/>
    <w:rPr>
      <w:rFonts w:ascii="Calibri" w:eastAsia="Calibri" w:hAnsi="Calibri" w:cs="Times New Roman"/>
    </w:rPr>
  </w:style>
  <w:style w:type="paragraph" w:styleId="Footer">
    <w:name w:val="footer"/>
    <w:basedOn w:val="Normal"/>
    <w:link w:val="FooterChar"/>
    <w:uiPriority w:val="99"/>
    <w:unhideWhenUsed/>
    <w:rsid w:val="00AE2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0C4"/>
    <w:rPr>
      <w:rFonts w:ascii="Calibri" w:eastAsia="Calibri" w:hAnsi="Calibri" w:cs="Times New Roman"/>
    </w:rPr>
  </w:style>
  <w:style w:type="character" w:styleId="Hyperlink">
    <w:name w:val="Hyperlink"/>
    <w:basedOn w:val="DefaultParagraphFont"/>
    <w:uiPriority w:val="99"/>
    <w:unhideWhenUsed/>
    <w:rsid w:val="0081389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E7AFB"/>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AE7AFB"/>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E3630B"/>
    <w:rPr>
      <w:color w:val="954F72" w:themeColor="followedHyperlink"/>
      <w:u w:val="single"/>
    </w:rPr>
  </w:style>
  <w:style w:type="paragraph" w:styleId="Revision">
    <w:name w:val="Revision"/>
    <w:hidden/>
    <w:uiPriority w:val="99"/>
    <w:semiHidden/>
    <w:rsid w:val="00E3630B"/>
    <w:pPr>
      <w:spacing w:after="0" w:line="240" w:lineRule="auto"/>
    </w:pPr>
    <w:rPr>
      <w:rFonts w:ascii="Calibri" w:eastAsia="Calibri" w:hAnsi="Calibri" w:cs="Times New Roman"/>
    </w:rPr>
  </w:style>
  <w:style w:type="paragraph" w:customStyle="1" w:styleId="paragraph">
    <w:name w:val="paragraph"/>
    <w:basedOn w:val="Normal"/>
    <w:rsid w:val="007365D4"/>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7365D4"/>
  </w:style>
  <w:style w:type="character" w:customStyle="1" w:styleId="eop">
    <w:name w:val="eop"/>
    <w:basedOn w:val="DefaultParagraphFont"/>
    <w:rsid w:val="007365D4"/>
  </w:style>
  <w:style w:type="character" w:customStyle="1" w:styleId="superscript">
    <w:name w:val="superscript"/>
    <w:basedOn w:val="DefaultParagraphFont"/>
    <w:rsid w:val="007365D4"/>
  </w:style>
  <w:style w:type="character" w:customStyle="1" w:styleId="UnresolvedMention1">
    <w:name w:val="Unresolved Mention1"/>
    <w:basedOn w:val="DefaultParagraphFont"/>
    <w:uiPriority w:val="99"/>
    <w:semiHidden/>
    <w:unhideWhenUsed/>
    <w:rsid w:val="007365D4"/>
    <w:rPr>
      <w:color w:val="605E5C"/>
      <w:shd w:val="clear" w:color="auto" w:fill="E1DFDD"/>
    </w:rPr>
  </w:style>
  <w:style w:type="paragraph" w:styleId="NormalWeb">
    <w:name w:val="Normal (Web)"/>
    <w:uiPriority w:val="99"/>
    <w:rsid w:val="003C5BD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character" w:styleId="PageNumber">
    <w:name w:val="page number"/>
    <w:basedOn w:val="DefaultParagraphFont"/>
    <w:uiPriority w:val="99"/>
    <w:semiHidden/>
    <w:unhideWhenUsed/>
    <w:rsid w:val="00B65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4483">
      <w:bodyDiv w:val="1"/>
      <w:marLeft w:val="0"/>
      <w:marRight w:val="0"/>
      <w:marTop w:val="0"/>
      <w:marBottom w:val="0"/>
      <w:divBdr>
        <w:top w:val="none" w:sz="0" w:space="0" w:color="auto"/>
        <w:left w:val="none" w:sz="0" w:space="0" w:color="auto"/>
        <w:bottom w:val="none" w:sz="0" w:space="0" w:color="auto"/>
        <w:right w:val="none" w:sz="0" w:space="0" w:color="auto"/>
      </w:divBdr>
    </w:div>
    <w:div w:id="485245898">
      <w:bodyDiv w:val="1"/>
      <w:marLeft w:val="0"/>
      <w:marRight w:val="0"/>
      <w:marTop w:val="0"/>
      <w:marBottom w:val="0"/>
      <w:divBdr>
        <w:top w:val="none" w:sz="0" w:space="0" w:color="auto"/>
        <w:left w:val="none" w:sz="0" w:space="0" w:color="auto"/>
        <w:bottom w:val="none" w:sz="0" w:space="0" w:color="auto"/>
        <w:right w:val="none" w:sz="0" w:space="0" w:color="auto"/>
      </w:divBdr>
    </w:div>
    <w:div w:id="530924783">
      <w:bodyDiv w:val="1"/>
      <w:marLeft w:val="0"/>
      <w:marRight w:val="0"/>
      <w:marTop w:val="0"/>
      <w:marBottom w:val="0"/>
      <w:divBdr>
        <w:top w:val="none" w:sz="0" w:space="0" w:color="auto"/>
        <w:left w:val="none" w:sz="0" w:space="0" w:color="auto"/>
        <w:bottom w:val="none" w:sz="0" w:space="0" w:color="auto"/>
        <w:right w:val="none" w:sz="0" w:space="0" w:color="auto"/>
      </w:divBdr>
    </w:div>
    <w:div w:id="558445800">
      <w:bodyDiv w:val="1"/>
      <w:marLeft w:val="0"/>
      <w:marRight w:val="0"/>
      <w:marTop w:val="0"/>
      <w:marBottom w:val="0"/>
      <w:divBdr>
        <w:top w:val="none" w:sz="0" w:space="0" w:color="auto"/>
        <w:left w:val="none" w:sz="0" w:space="0" w:color="auto"/>
        <w:bottom w:val="none" w:sz="0" w:space="0" w:color="auto"/>
        <w:right w:val="none" w:sz="0" w:space="0" w:color="auto"/>
      </w:divBdr>
    </w:div>
    <w:div w:id="618999914">
      <w:bodyDiv w:val="1"/>
      <w:marLeft w:val="0"/>
      <w:marRight w:val="0"/>
      <w:marTop w:val="0"/>
      <w:marBottom w:val="0"/>
      <w:divBdr>
        <w:top w:val="none" w:sz="0" w:space="0" w:color="auto"/>
        <w:left w:val="none" w:sz="0" w:space="0" w:color="auto"/>
        <w:bottom w:val="none" w:sz="0" w:space="0" w:color="auto"/>
        <w:right w:val="none" w:sz="0" w:space="0" w:color="auto"/>
      </w:divBdr>
    </w:div>
    <w:div w:id="702096020">
      <w:bodyDiv w:val="1"/>
      <w:marLeft w:val="0"/>
      <w:marRight w:val="0"/>
      <w:marTop w:val="0"/>
      <w:marBottom w:val="0"/>
      <w:divBdr>
        <w:top w:val="none" w:sz="0" w:space="0" w:color="auto"/>
        <w:left w:val="none" w:sz="0" w:space="0" w:color="auto"/>
        <w:bottom w:val="none" w:sz="0" w:space="0" w:color="auto"/>
        <w:right w:val="none" w:sz="0" w:space="0" w:color="auto"/>
      </w:divBdr>
      <w:divsChild>
        <w:div w:id="226846053">
          <w:marLeft w:val="360"/>
          <w:marRight w:val="0"/>
          <w:marTop w:val="36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
          </w:divsChild>
        </w:div>
        <w:div w:id="834805720">
          <w:marLeft w:val="0"/>
          <w:marRight w:val="0"/>
          <w:marTop w:val="180"/>
          <w:marBottom w:val="0"/>
          <w:divBdr>
            <w:top w:val="none" w:sz="0" w:space="0" w:color="auto"/>
            <w:left w:val="none" w:sz="0" w:space="0" w:color="auto"/>
            <w:bottom w:val="none" w:sz="0" w:space="0" w:color="auto"/>
            <w:right w:val="none" w:sz="0" w:space="0" w:color="auto"/>
          </w:divBdr>
          <w:divsChild>
            <w:div w:id="104425754">
              <w:marLeft w:val="0"/>
              <w:marRight w:val="0"/>
              <w:marTop w:val="0"/>
              <w:marBottom w:val="0"/>
              <w:divBdr>
                <w:top w:val="none" w:sz="0" w:space="0" w:color="auto"/>
                <w:left w:val="none" w:sz="0" w:space="0" w:color="auto"/>
                <w:bottom w:val="none" w:sz="0" w:space="0" w:color="auto"/>
                <w:right w:val="none" w:sz="0" w:space="0" w:color="auto"/>
              </w:divBdr>
            </w:div>
          </w:divsChild>
        </w:div>
        <w:div w:id="904605913">
          <w:marLeft w:val="0"/>
          <w:marRight w:val="0"/>
          <w:marTop w:val="180"/>
          <w:marBottom w:val="0"/>
          <w:divBdr>
            <w:top w:val="none" w:sz="0" w:space="0" w:color="auto"/>
            <w:left w:val="none" w:sz="0" w:space="0" w:color="auto"/>
            <w:bottom w:val="none" w:sz="0" w:space="0" w:color="auto"/>
            <w:right w:val="none" w:sz="0" w:space="0" w:color="auto"/>
          </w:divBdr>
          <w:divsChild>
            <w:div w:id="635451447">
              <w:marLeft w:val="0"/>
              <w:marRight w:val="0"/>
              <w:marTop w:val="0"/>
              <w:marBottom w:val="0"/>
              <w:divBdr>
                <w:top w:val="none" w:sz="0" w:space="0" w:color="auto"/>
                <w:left w:val="none" w:sz="0" w:space="0" w:color="auto"/>
                <w:bottom w:val="none" w:sz="0" w:space="0" w:color="auto"/>
                <w:right w:val="none" w:sz="0" w:space="0" w:color="auto"/>
              </w:divBdr>
            </w:div>
          </w:divsChild>
        </w:div>
        <w:div w:id="1270624000">
          <w:marLeft w:val="0"/>
          <w:marRight w:val="0"/>
          <w:marTop w:val="180"/>
          <w:marBottom w:val="0"/>
          <w:divBdr>
            <w:top w:val="none" w:sz="0" w:space="0" w:color="auto"/>
            <w:left w:val="none" w:sz="0" w:space="0" w:color="auto"/>
            <w:bottom w:val="none" w:sz="0" w:space="0" w:color="auto"/>
            <w:right w:val="none" w:sz="0" w:space="0" w:color="auto"/>
          </w:divBdr>
          <w:divsChild>
            <w:div w:id="230314448">
              <w:marLeft w:val="0"/>
              <w:marRight w:val="0"/>
              <w:marTop w:val="0"/>
              <w:marBottom w:val="0"/>
              <w:divBdr>
                <w:top w:val="none" w:sz="0" w:space="0" w:color="auto"/>
                <w:left w:val="none" w:sz="0" w:space="0" w:color="auto"/>
                <w:bottom w:val="none" w:sz="0" w:space="0" w:color="auto"/>
                <w:right w:val="none" w:sz="0" w:space="0" w:color="auto"/>
              </w:divBdr>
            </w:div>
          </w:divsChild>
        </w:div>
        <w:div w:id="1479806738">
          <w:marLeft w:val="0"/>
          <w:marRight w:val="0"/>
          <w:marTop w:val="180"/>
          <w:marBottom w:val="0"/>
          <w:divBdr>
            <w:top w:val="none" w:sz="0" w:space="0" w:color="auto"/>
            <w:left w:val="none" w:sz="0" w:space="0" w:color="auto"/>
            <w:bottom w:val="none" w:sz="0" w:space="0" w:color="auto"/>
            <w:right w:val="none" w:sz="0" w:space="0" w:color="auto"/>
          </w:divBdr>
          <w:divsChild>
            <w:div w:id="861279806">
              <w:marLeft w:val="0"/>
              <w:marRight w:val="0"/>
              <w:marTop w:val="0"/>
              <w:marBottom w:val="0"/>
              <w:divBdr>
                <w:top w:val="none" w:sz="0" w:space="0" w:color="auto"/>
                <w:left w:val="none" w:sz="0" w:space="0" w:color="auto"/>
                <w:bottom w:val="none" w:sz="0" w:space="0" w:color="auto"/>
                <w:right w:val="none" w:sz="0" w:space="0" w:color="auto"/>
              </w:divBdr>
            </w:div>
          </w:divsChild>
        </w:div>
        <w:div w:id="680856491">
          <w:marLeft w:val="0"/>
          <w:marRight w:val="0"/>
          <w:marTop w:val="180"/>
          <w:marBottom w:val="0"/>
          <w:divBdr>
            <w:top w:val="none" w:sz="0" w:space="0" w:color="auto"/>
            <w:left w:val="none" w:sz="0" w:space="0" w:color="auto"/>
            <w:bottom w:val="none" w:sz="0" w:space="0" w:color="auto"/>
            <w:right w:val="none" w:sz="0" w:space="0" w:color="auto"/>
          </w:divBdr>
          <w:divsChild>
            <w:div w:id="858281290">
              <w:marLeft w:val="0"/>
              <w:marRight w:val="0"/>
              <w:marTop w:val="0"/>
              <w:marBottom w:val="0"/>
              <w:divBdr>
                <w:top w:val="none" w:sz="0" w:space="0" w:color="auto"/>
                <w:left w:val="none" w:sz="0" w:space="0" w:color="auto"/>
                <w:bottom w:val="none" w:sz="0" w:space="0" w:color="auto"/>
                <w:right w:val="none" w:sz="0" w:space="0" w:color="auto"/>
              </w:divBdr>
            </w:div>
          </w:divsChild>
        </w:div>
        <w:div w:id="1610698919">
          <w:marLeft w:val="0"/>
          <w:marRight w:val="0"/>
          <w:marTop w:val="180"/>
          <w:marBottom w:val="0"/>
          <w:divBdr>
            <w:top w:val="none" w:sz="0" w:space="0" w:color="auto"/>
            <w:left w:val="none" w:sz="0" w:space="0" w:color="auto"/>
            <w:bottom w:val="none" w:sz="0" w:space="0" w:color="auto"/>
            <w:right w:val="none" w:sz="0" w:space="0" w:color="auto"/>
          </w:divBdr>
          <w:divsChild>
            <w:div w:id="718554830">
              <w:marLeft w:val="0"/>
              <w:marRight w:val="0"/>
              <w:marTop w:val="0"/>
              <w:marBottom w:val="0"/>
              <w:divBdr>
                <w:top w:val="none" w:sz="0" w:space="0" w:color="auto"/>
                <w:left w:val="none" w:sz="0" w:space="0" w:color="auto"/>
                <w:bottom w:val="none" w:sz="0" w:space="0" w:color="auto"/>
                <w:right w:val="none" w:sz="0" w:space="0" w:color="auto"/>
              </w:divBdr>
            </w:div>
          </w:divsChild>
        </w:div>
        <w:div w:id="1490291666">
          <w:marLeft w:val="0"/>
          <w:marRight w:val="0"/>
          <w:marTop w:val="180"/>
          <w:marBottom w:val="0"/>
          <w:divBdr>
            <w:top w:val="none" w:sz="0" w:space="0" w:color="auto"/>
            <w:left w:val="none" w:sz="0" w:space="0" w:color="auto"/>
            <w:bottom w:val="none" w:sz="0" w:space="0" w:color="auto"/>
            <w:right w:val="none" w:sz="0" w:space="0" w:color="auto"/>
          </w:divBdr>
          <w:divsChild>
            <w:div w:id="1105081180">
              <w:marLeft w:val="0"/>
              <w:marRight w:val="0"/>
              <w:marTop w:val="0"/>
              <w:marBottom w:val="0"/>
              <w:divBdr>
                <w:top w:val="none" w:sz="0" w:space="0" w:color="auto"/>
                <w:left w:val="none" w:sz="0" w:space="0" w:color="auto"/>
                <w:bottom w:val="none" w:sz="0" w:space="0" w:color="auto"/>
                <w:right w:val="none" w:sz="0" w:space="0" w:color="auto"/>
              </w:divBdr>
            </w:div>
          </w:divsChild>
        </w:div>
        <w:div w:id="1901283968">
          <w:marLeft w:val="0"/>
          <w:marRight w:val="0"/>
          <w:marTop w:val="180"/>
          <w:marBottom w:val="0"/>
          <w:divBdr>
            <w:top w:val="none" w:sz="0" w:space="0" w:color="auto"/>
            <w:left w:val="none" w:sz="0" w:space="0" w:color="auto"/>
            <w:bottom w:val="none" w:sz="0" w:space="0" w:color="auto"/>
            <w:right w:val="none" w:sz="0" w:space="0" w:color="auto"/>
          </w:divBdr>
          <w:divsChild>
            <w:div w:id="2015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1599">
      <w:bodyDiv w:val="1"/>
      <w:marLeft w:val="0"/>
      <w:marRight w:val="0"/>
      <w:marTop w:val="0"/>
      <w:marBottom w:val="0"/>
      <w:divBdr>
        <w:top w:val="none" w:sz="0" w:space="0" w:color="auto"/>
        <w:left w:val="none" w:sz="0" w:space="0" w:color="auto"/>
        <w:bottom w:val="none" w:sz="0" w:space="0" w:color="auto"/>
        <w:right w:val="none" w:sz="0" w:space="0" w:color="auto"/>
      </w:divBdr>
    </w:div>
    <w:div w:id="745347437">
      <w:bodyDiv w:val="1"/>
      <w:marLeft w:val="0"/>
      <w:marRight w:val="0"/>
      <w:marTop w:val="0"/>
      <w:marBottom w:val="0"/>
      <w:divBdr>
        <w:top w:val="none" w:sz="0" w:space="0" w:color="auto"/>
        <w:left w:val="none" w:sz="0" w:space="0" w:color="auto"/>
        <w:bottom w:val="none" w:sz="0" w:space="0" w:color="auto"/>
        <w:right w:val="none" w:sz="0" w:space="0" w:color="auto"/>
      </w:divBdr>
    </w:div>
    <w:div w:id="798186902">
      <w:bodyDiv w:val="1"/>
      <w:marLeft w:val="0"/>
      <w:marRight w:val="0"/>
      <w:marTop w:val="0"/>
      <w:marBottom w:val="0"/>
      <w:divBdr>
        <w:top w:val="none" w:sz="0" w:space="0" w:color="auto"/>
        <w:left w:val="none" w:sz="0" w:space="0" w:color="auto"/>
        <w:bottom w:val="none" w:sz="0" w:space="0" w:color="auto"/>
        <w:right w:val="none" w:sz="0" w:space="0" w:color="auto"/>
      </w:divBdr>
    </w:div>
    <w:div w:id="1077091218">
      <w:bodyDiv w:val="1"/>
      <w:marLeft w:val="0"/>
      <w:marRight w:val="0"/>
      <w:marTop w:val="0"/>
      <w:marBottom w:val="0"/>
      <w:divBdr>
        <w:top w:val="none" w:sz="0" w:space="0" w:color="auto"/>
        <w:left w:val="none" w:sz="0" w:space="0" w:color="auto"/>
        <w:bottom w:val="none" w:sz="0" w:space="0" w:color="auto"/>
        <w:right w:val="none" w:sz="0" w:space="0" w:color="auto"/>
      </w:divBdr>
    </w:div>
    <w:div w:id="1197423146">
      <w:bodyDiv w:val="1"/>
      <w:marLeft w:val="0"/>
      <w:marRight w:val="0"/>
      <w:marTop w:val="0"/>
      <w:marBottom w:val="0"/>
      <w:divBdr>
        <w:top w:val="none" w:sz="0" w:space="0" w:color="auto"/>
        <w:left w:val="none" w:sz="0" w:space="0" w:color="auto"/>
        <w:bottom w:val="none" w:sz="0" w:space="0" w:color="auto"/>
        <w:right w:val="none" w:sz="0" w:space="0" w:color="auto"/>
      </w:divBdr>
    </w:div>
    <w:div w:id="17349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EA083-0C7D-4ECD-8E51-34E67C31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5767</Words>
  <Characters>32876</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Campagna, Jeffrey</dc:creator>
  <cp:keywords/>
  <dc:description/>
  <cp:lastModifiedBy>DelFranco, Ruthie</cp:lastModifiedBy>
  <cp:revision>2</cp:revision>
  <cp:lastPrinted>2019-05-02T16:26:00Z</cp:lastPrinted>
  <dcterms:created xsi:type="dcterms:W3CDTF">2021-06-16T14:00:00Z</dcterms:created>
  <dcterms:modified xsi:type="dcterms:W3CDTF">2021-06-16T14:00:00Z</dcterms:modified>
</cp:coreProperties>
</file>