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F34931" w:rsidRDefault="00F34931">
      <w:pPr>
        <w:rPr>
          <w:sz w:val="24"/>
        </w:rPr>
      </w:pPr>
    </w:p>
    <w:p w:rsidR="00F34931" w:rsidRDefault="00F34931">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JOINT REPORT OF THE LAND USE COMMITTEE</w:t>
      </w:r>
    </w:p>
    <w:p w:rsidR="00E4613D" w:rsidRDefault="00E4613D">
      <w:pPr>
        <w:jc w:val="center"/>
        <w:rPr>
          <w:b/>
          <w:sz w:val="24"/>
        </w:rPr>
      </w:pPr>
      <w:r>
        <w:rPr>
          <w:b/>
          <w:sz w:val="24"/>
        </w:rPr>
        <w:t xml:space="preserve">AND THE </w:t>
      </w:r>
    </w:p>
    <w:p w:rsidR="000B43E7" w:rsidRPr="003E7EE9" w:rsidRDefault="000B43E7" w:rsidP="000B43E7">
      <w:pPr>
        <w:jc w:val="center"/>
        <w:rPr>
          <w:b/>
          <w:sz w:val="24"/>
          <w:szCs w:val="24"/>
        </w:rPr>
      </w:pPr>
      <w:r w:rsidRPr="003E7EE9">
        <w:rPr>
          <w:b/>
          <w:sz w:val="24"/>
          <w:szCs w:val="24"/>
        </w:rPr>
        <w:t>SUBCOMMITTEE ON LANDMARKS, PUBLIC SITING</w:t>
      </w:r>
      <w:r w:rsidR="009F7182">
        <w:rPr>
          <w:b/>
          <w:sz w:val="24"/>
          <w:szCs w:val="24"/>
        </w:rPr>
        <w:t>S</w:t>
      </w:r>
    </w:p>
    <w:p w:rsidR="000B43E7" w:rsidRPr="003E7EE9" w:rsidRDefault="000B43E7" w:rsidP="000B43E7">
      <w:pPr>
        <w:jc w:val="center"/>
        <w:rPr>
          <w:b/>
          <w:sz w:val="24"/>
          <w:szCs w:val="24"/>
        </w:rPr>
      </w:pPr>
      <w:r w:rsidRPr="003E7EE9">
        <w:rPr>
          <w:b/>
          <w:sz w:val="24"/>
          <w:szCs w:val="24"/>
        </w:rPr>
        <w:t xml:space="preserve">AND </w:t>
      </w:r>
      <w:r w:rsidR="00EF2987">
        <w:rPr>
          <w:b/>
          <w:sz w:val="24"/>
          <w:szCs w:val="24"/>
        </w:rPr>
        <w:t>DISPOSITIONS</w:t>
      </w:r>
    </w:p>
    <w:p w:rsidR="00E4613D" w:rsidRDefault="00E4613D">
      <w:pPr>
        <w:jc w:val="center"/>
        <w:rPr>
          <w:b/>
          <w:sz w:val="24"/>
        </w:rPr>
      </w:pPr>
    </w:p>
    <w:p w:rsidR="00A164A1" w:rsidRDefault="00F37CDE">
      <w:pPr>
        <w:jc w:val="center"/>
        <w:rPr>
          <w:b/>
          <w:sz w:val="24"/>
        </w:rPr>
      </w:pPr>
      <w:r>
        <w:rPr>
          <w:b/>
          <w:sz w:val="24"/>
        </w:rPr>
        <w:t xml:space="preserve">Preconsidered </w:t>
      </w:r>
      <w:r w:rsidR="00E4613D">
        <w:rPr>
          <w:b/>
          <w:sz w:val="24"/>
        </w:rPr>
        <w:t>L.U. No</w:t>
      </w:r>
      <w:r w:rsidR="00F935BD">
        <w:rPr>
          <w:b/>
          <w:sz w:val="24"/>
        </w:rPr>
        <w:t>s</w:t>
      </w:r>
      <w:r w:rsidR="00E4613D">
        <w:rPr>
          <w:b/>
          <w:sz w:val="24"/>
        </w:rPr>
        <w:t xml:space="preserve">. </w:t>
      </w:r>
      <w:r w:rsidR="000D7970">
        <w:rPr>
          <w:b/>
          <w:sz w:val="24"/>
        </w:rPr>
        <w:t xml:space="preserve">743 </w:t>
      </w:r>
      <w:r w:rsidR="00875B3D">
        <w:rPr>
          <w:b/>
          <w:sz w:val="24"/>
        </w:rPr>
        <w:t xml:space="preserve">and </w:t>
      </w:r>
      <w:r w:rsidR="000D7970">
        <w:rPr>
          <w:b/>
          <w:sz w:val="24"/>
        </w:rPr>
        <w:t>744</w:t>
      </w:r>
    </w:p>
    <w:p w:rsidR="00E4613D" w:rsidRDefault="00E4613D">
      <w:pPr>
        <w:jc w:val="center"/>
        <w:rPr>
          <w:b/>
          <w:sz w:val="24"/>
        </w:rPr>
      </w:pPr>
      <w:r>
        <w:rPr>
          <w:b/>
          <w:sz w:val="24"/>
        </w:rPr>
        <w:t>(Res. No</w:t>
      </w:r>
      <w:r w:rsidR="00F935BD">
        <w:rPr>
          <w:b/>
          <w:sz w:val="24"/>
        </w:rPr>
        <w:t>s</w:t>
      </w:r>
      <w:r>
        <w:rPr>
          <w:b/>
          <w:sz w:val="24"/>
        </w:rPr>
        <w:t>.</w:t>
      </w:r>
      <w:r w:rsidR="00A17B48">
        <w:rPr>
          <w:b/>
          <w:sz w:val="24"/>
        </w:rPr>
        <w:t xml:space="preserve"> </w:t>
      </w:r>
      <w:r w:rsidR="00915B59">
        <w:rPr>
          <w:b/>
          <w:sz w:val="24"/>
        </w:rPr>
        <w:t>1589</w:t>
      </w:r>
      <w:r w:rsidR="00D70DDB">
        <w:rPr>
          <w:b/>
          <w:sz w:val="24"/>
        </w:rPr>
        <w:t xml:space="preserve"> </w:t>
      </w:r>
      <w:r w:rsidR="00875B3D">
        <w:rPr>
          <w:b/>
          <w:sz w:val="24"/>
        </w:rPr>
        <w:t>and</w:t>
      </w:r>
      <w:r w:rsidR="00D70DDB">
        <w:rPr>
          <w:b/>
          <w:sz w:val="24"/>
        </w:rPr>
        <w:t xml:space="preserve"> </w:t>
      </w:r>
      <w:r w:rsidR="00915B59">
        <w:rPr>
          <w:b/>
          <w:sz w:val="24"/>
        </w:rPr>
        <w:t>1590</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A56C11">
        <w:rPr>
          <w:b/>
          <w:sz w:val="24"/>
        </w:rPr>
        <w:t>Salamanca</w:t>
      </w:r>
      <w:r w:rsidR="00277209">
        <w:rPr>
          <w:b/>
          <w:sz w:val="24"/>
        </w:rPr>
        <w:t xml:space="preserve"> and </w:t>
      </w:r>
      <w:r w:rsidR="00F37CDE">
        <w:rPr>
          <w:b/>
          <w:sz w:val="24"/>
        </w:rPr>
        <w:t>Riley</w:t>
      </w:r>
    </w:p>
    <w:p w:rsidR="00E4613D" w:rsidRDefault="00E4613D">
      <w:pPr>
        <w:rPr>
          <w:b/>
          <w:sz w:val="24"/>
        </w:rPr>
      </w:pPr>
    </w:p>
    <w:p w:rsidR="00E4613D" w:rsidRDefault="00E4613D">
      <w:pPr>
        <w:rPr>
          <w:b/>
          <w:sz w:val="24"/>
        </w:rPr>
      </w:pPr>
    </w:p>
    <w:p w:rsidR="00E4613D" w:rsidRDefault="00E4613D">
      <w:pPr>
        <w:pStyle w:val="Heading2"/>
      </w:pPr>
      <w:r>
        <w:t>SUBJECT</w:t>
      </w:r>
    </w:p>
    <w:p w:rsidR="00E4613D" w:rsidRDefault="00E4613D">
      <w:pPr>
        <w:rPr>
          <w:sz w:val="24"/>
        </w:rPr>
      </w:pPr>
    </w:p>
    <w:p w:rsidR="00F37CDE" w:rsidRDefault="00F37CDE" w:rsidP="00163825">
      <w:pPr>
        <w:tabs>
          <w:tab w:val="left" w:pos="2430"/>
          <w:tab w:val="left" w:pos="7740"/>
        </w:tabs>
        <w:ind w:right="-270"/>
        <w:rPr>
          <w:b/>
          <w:sz w:val="24"/>
        </w:rPr>
      </w:pPr>
      <w:r>
        <w:rPr>
          <w:b/>
          <w:sz w:val="24"/>
        </w:rPr>
        <w:t xml:space="preserve">MANHATTAN </w:t>
      </w:r>
      <w:r w:rsidR="003056E1">
        <w:rPr>
          <w:b/>
          <w:sz w:val="24"/>
        </w:rPr>
        <w:t xml:space="preserve">CB - </w:t>
      </w:r>
      <w:r>
        <w:rPr>
          <w:b/>
          <w:sz w:val="24"/>
        </w:rPr>
        <w:t>10</w:t>
      </w:r>
      <w:r w:rsidR="00F935BD">
        <w:rPr>
          <w:b/>
          <w:sz w:val="24"/>
        </w:rPr>
        <w:t xml:space="preserve">   -  </w:t>
      </w:r>
      <w:r w:rsidR="003F7FB1">
        <w:rPr>
          <w:b/>
          <w:sz w:val="24"/>
        </w:rPr>
        <w:t>TWO</w:t>
      </w:r>
      <w:r w:rsidR="00EF2987">
        <w:rPr>
          <w:b/>
          <w:sz w:val="24"/>
        </w:rPr>
        <w:t xml:space="preserve"> </w:t>
      </w:r>
      <w:r w:rsidR="00F935BD">
        <w:rPr>
          <w:b/>
          <w:sz w:val="24"/>
        </w:rPr>
        <w:t xml:space="preserve">APPLICATIONS RELATED TO </w:t>
      </w:r>
      <w:r>
        <w:rPr>
          <w:b/>
          <w:sz w:val="24"/>
        </w:rPr>
        <w:t xml:space="preserve">HARLEM OPEN DOOR </w:t>
      </w:r>
    </w:p>
    <w:p w:rsidR="00F935BD" w:rsidRDefault="00F37CDE" w:rsidP="00163825">
      <w:pPr>
        <w:tabs>
          <w:tab w:val="left" w:pos="2790"/>
          <w:tab w:val="left" w:pos="7740"/>
        </w:tabs>
        <w:rPr>
          <w:b/>
          <w:sz w:val="24"/>
        </w:rPr>
      </w:pPr>
      <w:r>
        <w:rPr>
          <w:b/>
          <w:sz w:val="24"/>
        </w:rPr>
        <w:tab/>
        <w:t>CLUSTER</w:t>
      </w:r>
      <w:r w:rsidR="00D70DDB">
        <w:rPr>
          <w:b/>
          <w:sz w:val="24"/>
        </w:rPr>
        <w:t xml:space="preserve"> </w:t>
      </w:r>
    </w:p>
    <w:p w:rsidR="00F935BD" w:rsidRDefault="00F935BD" w:rsidP="00393553">
      <w:pPr>
        <w:tabs>
          <w:tab w:val="left" w:pos="7740"/>
        </w:tabs>
        <w:rPr>
          <w:b/>
          <w:sz w:val="24"/>
        </w:rPr>
      </w:pPr>
    </w:p>
    <w:p w:rsidR="00875B3D" w:rsidRDefault="00875B3D" w:rsidP="00393553">
      <w:pPr>
        <w:tabs>
          <w:tab w:val="left" w:pos="7740"/>
        </w:tabs>
        <w:rPr>
          <w:b/>
          <w:sz w:val="24"/>
        </w:rPr>
      </w:pPr>
    </w:p>
    <w:p w:rsidR="00F37CDE" w:rsidRPr="00163825" w:rsidRDefault="00F37CDE" w:rsidP="00163825">
      <w:pPr>
        <w:pStyle w:val="BodyText"/>
        <w:rPr>
          <w:b/>
          <w:szCs w:val="24"/>
        </w:rPr>
      </w:pPr>
      <w:r w:rsidRPr="00163825">
        <w:rPr>
          <w:b/>
          <w:szCs w:val="24"/>
        </w:rPr>
        <w:t xml:space="preserve">C 200276 HAM (Pre. L.U. No. </w:t>
      </w:r>
      <w:r w:rsidR="000D7970">
        <w:rPr>
          <w:b/>
          <w:szCs w:val="24"/>
        </w:rPr>
        <w:t>743</w:t>
      </w:r>
      <w:r w:rsidR="000D7970" w:rsidRPr="00163825">
        <w:rPr>
          <w:b/>
          <w:szCs w:val="24"/>
        </w:rPr>
        <w:t>)</w:t>
      </w:r>
    </w:p>
    <w:p w:rsidR="00F37CDE" w:rsidRPr="00163825" w:rsidRDefault="00F37CDE" w:rsidP="00163825">
      <w:pPr>
        <w:pStyle w:val="BodyText"/>
        <w:rPr>
          <w:b/>
          <w:szCs w:val="24"/>
        </w:rPr>
      </w:pPr>
    </w:p>
    <w:p w:rsidR="00F37CDE" w:rsidRPr="00163825" w:rsidRDefault="00F37CDE" w:rsidP="00163825">
      <w:pPr>
        <w:tabs>
          <w:tab w:val="left" w:pos="720"/>
        </w:tabs>
        <w:kinsoku w:val="0"/>
        <w:overflowPunct w:val="0"/>
        <w:autoSpaceDE w:val="0"/>
        <w:autoSpaceDN w:val="0"/>
        <w:adjustRightInd w:val="0"/>
        <w:jc w:val="both"/>
        <w:rPr>
          <w:rFonts w:eastAsia="Calibri"/>
          <w:sz w:val="24"/>
          <w:szCs w:val="24"/>
        </w:rPr>
      </w:pPr>
      <w:r w:rsidRPr="00163825">
        <w:rPr>
          <w:sz w:val="24"/>
          <w:szCs w:val="24"/>
        </w:rPr>
        <w:tab/>
        <w:t xml:space="preserve">City Planning Commission decision approving an </w:t>
      </w:r>
      <w:r w:rsidRPr="00163825">
        <w:rPr>
          <w:rFonts w:eastAsia="Calibri"/>
          <w:sz w:val="24"/>
          <w:szCs w:val="24"/>
        </w:rPr>
        <w:t>application submitted by the Department of Housing Preservation and Development (HPD):</w:t>
      </w:r>
    </w:p>
    <w:p w:rsidR="00F37CDE" w:rsidRPr="00163825" w:rsidRDefault="00F37CDE" w:rsidP="00163825">
      <w:pPr>
        <w:tabs>
          <w:tab w:val="left" w:pos="720"/>
        </w:tabs>
        <w:kinsoku w:val="0"/>
        <w:overflowPunct w:val="0"/>
        <w:autoSpaceDE w:val="0"/>
        <w:autoSpaceDN w:val="0"/>
        <w:adjustRightInd w:val="0"/>
        <w:jc w:val="both"/>
        <w:rPr>
          <w:rFonts w:eastAsia="Calibri"/>
          <w:sz w:val="24"/>
          <w:szCs w:val="24"/>
        </w:rPr>
      </w:pPr>
    </w:p>
    <w:p w:rsidR="00F37CDE" w:rsidRPr="00163825" w:rsidRDefault="00F37CDE" w:rsidP="00163825">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4"/>
          <w:szCs w:val="24"/>
        </w:rPr>
      </w:pPr>
      <w:r w:rsidRPr="00163825">
        <w:rPr>
          <w:rFonts w:eastAsiaTheme="minorEastAsia"/>
          <w:color w:val="000000"/>
          <w:sz w:val="24"/>
          <w:szCs w:val="24"/>
        </w:rPr>
        <w:t xml:space="preserve">1)   </w:t>
      </w:r>
      <w:r>
        <w:rPr>
          <w:rFonts w:eastAsiaTheme="minorEastAsia"/>
          <w:color w:val="000000"/>
          <w:sz w:val="24"/>
          <w:szCs w:val="24"/>
        </w:rPr>
        <w:tab/>
      </w:r>
      <w:r w:rsidRPr="00163825">
        <w:rPr>
          <w:rFonts w:eastAsiaTheme="minorEastAsia"/>
          <w:color w:val="000000"/>
          <w:sz w:val="24"/>
          <w:szCs w:val="24"/>
        </w:rPr>
        <w:t>pursuant to Article 16 of the General Municipal Law of New York State for:</w:t>
      </w:r>
    </w:p>
    <w:p w:rsidR="00F37CDE" w:rsidRPr="00163825" w:rsidRDefault="00F37CDE" w:rsidP="00163825">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4"/>
          <w:szCs w:val="24"/>
        </w:rPr>
      </w:pPr>
    </w:p>
    <w:p w:rsidR="00F37CDE" w:rsidRPr="00163825" w:rsidRDefault="00F37CDE" w:rsidP="00163825">
      <w:pPr>
        <w:tabs>
          <w:tab w:val="left" w:pos="1440"/>
        </w:tabs>
        <w:autoSpaceDE w:val="0"/>
        <w:autoSpaceDN w:val="0"/>
        <w:adjustRightInd w:val="0"/>
        <w:ind w:left="1440" w:hanging="720"/>
        <w:jc w:val="both"/>
        <w:rPr>
          <w:rFonts w:eastAsiaTheme="minorEastAsia"/>
          <w:color w:val="000000"/>
          <w:sz w:val="24"/>
          <w:szCs w:val="24"/>
        </w:rPr>
      </w:pPr>
      <w:r w:rsidRPr="00163825">
        <w:rPr>
          <w:rFonts w:eastAsiaTheme="minorEastAsia"/>
          <w:color w:val="000000"/>
          <w:sz w:val="24"/>
          <w:szCs w:val="24"/>
        </w:rPr>
        <w:t xml:space="preserve"> a)    </w:t>
      </w:r>
      <w:bookmarkStart w:id="1" w:name="_Hlk64979889"/>
      <w:r>
        <w:rPr>
          <w:rFonts w:eastAsiaTheme="minorEastAsia"/>
          <w:color w:val="000000"/>
          <w:sz w:val="24"/>
          <w:szCs w:val="24"/>
        </w:rPr>
        <w:tab/>
      </w:r>
      <w:r w:rsidRPr="00163825">
        <w:rPr>
          <w:rFonts w:eastAsiaTheme="minorEastAsia"/>
          <w:color w:val="000000"/>
          <w:sz w:val="24"/>
          <w:szCs w:val="24"/>
        </w:rPr>
        <w:t>the designation of property located at 2735 Frederick Douglass Boulevard (Block 2045, Lot 13), 2752 Frederick Douglass Boulevard (Block 2032, Lot 2) 131 West 133rd Street (Block 1918, Lot 16), 130 West 134th Street (Block 1918, Lot 53) as an Urban Development Action Area</w:t>
      </w:r>
      <w:bookmarkEnd w:id="1"/>
      <w:r w:rsidRPr="00163825">
        <w:rPr>
          <w:rFonts w:eastAsiaTheme="minorEastAsia"/>
          <w:color w:val="000000"/>
          <w:sz w:val="24"/>
          <w:szCs w:val="24"/>
        </w:rPr>
        <w:t>; and</w:t>
      </w:r>
    </w:p>
    <w:p w:rsidR="00F37CDE" w:rsidRPr="00163825" w:rsidRDefault="00F37CDE" w:rsidP="00163825">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00"/>
        <w:jc w:val="both"/>
        <w:rPr>
          <w:rFonts w:eastAsiaTheme="minorEastAsia"/>
          <w:color w:val="000000"/>
          <w:sz w:val="24"/>
          <w:szCs w:val="24"/>
        </w:rPr>
      </w:pPr>
      <w:r w:rsidRPr="00163825">
        <w:rPr>
          <w:rFonts w:eastAsiaTheme="minorEastAsia"/>
          <w:color w:val="000000"/>
          <w:sz w:val="24"/>
          <w:szCs w:val="24"/>
        </w:rPr>
        <w:t xml:space="preserve">     </w:t>
      </w:r>
    </w:p>
    <w:p w:rsidR="00F37CDE" w:rsidRPr="00163825" w:rsidRDefault="00F37CDE" w:rsidP="00163825">
      <w:pPr>
        <w:tabs>
          <w:tab w:val="left" w:pos="1440"/>
        </w:tabs>
        <w:autoSpaceDE w:val="0"/>
        <w:autoSpaceDN w:val="0"/>
        <w:adjustRightInd w:val="0"/>
        <w:ind w:left="1440" w:hanging="720"/>
        <w:jc w:val="both"/>
        <w:rPr>
          <w:rFonts w:eastAsiaTheme="minorEastAsia"/>
          <w:color w:val="000000"/>
          <w:sz w:val="24"/>
          <w:szCs w:val="24"/>
        </w:rPr>
      </w:pPr>
      <w:r w:rsidRPr="00163825">
        <w:rPr>
          <w:rFonts w:eastAsiaTheme="minorEastAsia"/>
          <w:color w:val="000000"/>
          <w:sz w:val="24"/>
          <w:szCs w:val="24"/>
        </w:rPr>
        <w:t xml:space="preserve">  b)   </w:t>
      </w:r>
      <w:r>
        <w:rPr>
          <w:rFonts w:eastAsiaTheme="minorEastAsia"/>
          <w:color w:val="000000"/>
          <w:sz w:val="24"/>
          <w:szCs w:val="24"/>
        </w:rPr>
        <w:tab/>
      </w:r>
      <w:r w:rsidRPr="00163825">
        <w:rPr>
          <w:rFonts w:eastAsiaTheme="minorEastAsia"/>
          <w:color w:val="000000"/>
          <w:sz w:val="24"/>
          <w:szCs w:val="24"/>
        </w:rPr>
        <w:t xml:space="preserve">an Urban Development Action Area Project for such area; and </w:t>
      </w:r>
    </w:p>
    <w:p w:rsidR="00F37CDE" w:rsidRPr="00163825" w:rsidRDefault="00F37CDE" w:rsidP="00163825">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4"/>
          <w:szCs w:val="24"/>
        </w:rPr>
      </w:pPr>
      <w:r w:rsidRPr="00163825">
        <w:rPr>
          <w:rFonts w:eastAsiaTheme="minorEastAsia"/>
          <w:color w:val="000000"/>
          <w:sz w:val="24"/>
          <w:szCs w:val="24"/>
        </w:rPr>
        <w:t xml:space="preserve"> </w:t>
      </w:r>
    </w:p>
    <w:p w:rsidR="00F37CDE" w:rsidRPr="00163825" w:rsidRDefault="00F37CDE" w:rsidP="00163825">
      <w:pPr>
        <w:tabs>
          <w:tab w:val="left" w:pos="720"/>
        </w:tabs>
        <w:autoSpaceDE w:val="0"/>
        <w:autoSpaceDN w:val="0"/>
        <w:adjustRightInd w:val="0"/>
        <w:ind w:left="720" w:hanging="720"/>
        <w:jc w:val="both"/>
        <w:rPr>
          <w:rFonts w:eastAsiaTheme="minorEastAsia"/>
          <w:color w:val="000000"/>
          <w:sz w:val="24"/>
          <w:szCs w:val="24"/>
        </w:rPr>
      </w:pPr>
      <w:r w:rsidRPr="00163825">
        <w:rPr>
          <w:rFonts w:eastAsiaTheme="minorEastAsia"/>
          <w:color w:val="000000"/>
          <w:sz w:val="24"/>
          <w:szCs w:val="24"/>
        </w:rPr>
        <w:t xml:space="preserve">2)   </w:t>
      </w:r>
      <w:r>
        <w:rPr>
          <w:rFonts w:eastAsiaTheme="minorEastAsia"/>
          <w:color w:val="000000"/>
          <w:sz w:val="24"/>
          <w:szCs w:val="24"/>
        </w:rPr>
        <w:tab/>
      </w:r>
      <w:r w:rsidRPr="00163825">
        <w:rPr>
          <w:rFonts w:eastAsiaTheme="minorEastAsia"/>
          <w:color w:val="000000"/>
          <w:sz w:val="24"/>
          <w:szCs w:val="24"/>
        </w:rPr>
        <w:t>pursuant to Section 197-c of the New York City Charter for the disposition of such property to a developer to be selected by HPD.</w:t>
      </w:r>
    </w:p>
    <w:p w:rsidR="00F37CDE" w:rsidRPr="00163825" w:rsidRDefault="00F37CDE" w:rsidP="001638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eastAsiaTheme="minorEastAsia"/>
          <w:color w:val="000000"/>
          <w:sz w:val="24"/>
          <w:szCs w:val="24"/>
        </w:rPr>
      </w:pPr>
      <w:r w:rsidRPr="00163825">
        <w:rPr>
          <w:rFonts w:eastAsiaTheme="minorEastAsia"/>
          <w:color w:val="000000"/>
          <w:sz w:val="24"/>
          <w:szCs w:val="24"/>
        </w:rPr>
        <w:t xml:space="preserve"> </w:t>
      </w:r>
    </w:p>
    <w:p w:rsidR="00F37CDE" w:rsidRPr="00163825" w:rsidRDefault="00F37CDE" w:rsidP="001638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4"/>
          <w:szCs w:val="24"/>
        </w:rPr>
      </w:pPr>
      <w:r w:rsidRPr="00163825">
        <w:rPr>
          <w:rFonts w:eastAsiaTheme="minorEastAsia"/>
          <w:color w:val="000000" w:themeColor="text1"/>
          <w:sz w:val="24"/>
          <w:szCs w:val="24"/>
        </w:rPr>
        <w:t>to facilitate the development of two six-story buildings, one seven-story building, and one 10-story building containing an approximate total of 48 affordable housing units, Borough of Manhattan, Community District 10.</w:t>
      </w:r>
    </w:p>
    <w:p w:rsidR="00F37CDE" w:rsidRPr="00163825" w:rsidRDefault="00F37CDE" w:rsidP="00163825">
      <w:pPr>
        <w:tabs>
          <w:tab w:val="left" w:pos="720"/>
        </w:tabs>
        <w:kinsoku w:val="0"/>
        <w:overflowPunct w:val="0"/>
        <w:autoSpaceDE w:val="0"/>
        <w:autoSpaceDN w:val="0"/>
        <w:adjustRightInd w:val="0"/>
        <w:jc w:val="both"/>
        <w:rPr>
          <w:rFonts w:eastAsia="Calibri"/>
          <w:sz w:val="24"/>
          <w:szCs w:val="24"/>
        </w:rPr>
      </w:pPr>
    </w:p>
    <w:p w:rsidR="00F37CDE" w:rsidRDefault="00F37CDE" w:rsidP="00163825">
      <w:pPr>
        <w:pStyle w:val="BodyText"/>
        <w:rPr>
          <w:b/>
          <w:szCs w:val="24"/>
        </w:rPr>
      </w:pPr>
    </w:p>
    <w:p w:rsidR="00F34931" w:rsidRPr="00163825" w:rsidRDefault="00F34931" w:rsidP="00163825">
      <w:pPr>
        <w:pStyle w:val="BodyText"/>
        <w:rPr>
          <w:b/>
          <w:szCs w:val="24"/>
        </w:rPr>
      </w:pPr>
    </w:p>
    <w:p w:rsidR="00F37CDE" w:rsidRDefault="00F37CDE" w:rsidP="00163825">
      <w:pPr>
        <w:pStyle w:val="BodyText"/>
        <w:rPr>
          <w:szCs w:val="24"/>
        </w:rPr>
      </w:pPr>
      <w:r>
        <w:rPr>
          <w:b/>
          <w:szCs w:val="24"/>
        </w:rPr>
        <w:lastRenderedPageBreak/>
        <w:t xml:space="preserve">20215017 HAM (Pre. L.U. No. </w:t>
      </w:r>
      <w:r w:rsidR="000D7970">
        <w:rPr>
          <w:b/>
          <w:szCs w:val="24"/>
        </w:rPr>
        <w:t>744)</w:t>
      </w:r>
    </w:p>
    <w:p w:rsidR="00F34931" w:rsidRDefault="00F34931" w:rsidP="00163825">
      <w:pPr>
        <w:pStyle w:val="BodyText"/>
        <w:rPr>
          <w:szCs w:val="24"/>
        </w:rPr>
      </w:pPr>
    </w:p>
    <w:p w:rsidR="00F34931" w:rsidRPr="00163825" w:rsidRDefault="00F34931" w:rsidP="00F34931">
      <w:pPr>
        <w:tabs>
          <w:tab w:val="left" w:pos="720"/>
        </w:tabs>
        <w:jc w:val="both"/>
        <w:rPr>
          <w:sz w:val="24"/>
          <w:szCs w:val="24"/>
        </w:rPr>
      </w:pPr>
      <w:r>
        <w:rPr>
          <w:sz w:val="24"/>
          <w:szCs w:val="24"/>
        </w:rPr>
        <w:tab/>
      </w:r>
      <w:r w:rsidRPr="00163825">
        <w:rPr>
          <w:sz w:val="24"/>
          <w:szCs w:val="24"/>
        </w:rPr>
        <w:t>Application submitted by the New York City Department of Housing Preservation and Development pursuant to Article XI of the Private Housing Finance Law for approval of an exemption from real property taxes for property located at 2735 Frederick Douglass Boulevard (Block 2045, Lot 13), 2752 Frederick Douglass Boulevard (Block 2032, Lot 2), 131 West 133rd Street (Block 1918, Lot 16), and 130 West 134th Street (Block 1918, Lot 53).</w:t>
      </w:r>
    </w:p>
    <w:p w:rsidR="00F34931" w:rsidRPr="00163825" w:rsidRDefault="00F34931" w:rsidP="00163825">
      <w:pPr>
        <w:pStyle w:val="BodyText"/>
        <w:rPr>
          <w:szCs w:val="24"/>
        </w:rPr>
      </w:pPr>
    </w:p>
    <w:p w:rsidR="003056E1" w:rsidRDefault="003056E1" w:rsidP="003056E1">
      <w:pPr>
        <w:jc w:val="both"/>
        <w:rPr>
          <w:rFonts w:ascii="Calibri" w:eastAsia="Calibri" w:hAnsi="Calibri"/>
          <w:sz w:val="24"/>
          <w:szCs w:val="24"/>
        </w:rPr>
      </w:pPr>
    </w:p>
    <w:p w:rsidR="00F34931" w:rsidRDefault="00F34931" w:rsidP="003056E1">
      <w:pPr>
        <w:jc w:val="both"/>
        <w:rPr>
          <w:rFonts w:ascii="Calibri" w:eastAsia="Calibri" w:hAnsi="Calibri"/>
          <w:sz w:val="24"/>
          <w:szCs w:val="24"/>
        </w:rPr>
      </w:pPr>
    </w:p>
    <w:p w:rsidR="00E4613D" w:rsidRDefault="00E4613D">
      <w:pPr>
        <w:pStyle w:val="Heading2"/>
        <w:jc w:val="both"/>
      </w:pPr>
      <w:r>
        <w:t>INTENT</w:t>
      </w:r>
    </w:p>
    <w:p w:rsidR="00E4613D" w:rsidRPr="00163825" w:rsidRDefault="00E4613D" w:rsidP="00163825">
      <w:pPr>
        <w:jc w:val="both"/>
        <w:rPr>
          <w:sz w:val="24"/>
          <w:szCs w:val="24"/>
        </w:rPr>
      </w:pPr>
    </w:p>
    <w:p w:rsidR="00F34931" w:rsidRPr="00163825" w:rsidRDefault="00F34931" w:rsidP="00163825">
      <w:pPr>
        <w:tabs>
          <w:tab w:val="left" w:pos="720"/>
        </w:tabs>
        <w:ind w:left="-29" w:right="-29"/>
        <w:jc w:val="both"/>
        <w:rPr>
          <w:color w:val="000000" w:themeColor="text1"/>
          <w:sz w:val="24"/>
          <w:szCs w:val="24"/>
        </w:rPr>
      </w:pPr>
      <w:r w:rsidRPr="00163825">
        <w:rPr>
          <w:rFonts w:eastAsia="Calibri"/>
          <w:sz w:val="24"/>
          <w:szCs w:val="24"/>
        </w:rPr>
        <w:tab/>
      </w:r>
      <w:r w:rsidR="00BD4DA0" w:rsidRPr="00163825">
        <w:rPr>
          <w:rFonts w:eastAsia="Calibri"/>
          <w:sz w:val="24"/>
          <w:szCs w:val="24"/>
        </w:rPr>
        <w:t xml:space="preserve">To approve the urban development action area designation, project approval, </w:t>
      </w:r>
      <w:r w:rsidR="00EC1CDC" w:rsidRPr="00163825">
        <w:rPr>
          <w:rFonts w:eastAsia="Calibri"/>
          <w:sz w:val="24"/>
          <w:szCs w:val="24"/>
        </w:rPr>
        <w:t xml:space="preserve">and </w:t>
      </w:r>
      <w:r w:rsidR="00BD4DA0" w:rsidRPr="00163825">
        <w:rPr>
          <w:rFonts w:eastAsia="Calibri"/>
          <w:sz w:val="24"/>
          <w:szCs w:val="24"/>
        </w:rPr>
        <w:t>disposition of city-owned property</w:t>
      </w:r>
      <w:r w:rsidR="003F7FB1" w:rsidRPr="00163825">
        <w:rPr>
          <w:rFonts w:eastAsia="Calibri"/>
          <w:sz w:val="24"/>
          <w:szCs w:val="24"/>
        </w:rPr>
        <w:t xml:space="preserve"> </w:t>
      </w:r>
      <w:r w:rsidR="0059423A" w:rsidRPr="00163825">
        <w:rPr>
          <w:rFonts w:eastAsia="Calibri"/>
          <w:sz w:val="24"/>
          <w:szCs w:val="24"/>
        </w:rPr>
        <w:t xml:space="preserve">pursuant to Article 16 of the General Municipal Law </w:t>
      </w:r>
      <w:r w:rsidR="003F7FB1" w:rsidRPr="00163825">
        <w:rPr>
          <w:rFonts w:eastAsia="Calibri"/>
          <w:sz w:val="24"/>
          <w:szCs w:val="24"/>
        </w:rPr>
        <w:t>and</w:t>
      </w:r>
      <w:r w:rsidR="00C63D8A" w:rsidRPr="00163825">
        <w:rPr>
          <w:rFonts w:eastAsia="Calibri"/>
          <w:sz w:val="24"/>
          <w:szCs w:val="24"/>
        </w:rPr>
        <w:t xml:space="preserve"> </w:t>
      </w:r>
      <w:r w:rsidR="00A75650" w:rsidRPr="00163825">
        <w:rPr>
          <w:sz w:val="24"/>
          <w:szCs w:val="24"/>
        </w:rPr>
        <w:t xml:space="preserve">approve a real property tax exemption pursuant to Section 577 of Article XI of </w:t>
      </w:r>
      <w:r w:rsidR="00C350EE" w:rsidRPr="00163825">
        <w:rPr>
          <w:sz w:val="24"/>
          <w:szCs w:val="24"/>
        </w:rPr>
        <w:t xml:space="preserve">the Private Housing Finance Law for property located at </w:t>
      </w:r>
      <w:r w:rsidRPr="00163825">
        <w:rPr>
          <w:sz w:val="24"/>
          <w:szCs w:val="24"/>
        </w:rPr>
        <w:t xml:space="preserve">2735 Frederick Douglass Boulevard (Block 2045, Lot 13), 2752 Frederick Douglass Boulevard (Block 2032, Lot 2), 131 West 133rd Street (Block 1918, Lot 16), and 130 West 134th Street (Block 1918, Lot 53) to </w:t>
      </w:r>
      <w:r w:rsidRPr="00163825">
        <w:rPr>
          <w:color w:val="000000" w:themeColor="text1"/>
          <w:sz w:val="24"/>
          <w:szCs w:val="24"/>
        </w:rPr>
        <w:t xml:space="preserve">facilitate the development of two six-story buildings, one seven-story building and one 10-story building for a total of 48, affordable homeownership units in Central Harlem, Manhattan Community District 10. </w:t>
      </w:r>
    </w:p>
    <w:p w:rsidR="00E865F5" w:rsidRDefault="00E865F5">
      <w:pPr>
        <w:jc w:val="both"/>
        <w:rPr>
          <w:sz w:val="24"/>
        </w:rPr>
      </w:pPr>
    </w:p>
    <w:p w:rsidR="009F7182" w:rsidRDefault="009F7182">
      <w:pPr>
        <w:jc w:val="both"/>
        <w:rPr>
          <w:sz w:val="24"/>
        </w:rPr>
      </w:pPr>
    </w:p>
    <w:p w:rsidR="008256D0" w:rsidRDefault="008256D0">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F34931">
        <w:rPr>
          <w:sz w:val="24"/>
        </w:rPr>
        <w:t>March 8</w:t>
      </w:r>
      <w:r w:rsidR="00892EDA">
        <w:rPr>
          <w:sz w:val="24"/>
        </w:rPr>
        <w:t>, 202</w:t>
      </w:r>
      <w:r w:rsidR="00F34931">
        <w:rPr>
          <w:sz w:val="24"/>
        </w:rPr>
        <w:t>1</w:t>
      </w:r>
    </w:p>
    <w:p w:rsidR="00063D7F" w:rsidRDefault="00E4613D">
      <w:pPr>
        <w:jc w:val="both"/>
        <w:rPr>
          <w:sz w:val="24"/>
        </w:rPr>
      </w:pPr>
      <w:r>
        <w:rPr>
          <w:sz w:val="24"/>
        </w:rPr>
        <w:tab/>
      </w:r>
    </w:p>
    <w:p w:rsidR="00E4613D" w:rsidRDefault="00E4613D" w:rsidP="00A75650">
      <w:pPr>
        <w:ind w:firstLine="720"/>
        <w:jc w:val="both"/>
        <w:rPr>
          <w:sz w:val="24"/>
        </w:rPr>
      </w:pPr>
      <w:r>
        <w:rPr>
          <w:b/>
          <w:sz w:val="24"/>
        </w:rPr>
        <w:t>Witnesses in Favor:</w:t>
      </w:r>
      <w:r>
        <w:rPr>
          <w:sz w:val="24"/>
        </w:rPr>
        <w:t xml:space="preserve">  </w:t>
      </w:r>
      <w:r w:rsidR="00F34931">
        <w:rPr>
          <w:sz w:val="24"/>
        </w:rPr>
        <w:t>Nine</w:t>
      </w:r>
      <w:r w:rsidR="009F0926">
        <w:rPr>
          <w:sz w:val="24"/>
        </w:rPr>
        <w:tab/>
      </w:r>
      <w:r w:rsidR="00A75650">
        <w:rPr>
          <w:sz w:val="24"/>
        </w:rPr>
        <w:tab/>
      </w:r>
      <w:r w:rsidR="00A75650">
        <w:rPr>
          <w:sz w:val="24"/>
        </w:rPr>
        <w:tab/>
      </w:r>
      <w:r>
        <w:rPr>
          <w:sz w:val="24"/>
        </w:rPr>
        <w:tab/>
      </w:r>
      <w:r>
        <w:rPr>
          <w:b/>
          <w:sz w:val="24"/>
        </w:rPr>
        <w:t>Witnesses Against:</w:t>
      </w:r>
      <w:r w:rsidR="00C55A54">
        <w:rPr>
          <w:sz w:val="24"/>
        </w:rPr>
        <w:t xml:space="preserve">  </w:t>
      </w:r>
      <w:r w:rsidR="00F34931">
        <w:rPr>
          <w:sz w:val="24"/>
        </w:rPr>
        <w:t>None</w:t>
      </w:r>
    </w:p>
    <w:p w:rsidR="007C7914" w:rsidRDefault="007C7914" w:rsidP="007C7914"/>
    <w:p w:rsidR="00393553" w:rsidRDefault="00393553">
      <w:pPr>
        <w:pStyle w:val="Heading2"/>
        <w:jc w:val="both"/>
        <w:rPr>
          <w:b w:val="0"/>
          <w:u w:val="none"/>
        </w:rPr>
      </w:pPr>
    </w:p>
    <w:p w:rsidR="00892EDA" w:rsidRDefault="00892EDA" w:rsidP="00892EDA"/>
    <w:p w:rsidR="00892EDA" w:rsidRDefault="00892EDA" w:rsidP="00892EDA"/>
    <w:p w:rsidR="00892EDA" w:rsidRPr="00892EDA" w:rsidRDefault="00892EDA" w:rsidP="00892EDA"/>
    <w:p w:rsidR="00E4613D" w:rsidRDefault="00E4613D">
      <w:pPr>
        <w:pStyle w:val="Heading2"/>
        <w:jc w:val="both"/>
      </w:pPr>
      <w:r>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F34931">
        <w:rPr>
          <w:sz w:val="24"/>
        </w:rPr>
        <w:t>March 22</w:t>
      </w:r>
      <w:r w:rsidR="00892EDA">
        <w:rPr>
          <w:sz w:val="24"/>
        </w:rPr>
        <w:t>, 202</w:t>
      </w:r>
      <w:r w:rsidR="00F34931">
        <w:rPr>
          <w:sz w:val="24"/>
        </w:rPr>
        <w:t>1</w:t>
      </w:r>
    </w:p>
    <w:p w:rsidR="00E4613D" w:rsidRDefault="00E4613D">
      <w:pPr>
        <w:jc w:val="both"/>
        <w:rPr>
          <w:sz w:val="24"/>
        </w:rPr>
      </w:pPr>
    </w:p>
    <w:p w:rsidR="00F935BD" w:rsidRPr="00F935BD" w:rsidRDefault="00E4613D" w:rsidP="00F935BD">
      <w:pPr>
        <w:ind w:right="-180"/>
        <w:jc w:val="both"/>
        <w:rPr>
          <w:sz w:val="24"/>
          <w:szCs w:val="24"/>
        </w:rPr>
      </w:pPr>
      <w:r>
        <w:tab/>
      </w:r>
      <w:r w:rsidR="00F935BD" w:rsidRPr="00F935BD">
        <w:rPr>
          <w:sz w:val="24"/>
          <w:szCs w:val="24"/>
        </w:rPr>
        <w:t>The Subcommittee recommends that the Land Use Committee approve the decision of the City Planning Commission and the HPD request.</w:t>
      </w:r>
    </w:p>
    <w:p w:rsidR="00E4613D" w:rsidRDefault="00E4613D" w:rsidP="00F935BD">
      <w:pPr>
        <w:pStyle w:val="BodyText"/>
        <w:widowControl/>
        <w:tabs>
          <w:tab w:val="clear" w:pos="720"/>
          <w:tab w:val="clear" w:pos="7560"/>
        </w:tabs>
        <w:ind w:right="-180"/>
      </w:pPr>
    </w:p>
    <w:p w:rsidR="00E4613D" w:rsidRDefault="00E4613D">
      <w:pPr>
        <w:jc w:val="both"/>
        <w:rPr>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F34931" w:rsidRDefault="00214F16">
      <w:pPr>
        <w:jc w:val="both"/>
        <w:rPr>
          <w:sz w:val="24"/>
        </w:rPr>
      </w:pPr>
      <w:r>
        <w:rPr>
          <w:sz w:val="24"/>
        </w:rPr>
        <w:t>Riley</w:t>
      </w:r>
      <w:r>
        <w:rPr>
          <w:sz w:val="24"/>
        </w:rPr>
        <w:tab/>
      </w:r>
      <w:r>
        <w:rPr>
          <w:sz w:val="24"/>
        </w:rPr>
        <w:tab/>
      </w:r>
      <w:r>
        <w:rPr>
          <w:sz w:val="24"/>
        </w:rPr>
        <w:tab/>
      </w:r>
      <w:r>
        <w:rPr>
          <w:sz w:val="24"/>
        </w:rPr>
        <w:tab/>
        <w:t>None</w:t>
      </w:r>
      <w:r>
        <w:rPr>
          <w:sz w:val="24"/>
        </w:rPr>
        <w:tab/>
      </w:r>
      <w:r>
        <w:rPr>
          <w:sz w:val="24"/>
        </w:rPr>
        <w:tab/>
      </w:r>
      <w:r>
        <w:rPr>
          <w:sz w:val="24"/>
        </w:rPr>
        <w:tab/>
      </w:r>
      <w:r>
        <w:rPr>
          <w:sz w:val="24"/>
        </w:rPr>
        <w:tab/>
        <w:t>Barron</w:t>
      </w:r>
    </w:p>
    <w:p w:rsidR="00214F16" w:rsidRDefault="00214F16">
      <w:pPr>
        <w:jc w:val="both"/>
        <w:rPr>
          <w:sz w:val="24"/>
        </w:rPr>
      </w:pPr>
      <w:r>
        <w:rPr>
          <w:sz w:val="24"/>
        </w:rPr>
        <w:t>Koo</w:t>
      </w:r>
    </w:p>
    <w:p w:rsidR="00214F16" w:rsidRDefault="00214F16">
      <w:pPr>
        <w:jc w:val="both"/>
        <w:rPr>
          <w:sz w:val="24"/>
        </w:rPr>
      </w:pPr>
      <w:r>
        <w:rPr>
          <w:sz w:val="24"/>
        </w:rPr>
        <w:t>Miller</w:t>
      </w:r>
    </w:p>
    <w:p w:rsidR="00214F16" w:rsidRDefault="00214F16">
      <w:pPr>
        <w:jc w:val="both"/>
        <w:rPr>
          <w:sz w:val="24"/>
        </w:rPr>
      </w:pPr>
      <w:r>
        <w:rPr>
          <w:sz w:val="24"/>
        </w:rPr>
        <w:t>Treyger</w:t>
      </w:r>
    </w:p>
    <w:p w:rsidR="00214F16" w:rsidRDefault="00214F16">
      <w:pPr>
        <w:jc w:val="both"/>
        <w:rPr>
          <w:sz w:val="24"/>
        </w:rPr>
      </w:pPr>
    </w:p>
    <w:p w:rsidR="00214F16" w:rsidRDefault="00214F16">
      <w:pPr>
        <w:jc w:val="both"/>
        <w:rPr>
          <w:sz w:val="24"/>
        </w:rPr>
      </w:pPr>
    </w:p>
    <w:p w:rsidR="00892EDA" w:rsidRDefault="00892EDA">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sidR="009F0926">
        <w:rPr>
          <w:sz w:val="24"/>
        </w:rPr>
        <w:t xml:space="preserve"> </w:t>
      </w:r>
      <w:r w:rsidR="00F34931">
        <w:rPr>
          <w:sz w:val="24"/>
        </w:rPr>
        <w:t>March 23</w:t>
      </w:r>
      <w:r w:rsidR="00892EDA">
        <w:rPr>
          <w:sz w:val="24"/>
        </w:rPr>
        <w:t>, 202</w:t>
      </w:r>
      <w:r w:rsidR="00F34931">
        <w:rPr>
          <w:sz w:val="24"/>
        </w:rPr>
        <w:t>1</w:t>
      </w:r>
    </w:p>
    <w:p w:rsidR="00E4613D" w:rsidRDefault="00E4613D">
      <w:pPr>
        <w:jc w:val="both"/>
        <w:rPr>
          <w:sz w:val="24"/>
        </w:rPr>
      </w:pPr>
    </w:p>
    <w:p w:rsidR="007E051D" w:rsidRDefault="00E4613D">
      <w:pPr>
        <w:jc w:val="both"/>
        <w:rPr>
          <w:sz w:val="24"/>
        </w:rPr>
      </w:pPr>
      <w:r>
        <w:rPr>
          <w:sz w:val="24"/>
        </w:rPr>
        <w:tab/>
        <w:t xml:space="preserve">The Committee recommends that the Council </w:t>
      </w:r>
      <w:r w:rsidR="009F0926">
        <w:rPr>
          <w:sz w:val="24"/>
        </w:rPr>
        <w:t>approve the attached resolutions.</w:t>
      </w:r>
    </w:p>
    <w:p w:rsidR="00E4613D" w:rsidRDefault="006B79E3">
      <w:pPr>
        <w:jc w:val="both"/>
        <w:rPr>
          <w:sz w:val="24"/>
        </w:rPr>
      </w:pPr>
      <w:r>
        <w:rPr>
          <w:sz w:val="24"/>
        </w:rPr>
        <w:t xml:space="preserve"> </w:t>
      </w:r>
    </w:p>
    <w:p w:rsidR="00123DB9" w:rsidRPr="009205B5" w:rsidRDefault="00123DB9">
      <w:pPr>
        <w:jc w:val="both"/>
        <w:rPr>
          <w:b/>
          <w:i/>
          <w:sz w:val="24"/>
          <w:u w:val="single"/>
        </w:rPr>
      </w:pPr>
      <w:r w:rsidRPr="009205B5">
        <w:rPr>
          <w:b/>
          <w:i/>
          <w:sz w:val="24"/>
          <w:u w:val="single"/>
        </w:rPr>
        <w:t>(Pre. L.U. No. 743)</w:t>
      </w:r>
    </w:p>
    <w:p w:rsidR="00E4613D" w:rsidRDefault="00E4613D">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123DB9" w:rsidRPr="0015277F" w:rsidRDefault="00123DB9" w:rsidP="00123DB9">
      <w:pPr>
        <w:rPr>
          <w:rFonts w:eastAsiaTheme="minorHAnsi"/>
          <w:sz w:val="24"/>
          <w:szCs w:val="24"/>
        </w:rPr>
      </w:pPr>
      <w:r w:rsidRPr="0015277F">
        <w:rPr>
          <w:rFonts w:eastAsiaTheme="minorHAnsi"/>
          <w:sz w:val="24"/>
          <w:szCs w:val="24"/>
        </w:rPr>
        <w:t>Salamanca</w:t>
      </w:r>
      <w:r>
        <w:rPr>
          <w:rFonts w:eastAsiaTheme="minorHAnsi"/>
          <w:sz w:val="24"/>
          <w:szCs w:val="24"/>
        </w:rPr>
        <w:tab/>
      </w:r>
      <w:r>
        <w:rPr>
          <w:rFonts w:eastAsiaTheme="minorHAnsi"/>
          <w:sz w:val="24"/>
          <w:szCs w:val="24"/>
        </w:rPr>
        <w:tab/>
      </w:r>
      <w:r>
        <w:rPr>
          <w:rFonts w:eastAsiaTheme="minorHAnsi"/>
          <w:sz w:val="24"/>
          <w:szCs w:val="24"/>
        </w:rPr>
        <w:tab/>
        <w:t>None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15277F">
        <w:rPr>
          <w:rFonts w:eastAsiaTheme="minorHAnsi"/>
          <w:sz w:val="24"/>
          <w:szCs w:val="24"/>
        </w:rPr>
        <w:t>Barron</w:t>
      </w:r>
    </w:p>
    <w:p w:rsidR="00123DB9" w:rsidRPr="0015277F" w:rsidRDefault="00123DB9" w:rsidP="00123DB9">
      <w:pPr>
        <w:rPr>
          <w:rFonts w:eastAsiaTheme="minorHAnsi"/>
          <w:sz w:val="24"/>
          <w:szCs w:val="24"/>
        </w:rPr>
      </w:pPr>
      <w:r w:rsidRPr="0015277F">
        <w:rPr>
          <w:rFonts w:eastAsiaTheme="minorHAnsi"/>
          <w:sz w:val="24"/>
          <w:szCs w:val="24"/>
        </w:rPr>
        <w:t>Gibson</w:t>
      </w:r>
    </w:p>
    <w:p w:rsidR="00123DB9" w:rsidRPr="0015277F" w:rsidRDefault="00123DB9" w:rsidP="00123DB9">
      <w:pPr>
        <w:rPr>
          <w:rFonts w:eastAsiaTheme="minorHAnsi"/>
          <w:sz w:val="24"/>
          <w:szCs w:val="24"/>
        </w:rPr>
      </w:pPr>
      <w:r w:rsidRPr="0015277F">
        <w:rPr>
          <w:rFonts w:eastAsiaTheme="minorHAnsi"/>
          <w:sz w:val="24"/>
          <w:szCs w:val="24"/>
        </w:rPr>
        <w:t>Deutsch</w:t>
      </w:r>
    </w:p>
    <w:p w:rsidR="00123DB9" w:rsidRPr="0015277F" w:rsidRDefault="00123DB9" w:rsidP="00123DB9">
      <w:pPr>
        <w:rPr>
          <w:rFonts w:eastAsiaTheme="minorHAnsi"/>
          <w:sz w:val="24"/>
          <w:szCs w:val="24"/>
        </w:rPr>
      </w:pPr>
      <w:r w:rsidRPr="0015277F">
        <w:rPr>
          <w:rFonts w:eastAsiaTheme="minorHAnsi"/>
          <w:sz w:val="24"/>
          <w:szCs w:val="24"/>
        </w:rPr>
        <w:t>Koo</w:t>
      </w:r>
    </w:p>
    <w:p w:rsidR="00123DB9" w:rsidRPr="0015277F" w:rsidRDefault="00123DB9" w:rsidP="00123DB9">
      <w:pPr>
        <w:rPr>
          <w:rFonts w:eastAsiaTheme="minorHAnsi"/>
          <w:sz w:val="24"/>
          <w:szCs w:val="24"/>
        </w:rPr>
      </w:pPr>
      <w:r w:rsidRPr="0015277F">
        <w:rPr>
          <w:rFonts w:eastAsiaTheme="minorHAnsi"/>
          <w:sz w:val="24"/>
          <w:szCs w:val="24"/>
        </w:rPr>
        <w:t>Levin</w:t>
      </w:r>
    </w:p>
    <w:p w:rsidR="00123DB9" w:rsidRPr="0015277F" w:rsidRDefault="00123DB9" w:rsidP="00123DB9">
      <w:pPr>
        <w:rPr>
          <w:rFonts w:eastAsiaTheme="minorHAnsi"/>
          <w:sz w:val="24"/>
          <w:szCs w:val="24"/>
        </w:rPr>
      </w:pPr>
      <w:r w:rsidRPr="0015277F">
        <w:rPr>
          <w:rFonts w:eastAsiaTheme="minorHAnsi"/>
          <w:sz w:val="24"/>
          <w:szCs w:val="24"/>
        </w:rPr>
        <w:t>Miller</w:t>
      </w:r>
    </w:p>
    <w:p w:rsidR="00123DB9" w:rsidRPr="0015277F" w:rsidRDefault="00123DB9" w:rsidP="00123DB9">
      <w:pPr>
        <w:rPr>
          <w:rFonts w:eastAsiaTheme="minorHAnsi"/>
          <w:sz w:val="24"/>
          <w:szCs w:val="24"/>
        </w:rPr>
      </w:pPr>
      <w:r w:rsidRPr="0015277F">
        <w:rPr>
          <w:rFonts w:eastAsiaTheme="minorHAnsi"/>
          <w:sz w:val="24"/>
          <w:szCs w:val="24"/>
        </w:rPr>
        <w:t>Reynoso</w:t>
      </w:r>
    </w:p>
    <w:p w:rsidR="00123DB9" w:rsidRPr="0015277F" w:rsidRDefault="00123DB9" w:rsidP="00123DB9">
      <w:pPr>
        <w:rPr>
          <w:rFonts w:eastAsiaTheme="minorHAnsi"/>
          <w:sz w:val="24"/>
          <w:szCs w:val="24"/>
        </w:rPr>
      </w:pPr>
      <w:r w:rsidRPr="0015277F">
        <w:rPr>
          <w:rFonts w:eastAsiaTheme="minorHAnsi"/>
          <w:sz w:val="24"/>
          <w:szCs w:val="24"/>
        </w:rPr>
        <w:t>Grodenchik</w:t>
      </w:r>
    </w:p>
    <w:p w:rsidR="00123DB9" w:rsidRPr="0015277F" w:rsidRDefault="00123DB9" w:rsidP="00123DB9">
      <w:pPr>
        <w:rPr>
          <w:rFonts w:eastAsiaTheme="minorHAnsi"/>
          <w:sz w:val="24"/>
          <w:szCs w:val="24"/>
        </w:rPr>
      </w:pPr>
      <w:r w:rsidRPr="0015277F">
        <w:rPr>
          <w:rFonts w:eastAsiaTheme="minorHAnsi"/>
          <w:sz w:val="24"/>
          <w:szCs w:val="24"/>
        </w:rPr>
        <w:t>Adams</w:t>
      </w:r>
    </w:p>
    <w:p w:rsidR="00123DB9" w:rsidRPr="0015277F" w:rsidRDefault="00123DB9" w:rsidP="00123DB9">
      <w:pPr>
        <w:rPr>
          <w:rFonts w:eastAsiaTheme="minorHAnsi"/>
          <w:sz w:val="24"/>
          <w:szCs w:val="24"/>
        </w:rPr>
      </w:pPr>
      <w:r w:rsidRPr="0015277F">
        <w:rPr>
          <w:rFonts w:eastAsiaTheme="minorHAnsi"/>
          <w:sz w:val="24"/>
          <w:szCs w:val="24"/>
        </w:rPr>
        <w:t>Ayala</w:t>
      </w:r>
    </w:p>
    <w:p w:rsidR="00123DB9" w:rsidRPr="0015277F" w:rsidRDefault="00123DB9" w:rsidP="00123DB9">
      <w:pPr>
        <w:rPr>
          <w:rFonts w:eastAsiaTheme="minorHAnsi"/>
          <w:sz w:val="24"/>
          <w:szCs w:val="24"/>
        </w:rPr>
      </w:pPr>
      <w:r w:rsidRPr="0015277F">
        <w:rPr>
          <w:rFonts w:eastAsiaTheme="minorHAnsi"/>
          <w:sz w:val="24"/>
          <w:szCs w:val="24"/>
        </w:rPr>
        <w:t>Diaz Sr.</w:t>
      </w:r>
    </w:p>
    <w:p w:rsidR="00123DB9" w:rsidRPr="0015277F" w:rsidRDefault="00123DB9" w:rsidP="00123DB9">
      <w:pPr>
        <w:rPr>
          <w:rFonts w:eastAsiaTheme="minorHAnsi"/>
          <w:sz w:val="24"/>
          <w:szCs w:val="24"/>
        </w:rPr>
      </w:pPr>
      <w:r w:rsidRPr="0015277F">
        <w:rPr>
          <w:rFonts w:eastAsiaTheme="minorHAnsi"/>
          <w:sz w:val="24"/>
          <w:szCs w:val="24"/>
        </w:rPr>
        <w:t>Moya</w:t>
      </w:r>
    </w:p>
    <w:p w:rsidR="00123DB9" w:rsidRPr="0015277F" w:rsidRDefault="00123DB9" w:rsidP="00123DB9">
      <w:pPr>
        <w:rPr>
          <w:rFonts w:eastAsiaTheme="minorHAnsi"/>
          <w:sz w:val="24"/>
          <w:szCs w:val="24"/>
        </w:rPr>
      </w:pPr>
      <w:r w:rsidRPr="0015277F">
        <w:rPr>
          <w:rFonts w:eastAsiaTheme="minorHAnsi"/>
          <w:sz w:val="24"/>
          <w:szCs w:val="24"/>
        </w:rPr>
        <w:t>Rivera</w:t>
      </w:r>
    </w:p>
    <w:p w:rsidR="00123DB9" w:rsidRPr="0015277F" w:rsidRDefault="00123DB9" w:rsidP="00123DB9">
      <w:pPr>
        <w:rPr>
          <w:rFonts w:eastAsiaTheme="minorHAnsi"/>
          <w:sz w:val="24"/>
          <w:szCs w:val="24"/>
        </w:rPr>
      </w:pPr>
      <w:r w:rsidRPr="0015277F">
        <w:rPr>
          <w:rFonts w:eastAsiaTheme="minorHAnsi"/>
          <w:sz w:val="24"/>
          <w:szCs w:val="24"/>
        </w:rPr>
        <w:t>Riley</w:t>
      </w:r>
    </w:p>
    <w:p w:rsidR="00123DB9" w:rsidRPr="0015277F" w:rsidRDefault="00123DB9" w:rsidP="00123DB9">
      <w:pPr>
        <w:rPr>
          <w:rFonts w:eastAsiaTheme="minorHAnsi"/>
          <w:sz w:val="24"/>
          <w:szCs w:val="24"/>
        </w:rPr>
      </w:pPr>
      <w:r w:rsidRPr="0015277F">
        <w:rPr>
          <w:rFonts w:eastAsiaTheme="minorHAnsi"/>
          <w:sz w:val="24"/>
          <w:szCs w:val="24"/>
        </w:rPr>
        <w:t>Borelli</w:t>
      </w:r>
    </w:p>
    <w:p w:rsidR="00123DB9" w:rsidRPr="00B00F84" w:rsidRDefault="00123DB9" w:rsidP="00123DB9">
      <w:pPr>
        <w:jc w:val="both"/>
        <w:rPr>
          <w:sz w:val="24"/>
          <w:szCs w:val="24"/>
        </w:rPr>
      </w:pPr>
    </w:p>
    <w:p w:rsidR="007B1155" w:rsidRDefault="007B1155">
      <w:pPr>
        <w:jc w:val="both"/>
        <w:rPr>
          <w:sz w:val="24"/>
        </w:rPr>
      </w:pPr>
    </w:p>
    <w:p w:rsidR="00123DB9" w:rsidRDefault="00123DB9" w:rsidP="00123DB9">
      <w:pPr>
        <w:jc w:val="both"/>
        <w:rPr>
          <w:b/>
          <w:i/>
          <w:sz w:val="24"/>
          <w:u w:val="single"/>
        </w:rPr>
      </w:pPr>
      <w:r w:rsidRPr="00E41018">
        <w:rPr>
          <w:b/>
          <w:i/>
          <w:sz w:val="24"/>
          <w:u w:val="single"/>
        </w:rPr>
        <w:t>(Pre. L.U. No. 74</w:t>
      </w:r>
      <w:r>
        <w:rPr>
          <w:b/>
          <w:i/>
          <w:sz w:val="24"/>
          <w:u w:val="single"/>
        </w:rPr>
        <w:t>4</w:t>
      </w:r>
      <w:r w:rsidRPr="00E41018">
        <w:rPr>
          <w:b/>
          <w:i/>
          <w:sz w:val="24"/>
          <w:u w:val="single"/>
        </w:rPr>
        <w:t>)</w:t>
      </w:r>
    </w:p>
    <w:p w:rsidR="00123DB9" w:rsidRDefault="00123DB9" w:rsidP="00123DB9">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123DB9" w:rsidRPr="0015277F" w:rsidRDefault="00123DB9" w:rsidP="00123DB9">
      <w:pPr>
        <w:rPr>
          <w:rFonts w:eastAsiaTheme="minorHAnsi"/>
          <w:sz w:val="24"/>
          <w:szCs w:val="24"/>
        </w:rPr>
      </w:pPr>
      <w:r w:rsidRPr="0015277F">
        <w:rPr>
          <w:rFonts w:eastAsiaTheme="minorHAnsi"/>
          <w:sz w:val="24"/>
          <w:szCs w:val="24"/>
        </w:rPr>
        <w:t>Salamanca</w:t>
      </w:r>
      <w:r>
        <w:rPr>
          <w:rFonts w:eastAsiaTheme="minorHAnsi"/>
          <w:sz w:val="24"/>
          <w:szCs w:val="24"/>
        </w:rPr>
        <w:tab/>
      </w:r>
      <w:r>
        <w:rPr>
          <w:rFonts w:eastAsiaTheme="minorHAnsi"/>
          <w:sz w:val="24"/>
          <w:szCs w:val="24"/>
        </w:rPr>
        <w:tab/>
      </w:r>
      <w:r>
        <w:rPr>
          <w:rFonts w:eastAsiaTheme="minorHAnsi"/>
          <w:sz w:val="24"/>
          <w:szCs w:val="24"/>
        </w:rPr>
        <w:tab/>
        <w:t>None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None</w:t>
      </w:r>
    </w:p>
    <w:p w:rsidR="00123DB9" w:rsidRPr="0015277F" w:rsidRDefault="00123DB9" w:rsidP="00123DB9">
      <w:pPr>
        <w:rPr>
          <w:rFonts w:eastAsiaTheme="minorHAnsi"/>
          <w:sz w:val="24"/>
          <w:szCs w:val="24"/>
        </w:rPr>
      </w:pPr>
      <w:r w:rsidRPr="0015277F">
        <w:rPr>
          <w:rFonts w:eastAsiaTheme="minorHAnsi"/>
          <w:sz w:val="24"/>
          <w:szCs w:val="24"/>
        </w:rPr>
        <w:t>Gibson</w:t>
      </w:r>
    </w:p>
    <w:p w:rsidR="00123DB9" w:rsidRPr="0015277F" w:rsidRDefault="00123DB9" w:rsidP="00123DB9">
      <w:pPr>
        <w:rPr>
          <w:rFonts w:eastAsiaTheme="minorHAnsi"/>
          <w:sz w:val="24"/>
          <w:szCs w:val="24"/>
        </w:rPr>
      </w:pPr>
      <w:r w:rsidRPr="0015277F">
        <w:rPr>
          <w:rFonts w:eastAsiaTheme="minorHAnsi"/>
          <w:sz w:val="24"/>
          <w:szCs w:val="24"/>
        </w:rPr>
        <w:t>Barron</w:t>
      </w:r>
    </w:p>
    <w:p w:rsidR="00123DB9" w:rsidRPr="0015277F" w:rsidRDefault="00123DB9" w:rsidP="00123DB9">
      <w:pPr>
        <w:rPr>
          <w:rFonts w:eastAsiaTheme="minorHAnsi"/>
          <w:sz w:val="24"/>
          <w:szCs w:val="24"/>
        </w:rPr>
      </w:pPr>
      <w:r w:rsidRPr="0015277F">
        <w:rPr>
          <w:rFonts w:eastAsiaTheme="minorHAnsi"/>
          <w:sz w:val="24"/>
          <w:szCs w:val="24"/>
        </w:rPr>
        <w:t>Deutsch</w:t>
      </w:r>
    </w:p>
    <w:p w:rsidR="00123DB9" w:rsidRPr="0015277F" w:rsidRDefault="00123DB9" w:rsidP="00123DB9">
      <w:pPr>
        <w:rPr>
          <w:rFonts w:eastAsiaTheme="minorHAnsi"/>
          <w:sz w:val="24"/>
          <w:szCs w:val="24"/>
        </w:rPr>
      </w:pPr>
      <w:r w:rsidRPr="0015277F">
        <w:rPr>
          <w:rFonts w:eastAsiaTheme="minorHAnsi"/>
          <w:sz w:val="24"/>
          <w:szCs w:val="24"/>
        </w:rPr>
        <w:t>Koo</w:t>
      </w:r>
    </w:p>
    <w:p w:rsidR="00123DB9" w:rsidRPr="0015277F" w:rsidRDefault="00123DB9" w:rsidP="00123DB9">
      <w:pPr>
        <w:rPr>
          <w:rFonts w:eastAsiaTheme="minorHAnsi"/>
          <w:sz w:val="24"/>
          <w:szCs w:val="24"/>
        </w:rPr>
      </w:pPr>
      <w:r w:rsidRPr="0015277F">
        <w:rPr>
          <w:rFonts w:eastAsiaTheme="minorHAnsi"/>
          <w:sz w:val="24"/>
          <w:szCs w:val="24"/>
        </w:rPr>
        <w:t>Levin</w:t>
      </w:r>
    </w:p>
    <w:p w:rsidR="00123DB9" w:rsidRPr="0015277F" w:rsidRDefault="00123DB9" w:rsidP="00123DB9">
      <w:pPr>
        <w:rPr>
          <w:rFonts w:eastAsiaTheme="minorHAnsi"/>
          <w:sz w:val="24"/>
          <w:szCs w:val="24"/>
        </w:rPr>
      </w:pPr>
      <w:r w:rsidRPr="0015277F">
        <w:rPr>
          <w:rFonts w:eastAsiaTheme="minorHAnsi"/>
          <w:sz w:val="24"/>
          <w:szCs w:val="24"/>
        </w:rPr>
        <w:t>Miller</w:t>
      </w:r>
    </w:p>
    <w:p w:rsidR="00123DB9" w:rsidRPr="0015277F" w:rsidRDefault="00123DB9" w:rsidP="00123DB9">
      <w:pPr>
        <w:rPr>
          <w:rFonts w:eastAsiaTheme="minorHAnsi"/>
          <w:sz w:val="24"/>
          <w:szCs w:val="24"/>
        </w:rPr>
      </w:pPr>
      <w:r w:rsidRPr="0015277F">
        <w:rPr>
          <w:rFonts w:eastAsiaTheme="minorHAnsi"/>
          <w:sz w:val="24"/>
          <w:szCs w:val="24"/>
        </w:rPr>
        <w:t>Reynoso</w:t>
      </w:r>
    </w:p>
    <w:p w:rsidR="00123DB9" w:rsidRPr="0015277F" w:rsidRDefault="00123DB9" w:rsidP="00123DB9">
      <w:pPr>
        <w:rPr>
          <w:rFonts w:eastAsiaTheme="minorHAnsi"/>
          <w:sz w:val="24"/>
          <w:szCs w:val="24"/>
        </w:rPr>
      </w:pPr>
      <w:r w:rsidRPr="0015277F">
        <w:rPr>
          <w:rFonts w:eastAsiaTheme="minorHAnsi"/>
          <w:sz w:val="24"/>
          <w:szCs w:val="24"/>
        </w:rPr>
        <w:t>Grodenchik</w:t>
      </w:r>
    </w:p>
    <w:p w:rsidR="00123DB9" w:rsidRPr="0015277F" w:rsidRDefault="00123DB9" w:rsidP="00123DB9">
      <w:pPr>
        <w:rPr>
          <w:rFonts w:eastAsiaTheme="minorHAnsi"/>
          <w:sz w:val="24"/>
          <w:szCs w:val="24"/>
        </w:rPr>
      </w:pPr>
      <w:r w:rsidRPr="0015277F">
        <w:rPr>
          <w:rFonts w:eastAsiaTheme="minorHAnsi"/>
          <w:sz w:val="24"/>
          <w:szCs w:val="24"/>
        </w:rPr>
        <w:t>Adams</w:t>
      </w:r>
    </w:p>
    <w:p w:rsidR="00123DB9" w:rsidRPr="0015277F" w:rsidRDefault="00123DB9" w:rsidP="00123DB9">
      <w:pPr>
        <w:rPr>
          <w:rFonts w:eastAsiaTheme="minorHAnsi"/>
          <w:sz w:val="24"/>
          <w:szCs w:val="24"/>
        </w:rPr>
      </w:pPr>
      <w:r w:rsidRPr="0015277F">
        <w:rPr>
          <w:rFonts w:eastAsiaTheme="minorHAnsi"/>
          <w:sz w:val="24"/>
          <w:szCs w:val="24"/>
        </w:rPr>
        <w:t>Ayala</w:t>
      </w:r>
    </w:p>
    <w:p w:rsidR="00123DB9" w:rsidRPr="0015277F" w:rsidRDefault="00123DB9" w:rsidP="00123DB9">
      <w:pPr>
        <w:rPr>
          <w:rFonts w:eastAsiaTheme="minorHAnsi"/>
          <w:sz w:val="24"/>
          <w:szCs w:val="24"/>
        </w:rPr>
      </w:pPr>
      <w:r w:rsidRPr="0015277F">
        <w:rPr>
          <w:rFonts w:eastAsiaTheme="minorHAnsi"/>
          <w:sz w:val="24"/>
          <w:szCs w:val="24"/>
        </w:rPr>
        <w:t>Diaz Sr.</w:t>
      </w:r>
    </w:p>
    <w:p w:rsidR="00123DB9" w:rsidRPr="0015277F" w:rsidRDefault="00123DB9" w:rsidP="00123DB9">
      <w:pPr>
        <w:rPr>
          <w:rFonts w:eastAsiaTheme="minorHAnsi"/>
          <w:sz w:val="24"/>
          <w:szCs w:val="24"/>
        </w:rPr>
      </w:pPr>
      <w:r w:rsidRPr="0015277F">
        <w:rPr>
          <w:rFonts w:eastAsiaTheme="minorHAnsi"/>
          <w:sz w:val="24"/>
          <w:szCs w:val="24"/>
        </w:rPr>
        <w:t>Moya</w:t>
      </w:r>
    </w:p>
    <w:p w:rsidR="00123DB9" w:rsidRPr="0015277F" w:rsidRDefault="00123DB9" w:rsidP="00123DB9">
      <w:pPr>
        <w:rPr>
          <w:rFonts w:eastAsiaTheme="minorHAnsi"/>
          <w:sz w:val="24"/>
          <w:szCs w:val="24"/>
        </w:rPr>
      </w:pPr>
      <w:r w:rsidRPr="0015277F">
        <w:rPr>
          <w:rFonts w:eastAsiaTheme="minorHAnsi"/>
          <w:sz w:val="24"/>
          <w:szCs w:val="24"/>
        </w:rPr>
        <w:t>Rivera</w:t>
      </w:r>
    </w:p>
    <w:p w:rsidR="00123DB9" w:rsidRPr="0015277F" w:rsidRDefault="00123DB9" w:rsidP="00123DB9">
      <w:pPr>
        <w:rPr>
          <w:rFonts w:eastAsiaTheme="minorHAnsi"/>
          <w:sz w:val="24"/>
          <w:szCs w:val="24"/>
        </w:rPr>
      </w:pPr>
      <w:r w:rsidRPr="0015277F">
        <w:rPr>
          <w:rFonts w:eastAsiaTheme="minorHAnsi"/>
          <w:sz w:val="24"/>
          <w:szCs w:val="24"/>
        </w:rPr>
        <w:t>Riley</w:t>
      </w:r>
    </w:p>
    <w:p w:rsidR="00123DB9" w:rsidRPr="0015277F" w:rsidRDefault="00123DB9" w:rsidP="00123DB9">
      <w:pPr>
        <w:rPr>
          <w:rFonts w:eastAsiaTheme="minorHAnsi"/>
          <w:sz w:val="24"/>
          <w:szCs w:val="24"/>
        </w:rPr>
      </w:pPr>
      <w:r w:rsidRPr="0015277F">
        <w:rPr>
          <w:rFonts w:eastAsiaTheme="minorHAnsi"/>
          <w:sz w:val="24"/>
          <w:szCs w:val="24"/>
        </w:rPr>
        <w:t>Borelli</w:t>
      </w:r>
    </w:p>
    <w:p w:rsidR="00123DB9" w:rsidRPr="00B00F84" w:rsidRDefault="00123DB9" w:rsidP="00123DB9">
      <w:pPr>
        <w:jc w:val="both"/>
        <w:rPr>
          <w:sz w:val="24"/>
          <w:szCs w:val="24"/>
        </w:rPr>
      </w:pPr>
    </w:p>
    <w:p w:rsidR="00123DB9" w:rsidRPr="009205B5" w:rsidRDefault="00123DB9" w:rsidP="00123DB9">
      <w:pPr>
        <w:jc w:val="both"/>
        <w:rPr>
          <w:b/>
          <w:sz w:val="24"/>
        </w:rPr>
      </w:pPr>
    </w:p>
    <w:p w:rsidR="00123DB9" w:rsidRPr="007B1155" w:rsidRDefault="00123DB9">
      <w:pPr>
        <w:jc w:val="both"/>
        <w:rPr>
          <w:sz w:val="24"/>
        </w:rPr>
      </w:pPr>
    </w:p>
    <w:sectPr w:rsidR="00123DB9" w:rsidRPr="007B1155"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E5" w:rsidRDefault="00710EE5">
      <w:r>
        <w:separator/>
      </w:r>
    </w:p>
  </w:endnote>
  <w:endnote w:type="continuationSeparator" w:id="0">
    <w:p w:rsidR="00710EE5" w:rsidRDefault="0071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E5" w:rsidRDefault="00710EE5">
      <w:r>
        <w:separator/>
      </w:r>
    </w:p>
  </w:footnote>
  <w:footnote w:type="continuationSeparator" w:id="0">
    <w:p w:rsidR="00710EE5" w:rsidRDefault="0071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414617" w:rsidRDefault="00414617">
    <w:pPr>
      <w:pStyle w:val="Header"/>
    </w:pPr>
  </w:p>
  <w:p w:rsidR="00414617" w:rsidRDefault="00414617">
    <w:pPr>
      <w:pStyle w:val="Heade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sidRPr="00A17B48">
      <w:rPr>
        <w:b/>
        <w:sz w:val="24"/>
        <w:szCs w:val="24"/>
      </w:rPr>
      <w:fldChar w:fldCharType="separate"/>
    </w:r>
    <w:r w:rsidR="007637F8">
      <w:rPr>
        <w:b/>
        <w:noProof/>
        <w:sz w:val="24"/>
        <w:szCs w:val="24"/>
      </w:rPr>
      <w:t>4</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sidRPr="00A17B48">
      <w:rPr>
        <w:b/>
        <w:sz w:val="24"/>
        <w:szCs w:val="24"/>
      </w:rPr>
      <w:fldChar w:fldCharType="separate"/>
    </w:r>
    <w:r w:rsidR="007637F8">
      <w:rPr>
        <w:b/>
        <w:noProof/>
        <w:sz w:val="24"/>
        <w:szCs w:val="24"/>
      </w:rPr>
      <w:t>4</w:t>
    </w:r>
    <w:r w:rsidRPr="00A17B48">
      <w:rPr>
        <w:b/>
        <w:sz w:val="24"/>
        <w:szCs w:val="24"/>
      </w:rPr>
      <w:fldChar w:fldCharType="end"/>
    </w:r>
  </w:p>
  <w:p w:rsidR="0084315E" w:rsidRDefault="00F935BD">
    <w:pPr>
      <w:pStyle w:val="Header"/>
      <w:rPr>
        <w:b/>
        <w:sz w:val="24"/>
        <w:szCs w:val="24"/>
      </w:rPr>
    </w:pPr>
    <w:r>
      <w:rPr>
        <w:b/>
        <w:sz w:val="24"/>
        <w:szCs w:val="24"/>
      </w:rPr>
      <w:t xml:space="preserve">C </w:t>
    </w:r>
    <w:r w:rsidR="0084315E">
      <w:rPr>
        <w:b/>
        <w:sz w:val="24"/>
        <w:szCs w:val="24"/>
      </w:rPr>
      <w:t>200</w:t>
    </w:r>
    <w:r w:rsidR="00F34931">
      <w:rPr>
        <w:b/>
        <w:sz w:val="24"/>
        <w:szCs w:val="24"/>
      </w:rPr>
      <w:t>276 HAM</w:t>
    </w:r>
    <w:r w:rsidR="0084315E">
      <w:rPr>
        <w:b/>
        <w:sz w:val="24"/>
        <w:szCs w:val="24"/>
      </w:rPr>
      <w:t xml:space="preserve"> and 202</w:t>
    </w:r>
    <w:r w:rsidR="00F34931">
      <w:rPr>
        <w:b/>
        <w:sz w:val="24"/>
        <w:szCs w:val="24"/>
      </w:rPr>
      <w:t>15017 HAM</w:t>
    </w:r>
  </w:p>
  <w:p w:rsidR="0062778A" w:rsidRDefault="00F34931">
    <w:pPr>
      <w:pStyle w:val="Header"/>
      <w:rPr>
        <w:b/>
        <w:sz w:val="24"/>
        <w:szCs w:val="24"/>
      </w:rPr>
    </w:pPr>
    <w:r>
      <w:rPr>
        <w:b/>
        <w:sz w:val="24"/>
        <w:szCs w:val="24"/>
      </w:rPr>
      <w:t xml:space="preserve">Pre. </w:t>
    </w:r>
    <w:r w:rsidR="0062778A">
      <w:rPr>
        <w:b/>
        <w:sz w:val="24"/>
        <w:szCs w:val="24"/>
      </w:rPr>
      <w:t>L.U. No</w:t>
    </w:r>
    <w:r w:rsidR="00F935BD">
      <w:rPr>
        <w:b/>
        <w:sz w:val="24"/>
        <w:szCs w:val="24"/>
      </w:rPr>
      <w:t>s</w:t>
    </w:r>
    <w:r w:rsidR="0062778A">
      <w:rPr>
        <w:b/>
        <w:sz w:val="24"/>
        <w:szCs w:val="24"/>
      </w:rPr>
      <w:t xml:space="preserve">. </w:t>
    </w:r>
    <w:r w:rsidR="000D7970">
      <w:rPr>
        <w:b/>
        <w:sz w:val="24"/>
        <w:szCs w:val="24"/>
      </w:rPr>
      <w:t xml:space="preserve">743 </w:t>
    </w:r>
    <w:r w:rsidR="00875B3D">
      <w:rPr>
        <w:b/>
        <w:sz w:val="24"/>
        <w:szCs w:val="24"/>
      </w:rPr>
      <w:t xml:space="preserve">and </w:t>
    </w:r>
    <w:r w:rsidR="000D7970">
      <w:rPr>
        <w:b/>
        <w:sz w:val="24"/>
        <w:szCs w:val="24"/>
      </w:rPr>
      <w:t xml:space="preserve">744 </w:t>
    </w:r>
    <w:r w:rsidR="0062778A">
      <w:rPr>
        <w:b/>
        <w:sz w:val="24"/>
        <w:szCs w:val="24"/>
      </w:rPr>
      <w:t>(Res. No</w:t>
    </w:r>
    <w:r w:rsidR="00F935BD">
      <w:rPr>
        <w:b/>
        <w:sz w:val="24"/>
        <w:szCs w:val="24"/>
      </w:rPr>
      <w:t>s</w:t>
    </w:r>
    <w:r w:rsidR="0062778A">
      <w:rPr>
        <w:b/>
        <w:sz w:val="24"/>
        <w:szCs w:val="24"/>
      </w:rPr>
      <w:t xml:space="preserve">. </w:t>
    </w:r>
    <w:r w:rsidR="00915B59">
      <w:rPr>
        <w:b/>
        <w:sz w:val="24"/>
      </w:rPr>
      <w:t>1589 and 1590</w:t>
    </w:r>
    <w:r w:rsidR="00387169">
      <w:rPr>
        <w:b/>
        <w:sz w:val="24"/>
      </w:rPr>
      <w:t>)</w:t>
    </w:r>
  </w:p>
  <w:p w:rsidR="00414617" w:rsidRPr="00D00A7A" w:rsidRDefault="00414617">
    <w:pPr>
      <w:pStyle w:val="Header"/>
      <w:rPr>
        <w:b/>
        <w:sz w:val="24"/>
        <w:szCs w:val="24"/>
      </w:rPr>
    </w:pPr>
  </w:p>
  <w:p w:rsidR="0062778A" w:rsidRPr="00D00A7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E2E1BBC"/>
    <w:lvl w:ilvl="0">
      <w:start w:val="1"/>
      <w:numFmt w:val="decimal"/>
      <w:lvlText w:val="%1)"/>
      <w:lvlJc w:val="left"/>
      <w:pPr>
        <w:ind w:left="460" w:hanging="360"/>
      </w:pPr>
      <w:rPr>
        <w:rFonts w:ascii="Times New Roman" w:hAnsi="Times New Roman" w:cs="Times New Roman"/>
        <w:b w:val="0"/>
        <w:bCs w:val="0"/>
        <w:spacing w:val="-20"/>
        <w:w w:val="99"/>
        <w:sz w:val="24"/>
        <w:szCs w:val="24"/>
      </w:rPr>
    </w:lvl>
    <w:lvl w:ilvl="1">
      <w:start w:val="1"/>
      <w:numFmt w:val="lowerLetter"/>
      <w:lvlText w:val="%2."/>
      <w:lvlJc w:val="left"/>
      <w:pPr>
        <w:ind w:left="1180" w:hanging="360"/>
      </w:pPr>
      <w:rPr>
        <w:rFonts w:hint="default"/>
        <w:b w:val="0"/>
        <w:bCs w:val="0"/>
        <w:spacing w:val="-5"/>
        <w:w w:val="99"/>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1"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4"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abstractNum w:abstractNumId="5" w15:restartNumberingAfterBreak="0">
    <w:nsid w:val="69535320"/>
    <w:multiLevelType w:val="hybridMultilevel"/>
    <w:tmpl w:val="6FC0970C"/>
    <w:lvl w:ilvl="0" w:tplc="0409000F">
      <w:start w:val="1"/>
      <w:numFmt w:val="decimal"/>
      <w:lvlText w:val="%1."/>
      <w:lvlJc w:val="left"/>
      <w:pPr>
        <w:ind w:left="859" w:hanging="360"/>
      </w:pPr>
    </w:lvl>
    <w:lvl w:ilvl="1" w:tplc="04090019">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33180"/>
    <w:rsid w:val="00063D7F"/>
    <w:rsid w:val="00076A02"/>
    <w:rsid w:val="00085A19"/>
    <w:rsid w:val="0009327F"/>
    <w:rsid w:val="000B43E7"/>
    <w:rsid w:val="000D7970"/>
    <w:rsid w:val="00102613"/>
    <w:rsid w:val="00111A46"/>
    <w:rsid w:val="00123DB9"/>
    <w:rsid w:val="00152648"/>
    <w:rsid w:val="00163825"/>
    <w:rsid w:val="00180C72"/>
    <w:rsid w:val="001D2B95"/>
    <w:rsid w:val="00214F16"/>
    <w:rsid w:val="002155DC"/>
    <w:rsid w:val="00231988"/>
    <w:rsid w:val="00244950"/>
    <w:rsid w:val="00247204"/>
    <w:rsid w:val="002556B8"/>
    <w:rsid w:val="00270022"/>
    <w:rsid w:val="00277209"/>
    <w:rsid w:val="00287ED9"/>
    <w:rsid w:val="002A7011"/>
    <w:rsid w:val="003056E1"/>
    <w:rsid w:val="00317179"/>
    <w:rsid w:val="00326004"/>
    <w:rsid w:val="00333C6C"/>
    <w:rsid w:val="0036689B"/>
    <w:rsid w:val="00385235"/>
    <w:rsid w:val="00387169"/>
    <w:rsid w:val="00393553"/>
    <w:rsid w:val="003B2A58"/>
    <w:rsid w:val="003D2214"/>
    <w:rsid w:val="003F622A"/>
    <w:rsid w:val="003F7FB1"/>
    <w:rsid w:val="00411477"/>
    <w:rsid w:val="00414617"/>
    <w:rsid w:val="00414E64"/>
    <w:rsid w:val="00415A45"/>
    <w:rsid w:val="004747D3"/>
    <w:rsid w:val="004A569E"/>
    <w:rsid w:val="004C0F46"/>
    <w:rsid w:val="004C5778"/>
    <w:rsid w:val="004F55A4"/>
    <w:rsid w:val="00513C49"/>
    <w:rsid w:val="00521379"/>
    <w:rsid w:val="0052252C"/>
    <w:rsid w:val="00526F66"/>
    <w:rsid w:val="00560A15"/>
    <w:rsid w:val="00564FC7"/>
    <w:rsid w:val="00567160"/>
    <w:rsid w:val="00575B58"/>
    <w:rsid w:val="00592BD4"/>
    <w:rsid w:val="0059423A"/>
    <w:rsid w:val="005C15B6"/>
    <w:rsid w:val="005D593F"/>
    <w:rsid w:val="00602F02"/>
    <w:rsid w:val="006069F6"/>
    <w:rsid w:val="0062660E"/>
    <w:rsid w:val="0062778A"/>
    <w:rsid w:val="00636DB9"/>
    <w:rsid w:val="0064258A"/>
    <w:rsid w:val="00652A2A"/>
    <w:rsid w:val="00654C4A"/>
    <w:rsid w:val="006976FE"/>
    <w:rsid w:val="006B48A1"/>
    <w:rsid w:val="006B79E3"/>
    <w:rsid w:val="006C118D"/>
    <w:rsid w:val="006C32A1"/>
    <w:rsid w:val="006C43C7"/>
    <w:rsid w:val="006D78B6"/>
    <w:rsid w:val="006E106A"/>
    <w:rsid w:val="0071031B"/>
    <w:rsid w:val="00710EE5"/>
    <w:rsid w:val="00722D3F"/>
    <w:rsid w:val="0074434C"/>
    <w:rsid w:val="00746A43"/>
    <w:rsid w:val="00757941"/>
    <w:rsid w:val="007637F8"/>
    <w:rsid w:val="00772981"/>
    <w:rsid w:val="00774C46"/>
    <w:rsid w:val="007815D1"/>
    <w:rsid w:val="00785455"/>
    <w:rsid w:val="007A2525"/>
    <w:rsid w:val="007B1155"/>
    <w:rsid w:val="007C7914"/>
    <w:rsid w:val="007E051D"/>
    <w:rsid w:val="00801B0A"/>
    <w:rsid w:val="008256D0"/>
    <w:rsid w:val="0084315E"/>
    <w:rsid w:val="008439FD"/>
    <w:rsid w:val="00863EED"/>
    <w:rsid w:val="00865535"/>
    <w:rsid w:val="008728C9"/>
    <w:rsid w:val="00875B3D"/>
    <w:rsid w:val="00876FCC"/>
    <w:rsid w:val="00892EDA"/>
    <w:rsid w:val="008A6503"/>
    <w:rsid w:val="008B404A"/>
    <w:rsid w:val="008B452D"/>
    <w:rsid w:val="008E3EE7"/>
    <w:rsid w:val="008F0BE7"/>
    <w:rsid w:val="0091246F"/>
    <w:rsid w:val="0091505A"/>
    <w:rsid w:val="00915B59"/>
    <w:rsid w:val="00917B65"/>
    <w:rsid w:val="009205B5"/>
    <w:rsid w:val="009324BA"/>
    <w:rsid w:val="009832B1"/>
    <w:rsid w:val="009A2BFD"/>
    <w:rsid w:val="009A3666"/>
    <w:rsid w:val="009B5434"/>
    <w:rsid w:val="009E26B9"/>
    <w:rsid w:val="009F0926"/>
    <w:rsid w:val="009F587D"/>
    <w:rsid w:val="009F7182"/>
    <w:rsid w:val="00A10C3A"/>
    <w:rsid w:val="00A129C6"/>
    <w:rsid w:val="00A14F6B"/>
    <w:rsid w:val="00A164A1"/>
    <w:rsid w:val="00A17B48"/>
    <w:rsid w:val="00A2147E"/>
    <w:rsid w:val="00A351E9"/>
    <w:rsid w:val="00A56C11"/>
    <w:rsid w:val="00A75650"/>
    <w:rsid w:val="00A77995"/>
    <w:rsid w:val="00A82CE5"/>
    <w:rsid w:val="00AA2C3E"/>
    <w:rsid w:val="00AB7246"/>
    <w:rsid w:val="00AE34C6"/>
    <w:rsid w:val="00B3246F"/>
    <w:rsid w:val="00B37B02"/>
    <w:rsid w:val="00B74D0B"/>
    <w:rsid w:val="00B77746"/>
    <w:rsid w:val="00B918EF"/>
    <w:rsid w:val="00B954C0"/>
    <w:rsid w:val="00BB3595"/>
    <w:rsid w:val="00BD4DA0"/>
    <w:rsid w:val="00BF6983"/>
    <w:rsid w:val="00C034C5"/>
    <w:rsid w:val="00C14FBC"/>
    <w:rsid w:val="00C27567"/>
    <w:rsid w:val="00C350EE"/>
    <w:rsid w:val="00C55A54"/>
    <w:rsid w:val="00C63D8A"/>
    <w:rsid w:val="00C70599"/>
    <w:rsid w:val="00C800FD"/>
    <w:rsid w:val="00C96CB5"/>
    <w:rsid w:val="00CE532C"/>
    <w:rsid w:val="00D00A7A"/>
    <w:rsid w:val="00D228D6"/>
    <w:rsid w:val="00D2567A"/>
    <w:rsid w:val="00D5453B"/>
    <w:rsid w:val="00D60559"/>
    <w:rsid w:val="00D70DDB"/>
    <w:rsid w:val="00D8275D"/>
    <w:rsid w:val="00D90AF6"/>
    <w:rsid w:val="00DA43DB"/>
    <w:rsid w:val="00DF5BA0"/>
    <w:rsid w:val="00DF615E"/>
    <w:rsid w:val="00E0062D"/>
    <w:rsid w:val="00E112C3"/>
    <w:rsid w:val="00E15FF5"/>
    <w:rsid w:val="00E166BD"/>
    <w:rsid w:val="00E329AB"/>
    <w:rsid w:val="00E4613D"/>
    <w:rsid w:val="00E708AD"/>
    <w:rsid w:val="00E71F13"/>
    <w:rsid w:val="00E74484"/>
    <w:rsid w:val="00E865F5"/>
    <w:rsid w:val="00EC1CDC"/>
    <w:rsid w:val="00EF2987"/>
    <w:rsid w:val="00F02299"/>
    <w:rsid w:val="00F34931"/>
    <w:rsid w:val="00F37CDE"/>
    <w:rsid w:val="00F42B02"/>
    <w:rsid w:val="00F935BD"/>
    <w:rsid w:val="00FA5BC8"/>
    <w:rsid w:val="00FC492B"/>
    <w:rsid w:val="00FE10D9"/>
    <w:rsid w:val="00FE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82F7A1-E0B8-423C-AC12-1345A3BE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paragraph" w:styleId="ListParagraph">
    <w:name w:val="List Paragraph"/>
    <w:basedOn w:val="Normal"/>
    <w:uiPriority w:val="34"/>
    <w:qFormat/>
    <w:rsid w:val="00C70599"/>
    <w:pPr>
      <w:ind w:left="720"/>
    </w:pPr>
  </w:style>
  <w:style w:type="character" w:styleId="CommentReference">
    <w:name w:val="annotation reference"/>
    <w:rsid w:val="00B77746"/>
    <w:rPr>
      <w:sz w:val="16"/>
      <w:szCs w:val="16"/>
    </w:rPr>
  </w:style>
  <w:style w:type="paragraph" w:styleId="CommentText">
    <w:name w:val="annotation text"/>
    <w:basedOn w:val="Normal"/>
    <w:link w:val="CommentTextChar"/>
    <w:rsid w:val="00B77746"/>
  </w:style>
  <w:style w:type="character" w:customStyle="1" w:styleId="CommentTextChar">
    <w:name w:val="Comment Text Char"/>
    <w:basedOn w:val="DefaultParagraphFont"/>
    <w:link w:val="CommentText"/>
    <w:rsid w:val="00B77746"/>
  </w:style>
  <w:style w:type="paragraph" w:styleId="CommentSubject">
    <w:name w:val="annotation subject"/>
    <w:basedOn w:val="CommentText"/>
    <w:next w:val="CommentText"/>
    <w:link w:val="CommentSubjectChar"/>
    <w:rsid w:val="00B77746"/>
    <w:rPr>
      <w:b/>
      <w:bCs/>
    </w:rPr>
  </w:style>
  <w:style w:type="character" w:customStyle="1" w:styleId="CommentSubjectChar">
    <w:name w:val="Comment Subject Char"/>
    <w:link w:val="CommentSubject"/>
    <w:rsid w:val="00B77746"/>
    <w:rPr>
      <w:b/>
      <w:bCs/>
    </w:rPr>
  </w:style>
  <w:style w:type="paragraph" w:styleId="BalloonText">
    <w:name w:val="Balloon Text"/>
    <w:basedOn w:val="Normal"/>
    <w:link w:val="BalloonTextChar"/>
    <w:rsid w:val="00B77746"/>
    <w:rPr>
      <w:rFonts w:ascii="Segoe UI" w:hAnsi="Segoe UI" w:cs="Segoe UI"/>
      <w:sz w:val="18"/>
      <w:szCs w:val="18"/>
    </w:rPr>
  </w:style>
  <w:style w:type="character" w:customStyle="1" w:styleId="BalloonTextChar">
    <w:name w:val="Balloon Text Char"/>
    <w:link w:val="BalloonText"/>
    <w:rsid w:val="00B77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2021-03-25T16:53:00Z</dcterms:created>
  <dcterms:modified xsi:type="dcterms:W3CDTF">2021-03-25T16:53:00Z</dcterms:modified>
</cp:coreProperties>
</file>