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5801B" w14:textId="086E173E" w:rsidR="003526AD" w:rsidRPr="00835700" w:rsidRDefault="003526AD" w:rsidP="003526AD">
      <w:pPr>
        <w:ind w:firstLine="0"/>
        <w:jc w:val="center"/>
      </w:pPr>
      <w:bookmarkStart w:id="0" w:name="_GoBack"/>
      <w:bookmarkEnd w:id="0"/>
      <w:r w:rsidRPr="00835700">
        <w:t xml:space="preserve">Int. No. </w:t>
      </w:r>
      <w:r>
        <w:t>823-</w:t>
      </w:r>
      <w:r w:rsidR="0088397C">
        <w:t>B</w:t>
      </w:r>
    </w:p>
    <w:p w14:paraId="2EE049C7" w14:textId="77777777" w:rsidR="003526AD" w:rsidRDefault="003526AD" w:rsidP="003526AD">
      <w:pPr>
        <w:ind w:firstLine="0"/>
        <w:jc w:val="center"/>
      </w:pPr>
    </w:p>
    <w:p w14:paraId="6D7B1315" w14:textId="44C2C22E" w:rsidR="003526AD" w:rsidRDefault="003526AD" w:rsidP="003526AD">
      <w:pPr>
        <w:ind w:firstLine="0"/>
        <w:jc w:val="both"/>
      </w:pPr>
      <w:r>
        <w:t>By Council Members Borelli, Cumbo</w:t>
      </w:r>
      <w:r w:rsidR="0088397C">
        <w:t>,</w:t>
      </w:r>
      <w:r>
        <w:t xml:space="preserve"> Powers</w:t>
      </w:r>
      <w:r w:rsidR="0088397C">
        <w:t>, Koslowitz</w:t>
      </w:r>
      <w:r w:rsidR="00812D67">
        <w:t>,</w:t>
      </w:r>
      <w:r w:rsidR="0088397C">
        <w:t xml:space="preserve"> Cornegy</w:t>
      </w:r>
      <w:r w:rsidR="00797018">
        <w:t>,</w:t>
      </w:r>
      <w:r w:rsidR="00812D67">
        <w:t xml:space="preserve"> Kallos</w:t>
      </w:r>
      <w:r w:rsidR="00A5426D">
        <w:t>,</w:t>
      </w:r>
      <w:r w:rsidR="00797018">
        <w:t xml:space="preserve"> Constantinides</w:t>
      </w:r>
      <w:r w:rsidR="008067D0">
        <w:t>,</w:t>
      </w:r>
      <w:r w:rsidR="00A5426D">
        <w:t xml:space="preserve"> Chin</w:t>
      </w:r>
      <w:r w:rsidR="00C558D4">
        <w:t xml:space="preserve"> and</w:t>
      </w:r>
      <w:r w:rsidR="008067D0">
        <w:t xml:space="preserve"> Rose</w:t>
      </w:r>
    </w:p>
    <w:p w14:paraId="25980AE3" w14:textId="77777777" w:rsidR="003526AD" w:rsidRDefault="003526AD" w:rsidP="003526AD">
      <w:pPr>
        <w:pStyle w:val="BodyText"/>
        <w:spacing w:line="240" w:lineRule="auto"/>
        <w:ind w:firstLine="0"/>
      </w:pPr>
    </w:p>
    <w:p w14:paraId="54E65C7D" w14:textId="77777777" w:rsidR="003526AD" w:rsidRPr="004E7693" w:rsidRDefault="003526AD" w:rsidP="003526AD">
      <w:pPr>
        <w:pStyle w:val="BodyText"/>
        <w:spacing w:line="240" w:lineRule="auto"/>
        <w:ind w:firstLine="0"/>
        <w:rPr>
          <w:vanish/>
        </w:rPr>
      </w:pPr>
      <w:r w:rsidRPr="004E7693">
        <w:rPr>
          <w:vanish/>
        </w:rPr>
        <w:t>..Title</w:t>
      </w:r>
    </w:p>
    <w:p w14:paraId="2476FFD4" w14:textId="64D97A5D" w:rsidR="003526AD" w:rsidRDefault="006413E1" w:rsidP="003526AD">
      <w:pPr>
        <w:pStyle w:val="BodyText"/>
        <w:spacing w:line="240" w:lineRule="auto"/>
        <w:ind w:firstLine="0"/>
      </w:pPr>
      <w:r>
        <w:t>A Local Law</w:t>
      </w:r>
      <w:r w:rsidR="003526AD">
        <w:t xml:space="preserve"> in relation to allowing </w:t>
      </w:r>
      <w:r w:rsidR="000A45C7">
        <w:t>food service establishment</w:t>
      </w:r>
      <w:r w:rsidR="00B16C3C">
        <w:t xml:space="preserve">s to charge a COVID-19 </w:t>
      </w:r>
      <w:r w:rsidR="005E3D01">
        <w:t>r</w:t>
      </w:r>
      <w:r w:rsidR="00B16C3C">
        <w:t xml:space="preserve">ecovery </w:t>
      </w:r>
      <w:r w:rsidR="005E3D01">
        <w:t>c</w:t>
      </w:r>
      <w:r w:rsidR="00B16C3C">
        <w:t>harge</w:t>
      </w:r>
    </w:p>
    <w:p w14:paraId="04412862" w14:textId="77777777" w:rsidR="003526AD" w:rsidRPr="004E7693" w:rsidRDefault="003526AD" w:rsidP="003526AD">
      <w:pPr>
        <w:pStyle w:val="BodyText"/>
        <w:spacing w:line="240" w:lineRule="auto"/>
        <w:ind w:firstLine="0"/>
        <w:rPr>
          <w:vanish/>
        </w:rPr>
      </w:pPr>
      <w:r w:rsidRPr="004E7693">
        <w:rPr>
          <w:vanish/>
        </w:rPr>
        <w:t>..Body</w:t>
      </w:r>
    </w:p>
    <w:p w14:paraId="52B6EC33" w14:textId="77777777" w:rsidR="003526AD" w:rsidRDefault="003526AD" w:rsidP="003526AD">
      <w:pPr>
        <w:pStyle w:val="BodyText"/>
        <w:spacing w:line="240" w:lineRule="auto"/>
        <w:ind w:firstLine="0"/>
        <w:rPr>
          <w:u w:val="single"/>
        </w:rPr>
      </w:pPr>
    </w:p>
    <w:p w14:paraId="4E904DFF" w14:textId="77777777" w:rsidR="003526AD" w:rsidRPr="00B74874" w:rsidRDefault="003526AD" w:rsidP="003526AD">
      <w:pPr>
        <w:ind w:firstLine="0"/>
        <w:jc w:val="both"/>
      </w:pPr>
      <w:proofErr w:type="gramStart"/>
      <w:r w:rsidRPr="00B74874">
        <w:rPr>
          <w:u w:val="single"/>
        </w:rPr>
        <w:t>Be it enacted</w:t>
      </w:r>
      <w:proofErr w:type="gramEnd"/>
      <w:r w:rsidRPr="00B74874">
        <w:rPr>
          <w:u w:val="single"/>
        </w:rPr>
        <w:t xml:space="preserve"> by the Council as follows:</w:t>
      </w:r>
    </w:p>
    <w:p w14:paraId="110D17F1" w14:textId="77777777" w:rsidR="003526AD" w:rsidRDefault="003526AD" w:rsidP="00B57FB8">
      <w:pPr>
        <w:jc w:val="both"/>
      </w:pPr>
    </w:p>
    <w:p w14:paraId="264B7F98" w14:textId="139AE8A9" w:rsidR="003526AD" w:rsidRPr="00BA55B1" w:rsidRDefault="003526AD" w:rsidP="008D393F">
      <w:pPr>
        <w:spacing w:line="480" w:lineRule="auto"/>
        <w:jc w:val="both"/>
      </w:pPr>
      <w:r w:rsidRPr="00B74874">
        <w:t xml:space="preserve">Section 1. </w:t>
      </w:r>
      <w:r w:rsidR="0008207D">
        <w:t xml:space="preserve">Temporary COVID-19 recovery charge. a. </w:t>
      </w:r>
      <w:r w:rsidRPr="00BA55B1">
        <w:t>Definitions. For purposes of this subchapter, the following terms have the following meanings:</w:t>
      </w:r>
    </w:p>
    <w:p w14:paraId="661C8D45" w14:textId="37BE65C7" w:rsidR="00B16C3C" w:rsidRPr="00BA55B1" w:rsidRDefault="00B16C3C" w:rsidP="003526AD">
      <w:pPr>
        <w:spacing w:line="480" w:lineRule="auto"/>
        <w:jc w:val="both"/>
      </w:pPr>
      <w:r w:rsidRPr="00BA55B1">
        <w:t>COVID-19. The term “COVID-19” means the disease caused by the severe acute respiratory syndrome coronavirus 2 (SARS-CoV-2).</w:t>
      </w:r>
    </w:p>
    <w:p w14:paraId="6F93BFA8" w14:textId="59BE7D97" w:rsidR="001110FD" w:rsidRPr="00BA55B1" w:rsidRDefault="001110FD" w:rsidP="008D393F">
      <w:pPr>
        <w:spacing w:line="480" w:lineRule="auto"/>
        <w:jc w:val="both"/>
      </w:pPr>
      <w:r w:rsidRPr="00BA55B1">
        <w:t xml:space="preserve">Food </w:t>
      </w:r>
      <w:r w:rsidR="00DD0B81" w:rsidRPr="00BA55B1">
        <w:t>s</w:t>
      </w:r>
      <w:r w:rsidRPr="00BA55B1">
        <w:t xml:space="preserve">ervice </w:t>
      </w:r>
      <w:r w:rsidR="00DD0B81" w:rsidRPr="00BA55B1">
        <w:t>e</w:t>
      </w:r>
      <w:r w:rsidRPr="00BA55B1">
        <w:t xml:space="preserve">stablishment. </w:t>
      </w:r>
      <w:proofErr w:type="gramStart"/>
      <w:r w:rsidRPr="00BA55B1">
        <w:t xml:space="preserve">The term “food service establishment” has the same meaning as set forth in section 81.03 of the health code of the city of New York, except that it </w:t>
      </w:r>
      <w:r w:rsidR="008A59A5" w:rsidRPr="00BA55B1">
        <w:t>does not include pushcarts, stands, vehicles</w:t>
      </w:r>
      <w:r w:rsidR="000F1083">
        <w:t>,</w:t>
      </w:r>
      <w:r w:rsidR="008A59A5" w:rsidRPr="00BA55B1">
        <w:t xml:space="preserve"> or a food service establishment that is part of a chain with 15 or more locations nationally doing business under the same name and offering for sale substantially the same menu items</w:t>
      </w:r>
      <w:r w:rsidRPr="00BA55B1">
        <w:t>.</w:t>
      </w:r>
      <w:proofErr w:type="gramEnd"/>
      <w:r w:rsidRPr="00BA55B1">
        <w:t xml:space="preserve"> </w:t>
      </w:r>
    </w:p>
    <w:p w14:paraId="4B195CDC" w14:textId="7BE4FF1D" w:rsidR="003526AD" w:rsidRPr="00BA55B1" w:rsidRDefault="003526AD" w:rsidP="003526AD">
      <w:pPr>
        <w:spacing w:line="480" w:lineRule="auto"/>
        <w:jc w:val="both"/>
      </w:pPr>
      <w:r w:rsidRPr="00BA55B1">
        <w:t xml:space="preserve">Stated price. The term “stated price” means the amount that a </w:t>
      </w:r>
      <w:r w:rsidR="00A558FA" w:rsidRPr="00BA55B1">
        <w:t xml:space="preserve">consumer </w:t>
      </w:r>
      <w:r w:rsidRPr="00BA55B1">
        <w:t>owes for an individual listed item.  The term “stated price” does not include any additional charge that was not included in the pricing of an individual listed item.</w:t>
      </w:r>
    </w:p>
    <w:p w14:paraId="270C48C7" w14:textId="77777777" w:rsidR="003526AD" w:rsidRPr="00BA55B1" w:rsidRDefault="003526AD" w:rsidP="003526AD">
      <w:pPr>
        <w:spacing w:line="480" w:lineRule="auto"/>
        <w:jc w:val="both"/>
      </w:pPr>
      <w:r w:rsidRPr="00BA55B1">
        <w:t>Surcharge. The term “surcharge” means a charge imposed in addition to the stated price of individual listed items. The term “surcharge” does not include tax, gratuity, tip or a charge for the administration of a banquet, special function, or package deal pursuant to section 146-2.19 of subpart 146-2 of part 146 of subchapter B of chapter II of title 12 of the compilation of codes, rules and regulations of the state of New York.</w:t>
      </w:r>
      <w:r w:rsidRPr="00BA55B1" w:rsidDel="000E6F67">
        <w:t xml:space="preserve"> </w:t>
      </w:r>
    </w:p>
    <w:p w14:paraId="307D7C69" w14:textId="3E8F37D7" w:rsidR="00ED298A" w:rsidRPr="00BA55B1" w:rsidRDefault="0008207D" w:rsidP="003526AD">
      <w:pPr>
        <w:spacing w:line="480" w:lineRule="auto"/>
        <w:jc w:val="both"/>
      </w:pPr>
      <w:r w:rsidRPr="00BA55B1">
        <w:lastRenderedPageBreak/>
        <w:t>b</w:t>
      </w:r>
      <w:r w:rsidR="003526AD" w:rsidRPr="00BA55B1">
        <w:t xml:space="preserve">. A </w:t>
      </w:r>
      <w:r w:rsidR="000A45C7" w:rsidRPr="00BA55B1">
        <w:t>food service establishment</w:t>
      </w:r>
      <w:r w:rsidR="003526AD" w:rsidRPr="00BA55B1">
        <w:t xml:space="preserve"> may </w:t>
      </w:r>
      <w:r w:rsidR="005C6230" w:rsidRPr="00BA55B1">
        <w:t>impose a</w:t>
      </w:r>
      <w:r w:rsidR="00ED298A" w:rsidRPr="00BA55B1">
        <w:t xml:space="preserve"> </w:t>
      </w:r>
      <w:r w:rsidR="003526AD" w:rsidRPr="00BA55B1">
        <w:t>surcharge</w:t>
      </w:r>
      <w:r w:rsidR="00ED298A" w:rsidRPr="00BA55B1">
        <w:t xml:space="preserve"> of no more than </w:t>
      </w:r>
      <w:r w:rsidR="005C6230" w:rsidRPr="00BA55B1">
        <w:t xml:space="preserve">10% of </w:t>
      </w:r>
      <w:r w:rsidR="00992A69">
        <w:t xml:space="preserve">a </w:t>
      </w:r>
      <w:r w:rsidR="00CA1147">
        <w:t>consumer</w:t>
      </w:r>
      <w:r w:rsidR="00992A69">
        <w:t>’s</w:t>
      </w:r>
      <w:r w:rsidR="005C6230" w:rsidRPr="00BA55B1">
        <w:t xml:space="preserve"> total bill</w:t>
      </w:r>
      <w:r w:rsidR="00ED298A" w:rsidRPr="00BA55B1">
        <w:t xml:space="preserve">, to </w:t>
      </w:r>
      <w:proofErr w:type="gramStart"/>
      <w:r w:rsidR="00ED298A" w:rsidRPr="00BA55B1">
        <w:t>be known</w:t>
      </w:r>
      <w:proofErr w:type="gramEnd"/>
      <w:r w:rsidR="00ED298A" w:rsidRPr="00BA55B1">
        <w:t xml:space="preserve"> as the </w:t>
      </w:r>
      <w:r w:rsidRPr="00BA55B1">
        <w:t>“</w:t>
      </w:r>
      <w:r w:rsidR="00ED298A" w:rsidRPr="00BA55B1">
        <w:t xml:space="preserve">COVID-19 </w:t>
      </w:r>
      <w:r w:rsidR="001A3BB6" w:rsidRPr="00BA55B1">
        <w:t>R</w:t>
      </w:r>
      <w:r w:rsidR="00ED298A" w:rsidRPr="00BA55B1">
        <w:t xml:space="preserve">ecovery </w:t>
      </w:r>
      <w:r w:rsidR="001A3BB6" w:rsidRPr="00BA55B1">
        <w:t>C</w:t>
      </w:r>
      <w:r w:rsidR="00ED298A" w:rsidRPr="00BA55B1">
        <w:t>harge.</w:t>
      </w:r>
      <w:r w:rsidRPr="00BA55B1">
        <w:t>”</w:t>
      </w:r>
      <w:r w:rsidR="00ED298A" w:rsidRPr="00BA55B1">
        <w:t xml:space="preserve"> </w:t>
      </w:r>
    </w:p>
    <w:p w14:paraId="5CA0FE2E" w14:textId="6DEDE42E" w:rsidR="001A3BB6" w:rsidRPr="00BA55B1" w:rsidRDefault="00951AF3" w:rsidP="00ED298A">
      <w:pPr>
        <w:spacing w:line="480" w:lineRule="auto"/>
        <w:jc w:val="both"/>
      </w:pPr>
      <w:proofErr w:type="gramStart"/>
      <w:r w:rsidRPr="00BA55B1">
        <w:t>c</w:t>
      </w:r>
      <w:proofErr w:type="gramEnd"/>
      <w:r w:rsidR="00ED298A" w:rsidRPr="00BA55B1">
        <w:t>.</w:t>
      </w:r>
      <w:r w:rsidR="003526AD" w:rsidRPr="00BA55B1">
        <w:t xml:space="preserve"> </w:t>
      </w:r>
      <w:r w:rsidR="00ED298A" w:rsidRPr="00BA55B1">
        <w:t xml:space="preserve">The COVID-19 </w:t>
      </w:r>
      <w:r w:rsidR="005E3D01">
        <w:t>r</w:t>
      </w:r>
      <w:r w:rsidR="00ED298A" w:rsidRPr="00BA55B1">
        <w:t xml:space="preserve">ecovery </w:t>
      </w:r>
      <w:r w:rsidR="005E3D01">
        <w:t>c</w:t>
      </w:r>
      <w:r w:rsidR="00ED298A" w:rsidRPr="00BA55B1">
        <w:t xml:space="preserve">harge may be </w:t>
      </w:r>
      <w:r w:rsidR="008D393F">
        <w:t>imposed</w:t>
      </w:r>
      <w:r w:rsidR="00ED298A" w:rsidRPr="00BA55B1">
        <w:t xml:space="preserve"> for on-premises dining only. Such </w:t>
      </w:r>
      <w:r w:rsidR="008D0FA6" w:rsidRPr="00BA55B1">
        <w:t>sur</w:t>
      </w:r>
      <w:r w:rsidR="00ED298A" w:rsidRPr="00BA55B1">
        <w:t>charge may</w:t>
      </w:r>
      <w:r w:rsidR="00E61492" w:rsidRPr="00BA55B1">
        <w:t xml:space="preserve"> be </w:t>
      </w:r>
      <w:r w:rsidR="008D393F">
        <w:t>imposed</w:t>
      </w:r>
      <w:r w:rsidR="00E61492" w:rsidRPr="00BA55B1">
        <w:t xml:space="preserve"> for indoor or outdoor dining but may</w:t>
      </w:r>
      <w:r w:rsidR="00ED298A" w:rsidRPr="00BA55B1">
        <w:t xml:space="preserve"> not be </w:t>
      </w:r>
      <w:r w:rsidR="008D393F">
        <w:t>imposed</w:t>
      </w:r>
      <w:r w:rsidR="00ED298A" w:rsidRPr="00BA55B1">
        <w:t xml:space="preserve"> for takeout or delivery orders.</w:t>
      </w:r>
    </w:p>
    <w:p w14:paraId="1D50C081" w14:textId="70F38B0C" w:rsidR="003526AD" w:rsidRPr="00BA55B1" w:rsidRDefault="00951AF3" w:rsidP="00ED298A">
      <w:pPr>
        <w:spacing w:line="480" w:lineRule="auto"/>
        <w:jc w:val="both"/>
      </w:pPr>
      <w:r w:rsidRPr="00BA55B1">
        <w:t>d</w:t>
      </w:r>
      <w:r w:rsidR="00ED298A" w:rsidRPr="00BA55B1">
        <w:t>.</w:t>
      </w:r>
      <w:r w:rsidRPr="00BA55B1">
        <w:t xml:space="preserve"> </w:t>
      </w:r>
      <w:r w:rsidR="00ED298A" w:rsidRPr="00BA55B1">
        <w:t xml:space="preserve">A </w:t>
      </w:r>
      <w:r w:rsidR="000A45C7" w:rsidRPr="00BA55B1">
        <w:t>food service establishment</w:t>
      </w:r>
      <w:r w:rsidR="00ED298A" w:rsidRPr="00BA55B1">
        <w:t xml:space="preserve"> that </w:t>
      </w:r>
      <w:r w:rsidR="005C6230" w:rsidRPr="00BA55B1">
        <w:t>imposes the</w:t>
      </w:r>
      <w:r w:rsidR="00ED298A" w:rsidRPr="00BA55B1">
        <w:t xml:space="preserve"> COVID-19 </w:t>
      </w:r>
      <w:r w:rsidR="005E3D01">
        <w:t>r</w:t>
      </w:r>
      <w:r w:rsidR="00ED298A" w:rsidRPr="00BA55B1">
        <w:t xml:space="preserve">ecovery </w:t>
      </w:r>
      <w:r w:rsidR="005E3D01">
        <w:t>c</w:t>
      </w:r>
      <w:r w:rsidR="00ED298A" w:rsidRPr="00BA55B1">
        <w:t xml:space="preserve">harge must </w:t>
      </w:r>
      <w:r w:rsidR="008F1917" w:rsidRPr="00BA55B1">
        <w:t xml:space="preserve">conspicuously </w:t>
      </w:r>
      <w:r w:rsidR="003526AD" w:rsidRPr="00BA55B1">
        <w:t xml:space="preserve">disclose the amount of such surcharge to a prospective </w:t>
      </w:r>
      <w:r w:rsidR="008D0FA6" w:rsidRPr="00BA55B1">
        <w:t xml:space="preserve">consumer </w:t>
      </w:r>
      <w:r w:rsidR="003526AD" w:rsidRPr="00BA55B1">
        <w:t xml:space="preserve">before any item </w:t>
      </w:r>
      <w:proofErr w:type="gramStart"/>
      <w:r w:rsidR="003526AD" w:rsidRPr="00BA55B1">
        <w:t>is ordered</w:t>
      </w:r>
      <w:proofErr w:type="gramEnd"/>
      <w:r w:rsidR="008F1917" w:rsidRPr="008D393F">
        <w:rPr>
          <w:rFonts w:eastAsia="Calibri"/>
        </w:rPr>
        <w:t xml:space="preserve"> by placing it at the bottom of each menu page supplied to the consumer. If no menus are used, the disclosure </w:t>
      </w:r>
      <w:proofErr w:type="gramStart"/>
      <w:r w:rsidR="008F1917" w:rsidRPr="008D393F">
        <w:rPr>
          <w:rFonts w:eastAsia="Calibri"/>
        </w:rPr>
        <w:t>must be placed</w:t>
      </w:r>
      <w:proofErr w:type="gramEnd"/>
      <w:r w:rsidR="008F1917" w:rsidRPr="008D393F">
        <w:rPr>
          <w:rFonts w:eastAsia="Calibri"/>
        </w:rPr>
        <w:t xml:space="preserve"> wherever food and beverage choices are listed</w:t>
      </w:r>
      <w:r w:rsidR="003526AD" w:rsidRPr="00BA55B1">
        <w:t>. The disclosure must be:</w:t>
      </w:r>
    </w:p>
    <w:p w14:paraId="3DF5CFE8" w14:textId="77777777" w:rsidR="003526AD" w:rsidRPr="00BA55B1" w:rsidRDefault="003526AD" w:rsidP="003526AD">
      <w:pPr>
        <w:spacing w:line="480" w:lineRule="auto"/>
        <w:jc w:val="both"/>
      </w:pPr>
      <w:r w:rsidRPr="00BA55B1">
        <w:t>1. Written</w:t>
      </w:r>
      <w:proofErr w:type="gramStart"/>
      <w:r w:rsidRPr="00BA55B1">
        <w:t>;</w:t>
      </w:r>
      <w:proofErr w:type="gramEnd"/>
    </w:p>
    <w:p w14:paraId="2207B6AB" w14:textId="51EF9883" w:rsidR="001A3BB6" w:rsidRPr="00BA55B1" w:rsidRDefault="003526AD" w:rsidP="005C6230">
      <w:pPr>
        <w:spacing w:line="480" w:lineRule="auto"/>
        <w:jc w:val="both"/>
      </w:pPr>
      <w:r w:rsidRPr="00BA55B1">
        <w:t xml:space="preserve">2. Explicit that the </w:t>
      </w:r>
      <w:r w:rsidR="008F1917" w:rsidRPr="00BA55B1">
        <w:t xml:space="preserve">COVID-19 </w:t>
      </w:r>
      <w:r w:rsidR="005E3D01">
        <w:t>r</w:t>
      </w:r>
      <w:r w:rsidR="008F1917" w:rsidRPr="00BA55B1">
        <w:t xml:space="preserve">ecovery </w:t>
      </w:r>
      <w:r w:rsidR="005E3D01">
        <w:t>c</w:t>
      </w:r>
      <w:r w:rsidR="008F1917" w:rsidRPr="00BA55B1">
        <w:t>harge</w:t>
      </w:r>
      <w:r w:rsidRPr="00BA55B1">
        <w:t xml:space="preserve"> is a surcharge</w:t>
      </w:r>
      <w:r w:rsidR="00671B82" w:rsidRPr="00BA55B1">
        <w:t xml:space="preserve">, </w:t>
      </w:r>
      <w:r w:rsidRPr="00BA55B1">
        <w:t>not a gratuity</w:t>
      </w:r>
      <w:r w:rsidR="00174FD7" w:rsidRPr="00BA55B1">
        <w:t xml:space="preserve"> for</w:t>
      </w:r>
      <w:r w:rsidR="00671B82" w:rsidRPr="00BA55B1">
        <w:t xml:space="preserve"> employees</w:t>
      </w:r>
      <w:proofErr w:type="gramStart"/>
      <w:r w:rsidRPr="00BA55B1">
        <w:t>;</w:t>
      </w:r>
      <w:proofErr w:type="gramEnd"/>
      <w:r w:rsidRPr="00BA55B1">
        <w:t xml:space="preserve"> </w:t>
      </w:r>
    </w:p>
    <w:p w14:paraId="1E67DB24" w14:textId="3FB2F82A" w:rsidR="003526AD" w:rsidRPr="00BA55B1" w:rsidRDefault="005C6230" w:rsidP="003526AD">
      <w:pPr>
        <w:spacing w:line="480" w:lineRule="auto"/>
        <w:jc w:val="both"/>
      </w:pPr>
      <w:r w:rsidRPr="00BA55B1">
        <w:t>3</w:t>
      </w:r>
      <w:r w:rsidR="003526AD" w:rsidRPr="00BA55B1">
        <w:t>. Clear and conspicuous;</w:t>
      </w:r>
    </w:p>
    <w:p w14:paraId="114EC1C8" w14:textId="4FE72D5C" w:rsidR="003526AD" w:rsidRPr="00BA55B1" w:rsidRDefault="003526AD" w:rsidP="003526AD">
      <w:pPr>
        <w:spacing w:line="480" w:lineRule="auto"/>
        <w:jc w:val="both"/>
      </w:pPr>
      <w:r w:rsidRPr="00BA55B1">
        <w:t xml:space="preserve">4. Included on each page of any document, whether in paper or electronic format, that lists prices for the </w:t>
      </w:r>
      <w:r w:rsidR="001A3BB6" w:rsidRPr="00BA55B1">
        <w:t>consumer</w:t>
      </w:r>
      <w:r w:rsidRPr="00BA55B1">
        <w:t>, including but not limited to any paper or electronic menu</w:t>
      </w:r>
      <w:proofErr w:type="gramStart"/>
      <w:r w:rsidRPr="00BA55B1">
        <w:t>;</w:t>
      </w:r>
      <w:proofErr w:type="gramEnd"/>
    </w:p>
    <w:p w14:paraId="156CD6FF" w14:textId="3327828F" w:rsidR="003526AD" w:rsidRPr="00BA55B1" w:rsidRDefault="003526AD" w:rsidP="003526AD">
      <w:pPr>
        <w:spacing w:line="480" w:lineRule="auto"/>
        <w:jc w:val="both"/>
      </w:pPr>
      <w:r w:rsidRPr="00BA55B1">
        <w:t xml:space="preserve">5. In English, as well as in any other language used in the document upon which the surcharge is disclosed, unless such language is used solely in the names of items; and </w:t>
      </w:r>
    </w:p>
    <w:p w14:paraId="0B80B71A" w14:textId="0DC87F9E" w:rsidR="003526AD" w:rsidRPr="00BA55B1" w:rsidRDefault="003526AD" w:rsidP="003526AD">
      <w:pPr>
        <w:spacing w:line="480" w:lineRule="auto"/>
        <w:jc w:val="both"/>
      </w:pPr>
      <w:proofErr w:type="gramStart"/>
      <w:r w:rsidRPr="00BA55B1">
        <w:t>6. In a font</w:t>
      </w:r>
      <w:proofErr w:type="gramEnd"/>
      <w:r w:rsidRPr="00BA55B1">
        <w:t xml:space="preserve"> size similar to surrounding text.</w:t>
      </w:r>
    </w:p>
    <w:p w14:paraId="63FD1857" w14:textId="4D931251" w:rsidR="003526AD" w:rsidRPr="00BA55B1" w:rsidRDefault="00951AF3" w:rsidP="003526AD">
      <w:pPr>
        <w:spacing w:line="480" w:lineRule="auto"/>
        <w:jc w:val="both"/>
      </w:pPr>
      <w:r w:rsidRPr="00BA55B1">
        <w:t>e</w:t>
      </w:r>
      <w:r w:rsidR="003526AD" w:rsidRPr="00BA55B1">
        <w:t xml:space="preserve">. A final </w:t>
      </w:r>
      <w:r w:rsidR="00A558FA" w:rsidRPr="00BA55B1">
        <w:t xml:space="preserve">consumer </w:t>
      </w:r>
      <w:r w:rsidR="003526AD" w:rsidRPr="00BA55B1">
        <w:t>bill</w:t>
      </w:r>
      <w:r w:rsidR="008F1917" w:rsidRPr="00BA55B1">
        <w:t>,</w:t>
      </w:r>
      <w:r w:rsidR="003526AD" w:rsidRPr="00BA55B1">
        <w:t xml:space="preserve"> </w:t>
      </w:r>
      <w:r w:rsidR="00BA55B1">
        <w:t>and</w:t>
      </w:r>
      <w:r w:rsidR="003526AD" w:rsidRPr="00BA55B1">
        <w:t xml:space="preserve"> receipt if a </w:t>
      </w:r>
      <w:r w:rsidR="00BA55B1">
        <w:t xml:space="preserve">receipt </w:t>
      </w:r>
      <w:proofErr w:type="gramStart"/>
      <w:r w:rsidR="00BA55B1">
        <w:t>is provided</w:t>
      </w:r>
      <w:proofErr w:type="gramEnd"/>
      <w:r w:rsidR="008F1917" w:rsidRPr="00BA55B1">
        <w:t>,</w:t>
      </w:r>
      <w:r w:rsidR="00AF4C37" w:rsidRPr="00BA55B1">
        <w:t xml:space="preserve"> shall disclose </w:t>
      </w:r>
      <w:r w:rsidR="008F1917" w:rsidRPr="00BA55B1">
        <w:t xml:space="preserve">the COVID-19 </w:t>
      </w:r>
      <w:r w:rsidR="005E3D01">
        <w:t>r</w:t>
      </w:r>
      <w:r w:rsidR="008F1917" w:rsidRPr="00BA55B1">
        <w:t xml:space="preserve">ecovery </w:t>
      </w:r>
      <w:r w:rsidR="005E3D01">
        <w:t>c</w:t>
      </w:r>
      <w:r w:rsidR="008F1917" w:rsidRPr="00BA55B1">
        <w:t xml:space="preserve">harge and </w:t>
      </w:r>
      <w:r w:rsidR="003526AD" w:rsidRPr="00BA55B1">
        <w:t xml:space="preserve">the </w:t>
      </w:r>
      <w:r w:rsidR="00AF4C37" w:rsidRPr="00BA55B1">
        <w:t xml:space="preserve">total </w:t>
      </w:r>
      <w:r w:rsidR="003526AD" w:rsidRPr="00BA55B1">
        <w:t>dollar amount attributable to such surcharge</w:t>
      </w:r>
      <w:r w:rsidR="005C6230" w:rsidRPr="00BA55B1">
        <w:t>.</w:t>
      </w:r>
    </w:p>
    <w:p w14:paraId="706CFAB4" w14:textId="22BD8E2F" w:rsidR="001A3BB6" w:rsidRPr="00BA55B1" w:rsidRDefault="00951AF3" w:rsidP="003526AD">
      <w:pPr>
        <w:spacing w:line="480" w:lineRule="auto"/>
        <w:jc w:val="both"/>
      </w:pPr>
      <w:r w:rsidRPr="00BA55B1">
        <w:t>f</w:t>
      </w:r>
      <w:r w:rsidR="001A3BB6" w:rsidRPr="00BA55B1">
        <w:t xml:space="preserve">. A </w:t>
      </w:r>
      <w:r w:rsidR="000A45C7" w:rsidRPr="00BA55B1">
        <w:t>food service establishment</w:t>
      </w:r>
      <w:r w:rsidR="001A3BB6" w:rsidRPr="00BA55B1">
        <w:t xml:space="preserve"> shall not give the COVID-19 </w:t>
      </w:r>
      <w:r w:rsidR="005E3D01">
        <w:t>r</w:t>
      </w:r>
      <w:r w:rsidR="001A3BB6" w:rsidRPr="00BA55B1">
        <w:t xml:space="preserve">ecovery </w:t>
      </w:r>
      <w:r w:rsidR="005E3D01">
        <w:t>c</w:t>
      </w:r>
      <w:r w:rsidR="001A3BB6" w:rsidRPr="00BA55B1">
        <w:t>harge any other name, and shall reference such charge as the “COVID-19 Recovery Charge” on all disclosures required by this section</w:t>
      </w:r>
      <w:r w:rsidR="00812D25">
        <w:t>, except that such charge may be referred to as the “COVID Charge” on any final consumer bill or receipt.</w:t>
      </w:r>
    </w:p>
    <w:p w14:paraId="7F9BAEC6" w14:textId="0B856761" w:rsidR="003526AD" w:rsidRPr="00BA55B1" w:rsidRDefault="00951AF3" w:rsidP="003526AD">
      <w:pPr>
        <w:spacing w:line="480" w:lineRule="auto"/>
        <w:jc w:val="both"/>
      </w:pPr>
      <w:proofErr w:type="gramStart"/>
      <w:r w:rsidRPr="00BA55B1">
        <w:t>g</w:t>
      </w:r>
      <w:r w:rsidR="003526AD" w:rsidRPr="00BA55B1">
        <w:t xml:space="preserve">. A </w:t>
      </w:r>
      <w:r w:rsidR="000A45C7" w:rsidRPr="00BA55B1">
        <w:t>food service establishment</w:t>
      </w:r>
      <w:r w:rsidR="003526AD" w:rsidRPr="00BA55B1">
        <w:t xml:space="preserve"> </w:t>
      </w:r>
      <w:r w:rsidR="008F1917" w:rsidRPr="00BA55B1">
        <w:t xml:space="preserve">may not </w:t>
      </w:r>
      <w:r w:rsidR="005C6230" w:rsidRPr="00BA55B1">
        <w:t>impose the</w:t>
      </w:r>
      <w:r w:rsidR="008F1917" w:rsidRPr="00BA55B1">
        <w:t xml:space="preserve"> COVID-19 </w:t>
      </w:r>
      <w:r w:rsidR="005E3D01">
        <w:t>r</w:t>
      </w:r>
      <w:r w:rsidR="008F1917" w:rsidRPr="00BA55B1">
        <w:t xml:space="preserve">ecovery </w:t>
      </w:r>
      <w:r w:rsidR="005E3D01">
        <w:t>c</w:t>
      </w:r>
      <w:r w:rsidR="008F1917" w:rsidRPr="00BA55B1">
        <w:t xml:space="preserve">harge </w:t>
      </w:r>
      <w:r w:rsidR="003526AD" w:rsidRPr="00BA55B1">
        <w:t>in addition to a charge for the administration of a banquet, special function, or package deal pursuant to section 146-2.19 of subpart 146-2 of part 146 of subchapter B of chapter II of title 12 of the compilation of codes, rules and regulations of the state of New York.</w:t>
      </w:r>
      <w:proofErr w:type="gramEnd"/>
      <w:r w:rsidR="003526AD" w:rsidRPr="00BA55B1" w:rsidDel="000E6F67">
        <w:t xml:space="preserve"> </w:t>
      </w:r>
    </w:p>
    <w:p w14:paraId="30A954F9" w14:textId="13A2A7EA" w:rsidR="00A3697D" w:rsidRPr="00BA55B1" w:rsidRDefault="00951AF3" w:rsidP="008D393F">
      <w:pPr>
        <w:spacing w:line="480" w:lineRule="auto"/>
        <w:jc w:val="both"/>
      </w:pPr>
      <w:proofErr w:type="gramStart"/>
      <w:r w:rsidRPr="00BA55B1">
        <w:t>h</w:t>
      </w:r>
      <w:r w:rsidR="00A3697D" w:rsidRPr="00BA55B1">
        <w:t xml:space="preserve">. The </w:t>
      </w:r>
      <w:r w:rsidR="00ED298A" w:rsidRPr="00BA55B1">
        <w:t>provisions</w:t>
      </w:r>
      <w:r w:rsidR="00A3697D" w:rsidRPr="00BA55B1">
        <w:t xml:space="preserve"> of this section apply</w:t>
      </w:r>
      <w:r w:rsidR="0098016C" w:rsidRPr="00BA55B1">
        <w:t xml:space="preserve"> only during the period in which a state disaster emergency has been declared by the governor of the state of New York </w:t>
      </w:r>
      <w:r w:rsidR="008D393F">
        <w:t>in response to the outbreak of COVID-19</w:t>
      </w:r>
      <w:r w:rsidR="0098016C" w:rsidRPr="00BA55B1">
        <w:t xml:space="preserve">, such declaration is in effect in the city and all </w:t>
      </w:r>
      <w:r w:rsidR="000A45C7" w:rsidRPr="00BA55B1">
        <w:t>food service establishment</w:t>
      </w:r>
      <w:r w:rsidR="00456842" w:rsidRPr="00BA55B1">
        <w:t>s</w:t>
      </w:r>
      <w:r w:rsidR="0098016C" w:rsidRPr="00BA55B1">
        <w:t xml:space="preserve"> in the city are prohibited from operating at the maximum indoor occupancy</w:t>
      </w:r>
      <w:r w:rsidR="00ED6D26">
        <w:t>,</w:t>
      </w:r>
      <w:r w:rsidR="0098016C" w:rsidRPr="00BA55B1">
        <w:t xml:space="preserve"> and for a period of 90 days thereafter.</w:t>
      </w:r>
      <w:proofErr w:type="gramEnd"/>
      <w:r w:rsidR="0098016C" w:rsidRPr="00BA55B1">
        <w:t xml:space="preserve"> </w:t>
      </w:r>
    </w:p>
    <w:p w14:paraId="3C6D9ED5" w14:textId="614DA2AF" w:rsidR="008F1917" w:rsidRPr="00BA55B1" w:rsidRDefault="00951AF3" w:rsidP="003526AD">
      <w:pPr>
        <w:spacing w:line="480" w:lineRule="auto"/>
        <w:jc w:val="both"/>
      </w:pPr>
      <w:proofErr w:type="spellStart"/>
      <w:r w:rsidRPr="00BA55B1">
        <w:t>i</w:t>
      </w:r>
      <w:proofErr w:type="spellEnd"/>
      <w:r w:rsidR="008F1917" w:rsidRPr="00BA55B1">
        <w:t>. The department of consumer and worker protection may promulgate such rules as are necessary to carry out the provisions of this subchapter, including</w:t>
      </w:r>
      <w:r w:rsidR="008D0FA6" w:rsidRPr="00BA55B1">
        <w:t>,</w:t>
      </w:r>
      <w:r w:rsidR="008F1917" w:rsidRPr="00BA55B1">
        <w:t xml:space="preserve"> but not limited to</w:t>
      </w:r>
      <w:r w:rsidR="008D0FA6" w:rsidRPr="00BA55B1">
        <w:t>,</w:t>
      </w:r>
      <w:r w:rsidR="008F1917" w:rsidRPr="00BA55B1">
        <w:t xml:space="preserve"> rules related to the form and manner of disclosures related to the COVID-19 </w:t>
      </w:r>
      <w:r w:rsidR="005E3D01">
        <w:t>r</w:t>
      </w:r>
      <w:r w:rsidR="008F1917" w:rsidRPr="00BA55B1">
        <w:t xml:space="preserve">ecovery </w:t>
      </w:r>
      <w:r w:rsidR="005E3D01">
        <w:t>c</w:t>
      </w:r>
      <w:r w:rsidR="008F1917" w:rsidRPr="00BA55B1">
        <w:t>harge.</w:t>
      </w:r>
    </w:p>
    <w:p w14:paraId="128CD4B9" w14:textId="3AECB4C2" w:rsidR="003526AD" w:rsidRPr="00BA55B1" w:rsidRDefault="00951AF3" w:rsidP="003526AD">
      <w:pPr>
        <w:spacing w:line="480" w:lineRule="auto"/>
        <w:jc w:val="both"/>
        <w:rPr>
          <w:bCs/>
        </w:rPr>
      </w:pPr>
      <w:r w:rsidRPr="00BA55B1">
        <w:t>j.</w:t>
      </w:r>
      <w:r w:rsidR="003526AD" w:rsidRPr="00BA55B1">
        <w:t xml:space="preserve"> Enforcement. </w:t>
      </w:r>
      <w:r w:rsidR="00EB22B4" w:rsidRPr="00BA55B1">
        <w:t xml:space="preserve">The </w:t>
      </w:r>
      <w:r w:rsidR="00EB22B4" w:rsidRPr="00BA55B1">
        <w:rPr>
          <w:bCs/>
        </w:rPr>
        <w:t>v</w:t>
      </w:r>
      <w:r w:rsidR="003526AD" w:rsidRPr="00BA55B1">
        <w:rPr>
          <w:bCs/>
        </w:rPr>
        <w:t xml:space="preserve">iolation of this subchapter, or any rule promulgated thereunder, shall be punishable by payment of a civil penalty </w:t>
      </w:r>
      <w:proofErr w:type="gramStart"/>
      <w:r w:rsidR="003526AD" w:rsidRPr="00BA55B1">
        <w:rPr>
          <w:bCs/>
        </w:rPr>
        <w:t>in the</w:t>
      </w:r>
      <w:r w:rsidR="00EB22B4" w:rsidRPr="00BA55B1">
        <w:rPr>
          <w:bCs/>
        </w:rPr>
        <w:t xml:space="preserve"> amount of</w:t>
      </w:r>
      <w:proofErr w:type="gramEnd"/>
      <w:r w:rsidR="00EB22B4" w:rsidRPr="00BA55B1">
        <w:rPr>
          <w:bCs/>
        </w:rPr>
        <w:t xml:space="preserve"> $50 to $350</w:t>
      </w:r>
      <w:r w:rsidR="003526AD" w:rsidRPr="00BA55B1">
        <w:rPr>
          <w:bCs/>
        </w:rPr>
        <w:t>.</w:t>
      </w:r>
    </w:p>
    <w:p w14:paraId="3FC97B2C" w14:textId="5FE56242" w:rsidR="003526AD" w:rsidRDefault="003526AD" w:rsidP="003526AD">
      <w:pPr>
        <w:spacing w:line="480" w:lineRule="auto"/>
        <w:jc w:val="both"/>
        <w:rPr>
          <w:color w:val="000000"/>
          <w:shd w:val="clear" w:color="auto" w:fill="FFFFFF"/>
        </w:rPr>
      </w:pPr>
      <w:r w:rsidRPr="00B74874">
        <w:t>§ 2. This local law takes effect</w:t>
      </w:r>
      <w:r w:rsidR="00DE6D98">
        <w:t xml:space="preserve"> immediately</w:t>
      </w:r>
      <w:r w:rsidR="00D73A37">
        <w:rPr>
          <w:color w:val="000000"/>
          <w:shd w:val="clear" w:color="auto" w:fill="FFFFFF"/>
        </w:rPr>
        <w:t>.</w:t>
      </w:r>
    </w:p>
    <w:p w14:paraId="516736D0" w14:textId="77777777" w:rsidR="00372965" w:rsidRDefault="00372965" w:rsidP="003526AD">
      <w:pPr>
        <w:suppressLineNumbers/>
        <w:ind w:firstLine="0"/>
        <w:jc w:val="both"/>
        <w:rPr>
          <w:sz w:val="18"/>
          <w:szCs w:val="18"/>
        </w:rPr>
      </w:pPr>
    </w:p>
    <w:p w14:paraId="1C736F7C" w14:textId="77777777" w:rsidR="00372965" w:rsidRDefault="00372965" w:rsidP="003526AD">
      <w:pPr>
        <w:suppressLineNumbers/>
        <w:ind w:firstLine="0"/>
        <w:jc w:val="both"/>
        <w:rPr>
          <w:sz w:val="18"/>
          <w:szCs w:val="18"/>
        </w:rPr>
      </w:pPr>
    </w:p>
    <w:p w14:paraId="3C540197" w14:textId="77777777" w:rsidR="00372965" w:rsidRDefault="00372965" w:rsidP="003526AD">
      <w:pPr>
        <w:suppressLineNumbers/>
        <w:ind w:firstLine="0"/>
        <w:jc w:val="both"/>
        <w:rPr>
          <w:sz w:val="18"/>
          <w:szCs w:val="18"/>
        </w:rPr>
      </w:pPr>
    </w:p>
    <w:p w14:paraId="7797762A" w14:textId="77777777" w:rsidR="00372965" w:rsidRDefault="00372965" w:rsidP="003526AD">
      <w:pPr>
        <w:suppressLineNumbers/>
        <w:ind w:firstLine="0"/>
        <w:jc w:val="both"/>
        <w:rPr>
          <w:sz w:val="18"/>
          <w:szCs w:val="18"/>
        </w:rPr>
      </w:pPr>
    </w:p>
    <w:p w14:paraId="17ABEF58" w14:textId="77777777" w:rsidR="00372965" w:rsidRDefault="00372965" w:rsidP="003526AD">
      <w:pPr>
        <w:suppressLineNumbers/>
        <w:ind w:firstLine="0"/>
        <w:jc w:val="both"/>
        <w:rPr>
          <w:sz w:val="18"/>
          <w:szCs w:val="18"/>
        </w:rPr>
      </w:pPr>
    </w:p>
    <w:p w14:paraId="69E3DE3D" w14:textId="77777777" w:rsidR="00372965" w:rsidRDefault="00372965" w:rsidP="003526AD">
      <w:pPr>
        <w:suppressLineNumbers/>
        <w:ind w:firstLine="0"/>
        <w:jc w:val="both"/>
        <w:rPr>
          <w:sz w:val="18"/>
          <w:szCs w:val="18"/>
        </w:rPr>
      </w:pPr>
    </w:p>
    <w:p w14:paraId="71EF10E8" w14:textId="77777777" w:rsidR="00372965" w:rsidRDefault="00372965" w:rsidP="003526AD">
      <w:pPr>
        <w:suppressLineNumbers/>
        <w:ind w:firstLine="0"/>
        <w:jc w:val="both"/>
        <w:rPr>
          <w:sz w:val="18"/>
          <w:szCs w:val="18"/>
        </w:rPr>
      </w:pPr>
    </w:p>
    <w:p w14:paraId="794F5F83" w14:textId="77777777" w:rsidR="00372965" w:rsidRDefault="00372965" w:rsidP="003526AD">
      <w:pPr>
        <w:suppressLineNumbers/>
        <w:ind w:firstLine="0"/>
        <w:jc w:val="both"/>
        <w:rPr>
          <w:sz w:val="18"/>
          <w:szCs w:val="18"/>
        </w:rPr>
      </w:pPr>
    </w:p>
    <w:p w14:paraId="6B60DBD0" w14:textId="77777777" w:rsidR="00372965" w:rsidRDefault="00372965" w:rsidP="003526AD">
      <w:pPr>
        <w:suppressLineNumbers/>
        <w:ind w:firstLine="0"/>
        <w:jc w:val="both"/>
        <w:rPr>
          <w:sz w:val="18"/>
          <w:szCs w:val="18"/>
        </w:rPr>
      </w:pPr>
    </w:p>
    <w:p w14:paraId="6BD7C16B" w14:textId="77777777" w:rsidR="00372965" w:rsidRDefault="00372965" w:rsidP="003526AD">
      <w:pPr>
        <w:suppressLineNumbers/>
        <w:ind w:firstLine="0"/>
        <w:jc w:val="both"/>
        <w:rPr>
          <w:sz w:val="18"/>
          <w:szCs w:val="18"/>
        </w:rPr>
      </w:pPr>
    </w:p>
    <w:p w14:paraId="2AE74247" w14:textId="77777777" w:rsidR="00372965" w:rsidRDefault="00372965" w:rsidP="003526AD">
      <w:pPr>
        <w:suppressLineNumbers/>
        <w:ind w:firstLine="0"/>
        <w:jc w:val="both"/>
        <w:rPr>
          <w:sz w:val="18"/>
          <w:szCs w:val="18"/>
        </w:rPr>
      </w:pPr>
    </w:p>
    <w:p w14:paraId="6F4221F7" w14:textId="1A64DFB7" w:rsidR="003526AD" w:rsidRPr="00B74874" w:rsidRDefault="003526AD" w:rsidP="003526AD">
      <w:pPr>
        <w:suppressLineNumbers/>
        <w:ind w:firstLine="0"/>
        <w:jc w:val="both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adw</w:t>
      </w:r>
      <w:proofErr w:type="spellEnd"/>
      <w:r w:rsidR="00DE6D98">
        <w:rPr>
          <w:sz w:val="18"/>
          <w:szCs w:val="18"/>
        </w:rPr>
        <w:t>/RC</w:t>
      </w:r>
      <w:r w:rsidR="008D393F">
        <w:rPr>
          <w:sz w:val="18"/>
          <w:szCs w:val="18"/>
        </w:rPr>
        <w:t>/BAM</w:t>
      </w:r>
      <w:proofErr w:type="gramEnd"/>
    </w:p>
    <w:p w14:paraId="571E0368" w14:textId="77777777" w:rsidR="003526AD" w:rsidRDefault="003526AD" w:rsidP="003526AD">
      <w:pPr>
        <w:suppressLineNumbers/>
        <w:ind w:firstLine="0"/>
        <w:jc w:val="both"/>
        <w:rPr>
          <w:sz w:val="18"/>
          <w:szCs w:val="18"/>
        </w:rPr>
      </w:pPr>
      <w:r w:rsidRPr="00B74874">
        <w:rPr>
          <w:sz w:val="18"/>
          <w:szCs w:val="18"/>
        </w:rPr>
        <w:t>LS #7231</w:t>
      </w:r>
      <w:r>
        <w:rPr>
          <w:sz w:val="18"/>
          <w:szCs w:val="18"/>
        </w:rPr>
        <w:t>/Int. No. 1139-A</w:t>
      </w:r>
    </w:p>
    <w:p w14:paraId="35757E3B" w14:textId="77777777" w:rsidR="003526AD" w:rsidRDefault="003526AD" w:rsidP="003526AD">
      <w:pPr>
        <w:suppressLineNumber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LS#919</w:t>
      </w:r>
    </w:p>
    <w:p w14:paraId="60514EF5" w14:textId="5D3B2450" w:rsidR="00B55763" w:rsidRDefault="00DE6D98" w:rsidP="00BA55B1">
      <w:pPr>
        <w:ind w:firstLine="0"/>
      </w:pPr>
      <w:r>
        <w:rPr>
          <w:sz w:val="18"/>
          <w:szCs w:val="18"/>
        </w:rPr>
        <w:t>9</w:t>
      </w:r>
      <w:r w:rsidR="005E3D01">
        <w:rPr>
          <w:sz w:val="18"/>
          <w:szCs w:val="18"/>
        </w:rPr>
        <w:t>/</w:t>
      </w:r>
      <w:r w:rsidR="008D393F">
        <w:rPr>
          <w:sz w:val="18"/>
          <w:szCs w:val="18"/>
        </w:rPr>
        <w:t>8</w:t>
      </w:r>
      <w:r w:rsidR="005E3D01">
        <w:rPr>
          <w:sz w:val="18"/>
          <w:szCs w:val="18"/>
        </w:rPr>
        <w:t>/</w:t>
      </w:r>
      <w:r w:rsidR="008D393F">
        <w:rPr>
          <w:sz w:val="18"/>
          <w:szCs w:val="18"/>
        </w:rPr>
        <w:t>2020</w:t>
      </w:r>
    </w:p>
    <w:sectPr w:rsidR="00B55763" w:rsidSect="00B74874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5D0B" w16cex:dateUtc="2020-09-03T16:16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EC8E2" w14:textId="77777777" w:rsidR="00117F52" w:rsidRDefault="00117F52">
      <w:r>
        <w:separator/>
      </w:r>
    </w:p>
  </w:endnote>
  <w:endnote w:type="continuationSeparator" w:id="0">
    <w:p w14:paraId="70C59A92" w14:textId="77777777" w:rsidR="00117F52" w:rsidRDefault="0011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6779A" w14:textId="58662D95" w:rsidR="00B74874" w:rsidRDefault="003526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C52">
      <w:rPr>
        <w:noProof/>
      </w:rPr>
      <w:t>3</w:t>
    </w:r>
    <w:r>
      <w:rPr>
        <w:noProof/>
      </w:rPr>
      <w:fldChar w:fldCharType="end"/>
    </w:r>
  </w:p>
  <w:p w14:paraId="4126FE86" w14:textId="77777777" w:rsidR="00B74874" w:rsidRDefault="00102C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AD5B" w14:textId="77777777" w:rsidR="00B74874" w:rsidRDefault="003526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9585D2A" w14:textId="77777777" w:rsidR="00B74874" w:rsidRDefault="00102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6EF5B" w14:textId="77777777" w:rsidR="00117F52" w:rsidRDefault="00117F52">
      <w:r>
        <w:separator/>
      </w:r>
    </w:p>
  </w:footnote>
  <w:footnote w:type="continuationSeparator" w:id="0">
    <w:p w14:paraId="43AE736F" w14:textId="77777777" w:rsidR="00117F52" w:rsidRDefault="00117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AD"/>
    <w:rsid w:val="00063C91"/>
    <w:rsid w:val="000675BB"/>
    <w:rsid w:val="00076273"/>
    <w:rsid w:val="000809B7"/>
    <w:rsid w:val="0008207D"/>
    <w:rsid w:val="000A37C2"/>
    <w:rsid w:val="000A45C7"/>
    <w:rsid w:val="000F1083"/>
    <w:rsid w:val="000F533B"/>
    <w:rsid w:val="00102C52"/>
    <w:rsid w:val="001110FD"/>
    <w:rsid w:val="00117F52"/>
    <w:rsid w:val="00127D14"/>
    <w:rsid w:val="0016511A"/>
    <w:rsid w:val="00165208"/>
    <w:rsid w:val="00174FD7"/>
    <w:rsid w:val="00194D00"/>
    <w:rsid w:val="001A3BB6"/>
    <w:rsid w:val="001C53A4"/>
    <w:rsid w:val="002019C6"/>
    <w:rsid w:val="002019FB"/>
    <w:rsid w:val="00211C6C"/>
    <w:rsid w:val="002570C6"/>
    <w:rsid w:val="002655A4"/>
    <w:rsid w:val="002D7E0F"/>
    <w:rsid w:val="003515FA"/>
    <w:rsid w:val="00352458"/>
    <w:rsid w:val="003526AD"/>
    <w:rsid w:val="00372965"/>
    <w:rsid w:val="00373BC6"/>
    <w:rsid w:val="003C145C"/>
    <w:rsid w:val="003F0EEE"/>
    <w:rsid w:val="00456842"/>
    <w:rsid w:val="00487DE0"/>
    <w:rsid w:val="004A2BB3"/>
    <w:rsid w:val="004A3A54"/>
    <w:rsid w:val="004D78F9"/>
    <w:rsid w:val="00526C9C"/>
    <w:rsid w:val="00526EB6"/>
    <w:rsid w:val="00540418"/>
    <w:rsid w:val="00541644"/>
    <w:rsid w:val="00562B27"/>
    <w:rsid w:val="00572788"/>
    <w:rsid w:val="005C6230"/>
    <w:rsid w:val="005E3D01"/>
    <w:rsid w:val="00625662"/>
    <w:rsid w:val="006413E1"/>
    <w:rsid w:val="00643BE9"/>
    <w:rsid w:val="00671B82"/>
    <w:rsid w:val="00690F58"/>
    <w:rsid w:val="007377FB"/>
    <w:rsid w:val="00796F7B"/>
    <w:rsid w:val="00797018"/>
    <w:rsid w:val="007D0EDC"/>
    <w:rsid w:val="007E1638"/>
    <w:rsid w:val="008067D0"/>
    <w:rsid w:val="00812D25"/>
    <w:rsid w:val="00812D67"/>
    <w:rsid w:val="0084545D"/>
    <w:rsid w:val="0088397C"/>
    <w:rsid w:val="00886EAE"/>
    <w:rsid w:val="00894DB7"/>
    <w:rsid w:val="008A59A5"/>
    <w:rsid w:val="008C1BB8"/>
    <w:rsid w:val="008D0FA6"/>
    <w:rsid w:val="008D393F"/>
    <w:rsid w:val="008F1917"/>
    <w:rsid w:val="009400F1"/>
    <w:rsid w:val="00951AF3"/>
    <w:rsid w:val="0098016C"/>
    <w:rsid w:val="0098741D"/>
    <w:rsid w:val="00992A69"/>
    <w:rsid w:val="009A641C"/>
    <w:rsid w:val="009F7194"/>
    <w:rsid w:val="00A1780E"/>
    <w:rsid w:val="00A3697D"/>
    <w:rsid w:val="00A43741"/>
    <w:rsid w:val="00A463D3"/>
    <w:rsid w:val="00A5426D"/>
    <w:rsid w:val="00A558FA"/>
    <w:rsid w:val="00A564CA"/>
    <w:rsid w:val="00A73976"/>
    <w:rsid w:val="00A94561"/>
    <w:rsid w:val="00AF4C37"/>
    <w:rsid w:val="00AF53F7"/>
    <w:rsid w:val="00B160A1"/>
    <w:rsid w:val="00B16C3C"/>
    <w:rsid w:val="00B2467E"/>
    <w:rsid w:val="00B55763"/>
    <w:rsid w:val="00B57FB8"/>
    <w:rsid w:val="00BA55B1"/>
    <w:rsid w:val="00BD47A2"/>
    <w:rsid w:val="00C047A9"/>
    <w:rsid w:val="00C17940"/>
    <w:rsid w:val="00C25E57"/>
    <w:rsid w:val="00C43812"/>
    <w:rsid w:val="00C558D4"/>
    <w:rsid w:val="00CA1147"/>
    <w:rsid w:val="00CC60DD"/>
    <w:rsid w:val="00CF3415"/>
    <w:rsid w:val="00CF346F"/>
    <w:rsid w:val="00D34DB9"/>
    <w:rsid w:val="00D36620"/>
    <w:rsid w:val="00D73A37"/>
    <w:rsid w:val="00D751A6"/>
    <w:rsid w:val="00DD0B81"/>
    <w:rsid w:val="00DE6D98"/>
    <w:rsid w:val="00DE7E45"/>
    <w:rsid w:val="00E06DD6"/>
    <w:rsid w:val="00E24CCA"/>
    <w:rsid w:val="00E31561"/>
    <w:rsid w:val="00E61492"/>
    <w:rsid w:val="00E83C00"/>
    <w:rsid w:val="00E86C85"/>
    <w:rsid w:val="00EB22B4"/>
    <w:rsid w:val="00EC2AA1"/>
    <w:rsid w:val="00EC5C40"/>
    <w:rsid w:val="00ED298A"/>
    <w:rsid w:val="00ED6D26"/>
    <w:rsid w:val="00F47768"/>
    <w:rsid w:val="00FB39FC"/>
    <w:rsid w:val="00FB6895"/>
    <w:rsid w:val="00FE4D16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9FE27"/>
  <w15:docId w15:val="{63F30AEC-1BE5-46FF-8BD0-83F659CF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6AD"/>
    <w:pPr>
      <w:ind w:firstLine="72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2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6A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3526AD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526AD"/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352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6AD"/>
    <w:pPr>
      <w:spacing w:after="200"/>
      <w:ind w:firstLine="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6A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AD"/>
    <w:rPr>
      <w:rFonts w:ascii="Lucida Grande" w:eastAsia="Times New Roman" w:hAnsi="Lucida Grande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5FA"/>
    <w:pPr>
      <w:spacing w:after="0"/>
      <w:ind w:firstLine="72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5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662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8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D550-6E85-4078-8ED9-134914FC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Cordero</dc:creator>
  <cp:keywords/>
  <dc:description/>
  <cp:lastModifiedBy>DelFranco, Ruthie</cp:lastModifiedBy>
  <cp:revision>2</cp:revision>
  <dcterms:created xsi:type="dcterms:W3CDTF">2020-10-22T15:04:00Z</dcterms:created>
  <dcterms:modified xsi:type="dcterms:W3CDTF">2020-10-22T15:04:00Z</dcterms:modified>
</cp:coreProperties>
</file>