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E384" w14:textId="77777777" w:rsidR="00567D6C" w:rsidRDefault="00567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75" w:type="dxa"/>
        <w:jc w:val="center"/>
        <w:tblLayout w:type="fixed"/>
        <w:tblLook w:val="0600" w:firstRow="0" w:lastRow="0" w:firstColumn="0" w:lastColumn="0" w:noHBand="1" w:noVBand="1"/>
      </w:tblPr>
      <w:tblGrid>
        <w:gridCol w:w="5760"/>
        <w:gridCol w:w="5115"/>
      </w:tblGrid>
      <w:tr w:rsidR="00567D6C" w14:paraId="048048D5" w14:textId="77777777" w:rsidTr="512BDC17">
        <w:trPr>
          <w:jc w:val="center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14:paraId="24AA386A" w14:textId="77777777" w:rsidR="00567D6C" w:rsidRDefault="002636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0F4988AF" wp14:editId="130D60AB">
                  <wp:extent cx="1362075" cy="1371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tcBorders>
              <w:bottom w:val="single" w:sz="4" w:space="0" w:color="000000" w:themeColor="text1"/>
            </w:tcBorders>
          </w:tcPr>
          <w:p w14:paraId="3142FED8" w14:textId="77777777" w:rsidR="00567D6C" w:rsidRDefault="0026365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The Council of the City of New York</w:t>
            </w:r>
          </w:p>
          <w:p w14:paraId="7237711E" w14:textId="77777777" w:rsidR="00567D6C" w:rsidRDefault="0026365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Finance Division</w:t>
            </w:r>
          </w:p>
          <w:p w14:paraId="53FB8522" w14:textId="77777777" w:rsidR="00567D6C" w:rsidRDefault="00263651">
            <w:pPr>
              <w:spacing w:before="12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Latonia Mckinney, Director</w:t>
            </w:r>
          </w:p>
          <w:p w14:paraId="732F3F4B" w14:textId="77777777" w:rsidR="00567D6C" w:rsidRDefault="00263651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Impact Statement</w:t>
            </w:r>
          </w:p>
          <w:p w14:paraId="769C0732" w14:textId="08C92845" w:rsidR="00567D6C" w:rsidRDefault="00263651" w:rsidP="5DDD319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5DDD319C">
              <w:rPr>
                <w:b/>
                <w:bCs/>
                <w:smallCaps/>
                <w:sz w:val="22"/>
                <w:szCs w:val="22"/>
              </w:rPr>
              <w:t>Proposed Intro. No</w:t>
            </w:r>
            <w:r w:rsidRPr="5DDD319C">
              <w:rPr>
                <w:b/>
                <w:bCs/>
                <w:sz w:val="22"/>
                <w:szCs w:val="22"/>
              </w:rPr>
              <w:t>:  1</w:t>
            </w:r>
            <w:r w:rsidR="722D4921" w:rsidRPr="5DDD319C">
              <w:rPr>
                <w:b/>
                <w:bCs/>
                <w:sz w:val="22"/>
                <w:szCs w:val="22"/>
              </w:rPr>
              <w:t>584</w:t>
            </w:r>
            <w:r w:rsidRPr="5DDD319C">
              <w:rPr>
                <w:b/>
                <w:bCs/>
                <w:sz w:val="22"/>
                <w:szCs w:val="22"/>
              </w:rPr>
              <w:t>-A</w:t>
            </w:r>
          </w:p>
          <w:p w14:paraId="5ACCF92E" w14:textId="77777777" w:rsidR="00567D6C" w:rsidRDefault="00263651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t>Transportation</w:t>
            </w:r>
          </w:p>
        </w:tc>
      </w:tr>
      <w:tr w:rsidR="00567D6C" w14:paraId="56D45EF0" w14:textId="77777777" w:rsidTr="512BDC17">
        <w:trPr>
          <w:jc w:val="center"/>
        </w:trPr>
        <w:tc>
          <w:tcPr>
            <w:tcW w:w="5760" w:type="dxa"/>
            <w:tcBorders>
              <w:top w:val="single" w:sz="4" w:space="0" w:color="000000" w:themeColor="text1"/>
            </w:tcBorders>
          </w:tcPr>
          <w:p w14:paraId="4876D52A" w14:textId="30B03DC6" w:rsidR="00567D6C" w:rsidRDefault="00263651" w:rsidP="5DDD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5DDD319C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Title:</w:t>
            </w:r>
            <w:r w:rsidRPr="5DDD319C">
              <w:rPr>
                <w:color w:val="000000" w:themeColor="text1"/>
                <w:sz w:val="22"/>
                <w:szCs w:val="22"/>
              </w:rPr>
              <w:t xml:space="preserve"> A Local Law to amend the administrative code of the city of New York, in relation to</w:t>
            </w:r>
            <w:r w:rsidR="3428CCA9" w:rsidRPr="5DDD319C">
              <w:rPr>
                <w:color w:val="000000" w:themeColor="text1"/>
                <w:sz w:val="22"/>
                <w:szCs w:val="22"/>
              </w:rPr>
              <w:t xml:space="preserve"> requiring annual financial disclosure from each person who has any interest in any taxicab license</w:t>
            </w:r>
          </w:p>
        </w:tc>
        <w:tc>
          <w:tcPr>
            <w:tcW w:w="5115" w:type="dxa"/>
            <w:tcBorders>
              <w:top w:val="single" w:sz="4" w:space="0" w:color="000000" w:themeColor="text1"/>
            </w:tcBorders>
          </w:tcPr>
          <w:p w14:paraId="11DC9888" w14:textId="1E02E1CF" w:rsidR="00567D6C" w:rsidRDefault="00263651" w:rsidP="5DDD319C">
            <w:pPr>
              <w:widowControl w:val="0"/>
              <w:rPr>
                <w:sz w:val="22"/>
                <w:szCs w:val="22"/>
              </w:rPr>
            </w:pPr>
            <w:r w:rsidRPr="512BDC17">
              <w:rPr>
                <w:b/>
                <w:bCs/>
                <w:smallCaps/>
                <w:sz w:val="22"/>
                <w:szCs w:val="22"/>
              </w:rPr>
              <w:t>Sponsors</w:t>
            </w:r>
            <w:r w:rsidRPr="512BDC17">
              <w:rPr>
                <w:b/>
                <w:bCs/>
                <w:sz w:val="22"/>
                <w:szCs w:val="22"/>
              </w:rPr>
              <w:t xml:space="preserve">: </w:t>
            </w:r>
            <w:r w:rsidRPr="512BDC17">
              <w:rPr>
                <w:sz w:val="22"/>
                <w:szCs w:val="22"/>
              </w:rPr>
              <w:t>Council Member</w:t>
            </w:r>
            <w:r w:rsidR="006D5BFC" w:rsidRPr="512BDC17">
              <w:rPr>
                <w:sz w:val="22"/>
                <w:szCs w:val="22"/>
              </w:rPr>
              <w:t>s</w:t>
            </w:r>
            <w:r w:rsidRPr="512BDC17">
              <w:rPr>
                <w:sz w:val="22"/>
                <w:szCs w:val="22"/>
              </w:rPr>
              <w:t xml:space="preserve"> </w:t>
            </w:r>
            <w:r w:rsidR="5D61E467" w:rsidRPr="512BDC17">
              <w:rPr>
                <w:sz w:val="22"/>
                <w:szCs w:val="22"/>
              </w:rPr>
              <w:t xml:space="preserve">Adams, </w:t>
            </w:r>
            <w:r w:rsidR="5D61E467" w:rsidRPr="512BDC17">
              <w:rPr>
                <w:color w:val="000000" w:themeColor="text1"/>
                <w:sz w:val="22"/>
                <w:szCs w:val="22"/>
              </w:rPr>
              <w:t>Torres, Rodriguez, the Speaker (Council Member Johnson)</w:t>
            </w:r>
            <w:r w:rsidR="007B471F" w:rsidRPr="512BDC17">
              <w:rPr>
                <w:color w:val="000000" w:themeColor="text1"/>
                <w:sz w:val="22"/>
                <w:szCs w:val="22"/>
              </w:rPr>
              <w:t>,</w:t>
            </w:r>
            <w:r w:rsidR="5D61E467" w:rsidRPr="512BDC17">
              <w:rPr>
                <w:color w:val="000000" w:themeColor="text1"/>
                <w:sz w:val="22"/>
                <w:szCs w:val="22"/>
              </w:rPr>
              <w:t xml:space="preserve"> Louis</w:t>
            </w:r>
            <w:r w:rsidR="007B471F" w:rsidRPr="512BDC17">
              <w:rPr>
                <w:color w:val="000000" w:themeColor="text1"/>
                <w:sz w:val="22"/>
                <w:szCs w:val="22"/>
              </w:rPr>
              <w:t xml:space="preserve"> and Rosenthal</w:t>
            </w:r>
          </w:p>
        </w:tc>
      </w:tr>
    </w:tbl>
    <w:p w14:paraId="554B2F4F" w14:textId="05FF3105" w:rsidR="00263651" w:rsidRDefault="00263651" w:rsidP="5DDD319C">
      <w:pPr>
        <w:spacing w:before="120"/>
        <w:rPr>
          <w:sz w:val="22"/>
          <w:szCs w:val="22"/>
        </w:rPr>
      </w:pPr>
      <w:r w:rsidRPr="512BDC17">
        <w:rPr>
          <w:b/>
          <w:bCs/>
          <w:smallCaps/>
          <w:sz w:val="22"/>
          <w:szCs w:val="22"/>
        </w:rPr>
        <w:t>Summary of Legislation:</w:t>
      </w:r>
      <w:r w:rsidRPr="512BDC17">
        <w:rPr>
          <w:sz w:val="22"/>
          <w:szCs w:val="22"/>
        </w:rPr>
        <w:t xml:space="preserve">  Proposed Intro. No. 1</w:t>
      </w:r>
      <w:r w:rsidR="3B14B0D1" w:rsidRPr="512BDC17">
        <w:rPr>
          <w:sz w:val="22"/>
          <w:szCs w:val="22"/>
        </w:rPr>
        <w:t>584</w:t>
      </w:r>
      <w:r w:rsidRPr="512BDC17">
        <w:rPr>
          <w:sz w:val="22"/>
          <w:szCs w:val="22"/>
        </w:rPr>
        <w:t xml:space="preserve">-A would </w:t>
      </w:r>
      <w:r w:rsidR="236998A4" w:rsidRPr="512BDC17">
        <w:rPr>
          <w:color w:val="000000" w:themeColor="text1"/>
          <w:sz w:val="22"/>
          <w:szCs w:val="22"/>
        </w:rPr>
        <w:t>require any person who has any interest in a taxicab license to make annual financial disclosures to the Taxi and Limousine Commission</w:t>
      </w:r>
      <w:r w:rsidR="00B6346E" w:rsidRPr="512BDC17">
        <w:rPr>
          <w:color w:val="000000" w:themeColor="text1"/>
          <w:sz w:val="22"/>
          <w:szCs w:val="22"/>
        </w:rPr>
        <w:t xml:space="preserve"> (TLC or Commission)</w:t>
      </w:r>
      <w:r w:rsidR="236998A4" w:rsidRPr="512BDC17">
        <w:rPr>
          <w:color w:val="000000" w:themeColor="text1"/>
          <w:sz w:val="22"/>
          <w:szCs w:val="22"/>
        </w:rPr>
        <w:t>, which would include information about income from and expenses related to each taxicab license, any loans secured by a taxicab license</w:t>
      </w:r>
      <w:r w:rsidR="33751B3F" w:rsidRPr="512BDC17">
        <w:rPr>
          <w:color w:val="000000" w:themeColor="text1"/>
          <w:sz w:val="22"/>
          <w:szCs w:val="22"/>
        </w:rPr>
        <w:t>, any other interests the person filing the disclosure has in any taxi, livery, or for-hire vehicle business, and any other information the Commission determines is relevant to such a person's finances.</w:t>
      </w:r>
    </w:p>
    <w:p w14:paraId="13F70ED2" w14:textId="33ED0E3A" w:rsidR="5DDD319C" w:rsidRDefault="5DDD319C" w:rsidP="5DDD319C">
      <w:pPr>
        <w:spacing w:before="120"/>
        <w:rPr>
          <w:color w:val="000000" w:themeColor="text1"/>
          <w:sz w:val="22"/>
          <w:szCs w:val="22"/>
        </w:rPr>
      </w:pPr>
    </w:p>
    <w:p w14:paraId="0BB53E54" w14:textId="7A42B846" w:rsidR="00263651" w:rsidRDefault="00263651" w:rsidP="1D5E13E5">
      <w:pPr>
        <w:spacing w:line="259" w:lineRule="auto"/>
        <w:rPr>
          <w:sz w:val="22"/>
          <w:szCs w:val="22"/>
        </w:rPr>
      </w:pPr>
      <w:r w:rsidRPr="512BDC17">
        <w:rPr>
          <w:b/>
          <w:bCs/>
          <w:smallCaps/>
          <w:color w:val="000000" w:themeColor="text1"/>
          <w:sz w:val="22"/>
          <w:szCs w:val="22"/>
        </w:rPr>
        <w:t>Effective Date:</w:t>
      </w:r>
      <w:r w:rsidRPr="512BDC17">
        <w:rPr>
          <w:color w:val="000000" w:themeColor="text1"/>
          <w:sz w:val="22"/>
          <w:szCs w:val="22"/>
        </w:rPr>
        <w:t xml:space="preserve"> This local law would take effect </w:t>
      </w:r>
      <w:r w:rsidR="6E312A5E" w:rsidRPr="512BDC17">
        <w:rPr>
          <w:sz w:val="22"/>
          <w:szCs w:val="22"/>
        </w:rPr>
        <w:t xml:space="preserve">120 days after </w:t>
      </w:r>
      <w:r w:rsidR="00DA6FBF" w:rsidRPr="512BDC17">
        <w:rPr>
          <w:sz w:val="22"/>
          <w:szCs w:val="22"/>
        </w:rPr>
        <w:t xml:space="preserve">it </w:t>
      </w:r>
      <w:r w:rsidR="6E312A5E" w:rsidRPr="512BDC17">
        <w:rPr>
          <w:sz w:val="22"/>
          <w:szCs w:val="22"/>
        </w:rPr>
        <w:t>becom</w:t>
      </w:r>
      <w:r w:rsidR="00DA6FBF" w:rsidRPr="512BDC17">
        <w:rPr>
          <w:sz w:val="22"/>
          <w:szCs w:val="22"/>
        </w:rPr>
        <w:t>es</w:t>
      </w:r>
      <w:r w:rsidR="6E312A5E" w:rsidRPr="512BDC17">
        <w:rPr>
          <w:sz w:val="22"/>
          <w:szCs w:val="22"/>
        </w:rPr>
        <w:t xml:space="preserve"> law, except that </w:t>
      </w:r>
      <w:r w:rsidR="00B6346E" w:rsidRPr="512BDC17">
        <w:rPr>
          <w:sz w:val="22"/>
          <w:szCs w:val="22"/>
        </w:rPr>
        <w:t>TLC</w:t>
      </w:r>
      <w:r w:rsidR="6E312A5E" w:rsidRPr="512BDC17">
        <w:rPr>
          <w:sz w:val="22"/>
          <w:szCs w:val="22"/>
        </w:rPr>
        <w:t xml:space="preserve"> shall take all necessary action, including the promulgation of rules, prior to such effective date.</w:t>
      </w:r>
    </w:p>
    <w:p w14:paraId="1B768883" w14:textId="1F6F33F7" w:rsidR="5DDD319C" w:rsidRDefault="5DDD319C" w:rsidP="5DDD319C">
      <w:pPr>
        <w:spacing w:line="259" w:lineRule="auto"/>
        <w:rPr>
          <w:sz w:val="22"/>
          <w:szCs w:val="22"/>
        </w:rPr>
      </w:pPr>
    </w:p>
    <w:p w14:paraId="743E16AE" w14:textId="09FC57F4" w:rsidR="00567D6C" w:rsidRDefault="00263651" w:rsidP="5DDD319C">
      <w:pPr>
        <w:rPr>
          <w:smallCaps/>
          <w:sz w:val="22"/>
          <w:szCs w:val="22"/>
        </w:rPr>
      </w:pPr>
      <w:r w:rsidRPr="5DDD319C">
        <w:rPr>
          <w:b/>
          <w:bCs/>
          <w:smallCaps/>
          <w:sz w:val="22"/>
          <w:szCs w:val="22"/>
        </w:rPr>
        <w:t xml:space="preserve">Fiscal Year In Which Full Fiscal Impact Anticipated: </w:t>
      </w:r>
      <w:r w:rsidRPr="5DDD319C">
        <w:rPr>
          <w:smallCaps/>
          <w:sz w:val="22"/>
          <w:szCs w:val="22"/>
        </w:rPr>
        <w:t>F</w:t>
      </w:r>
      <w:r w:rsidRPr="5DDD319C">
        <w:rPr>
          <w:sz w:val="22"/>
          <w:szCs w:val="22"/>
        </w:rPr>
        <w:t xml:space="preserve">iscal </w:t>
      </w:r>
      <w:r w:rsidRPr="5DDD319C">
        <w:rPr>
          <w:smallCaps/>
          <w:sz w:val="22"/>
          <w:szCs w:val="22"/>
        </w:rPr>
        <w:t>202</w:t>
      </w:r>
      <w:r w:rsidR="305102D6" w:rsidRPr="5DDD319C">
        <w:rPr>
          <w:smallCaps/>
          <w:sz w:val="22"/>
          <w:szCs w:val="22"/>
        </w:rPr>
        <w:t>2</w:t>
      </w:r>
    </w:p>
    <w:p w14:paraId="0CF90F8B" w14:textId="77777777" w:rsidR="00567D6C" w:rsidRDefault="00263651">
      <w:pPr>
        <w:pBdr>
          <w:top w:val="single" w:sz="4" w:space="1" w:color="000000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tbl>
      <w:tblPr>
        <w:tblStyle w:val="a0"/>
        <w:tblW w:w="6954" w:type="dxa"/>
        <w:jc w:val="center"/>
        <w:tblLayout w:type="fixed"/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567D6C" w14:paraId="175FEE56" w14:textId="77777777" w:rsidTr="626C1F8B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9D60490" w14:textId="77777777" w:rsidR="00567D6C" w:rsidRDefault="00567D6C">
            <w:pPr>
              <w:spacing w:line="201" w:lineRule="auto"/>
              <w:jc w:val="center"/>
              <w:rPr>
                <w:sz w:val="20"/>
                <w:szCs w:val="20"/>
              </w:rPr>
            </w:pPr>
          </w:p>
          <w:p w14:paraId="3279E394" w14:textId="77777777" w:rsidR="00567D6C" w:rsidRDefault="00567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91C6163" w14:textId="0116BA19" w:rsidR="00567D6C" w:rsidRDefault="00263651" w:rsidP="33EAD8A0">
            <w:pPr>
              <w:jc w:val="center"/>
              <w:rPr>
                <w:b/>
                <w:bCs/>
                <w:sz w:val="20"/>
                <w:szCs w:val="20"/>
              </w:rPr>
            </w:pPr>
            <w:r w:rsidRPr="33EAD8A0">
              <w:rPr>
                <w:b/>
                <w:bCs/>
                <w:sz w:val="20"/>
                <w:szCs w:val="20"/>
              </w:rPr>
              <w:t>Effective FY2</w:t>
            </w:r>
            <w:r w:rsidR="297A6619" w:rsidRPr="33EAD8A0">
              <w:rPr>
                <w:b/>
                <w:bCs/>
                <w:sz w:val="20"/>
                <w:szCs w:val="20"/>
              </w:rPr>
              <w:t>1</w:t>
            </w:r>
          </w:p>
          <w:p w14:paraId="20D0C46B" w14:textId="77777777" w:rsidR="00567D6C" w:rsidRDefault="00567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40C1238" w14:textId="04E6B8DC" w:rsidR="00567D6C" w:rsidRDefault="00263651" w:rsidP="33EAD8A0">
            <w:pPr>
              <w:jc w:val="center"/>
              <w:rPr>
                <w:b/>
                <w:bCs/>
                <w:sz w:val="20"/>
                <w:szCs w:val="20"/>
              </w:rPr>
            </w:pPr>
            <w:r w:rsidRPr="33EAD8A0">
              <w:rPr>
                <w:b/>
                <w:bCs/>
                <w:sz w:val="20"/>
                <w:szCs w:val="20"/>
              </w:rPr>
              <w:t>FY Succeeding Effective FY2</w:t>
            </w:r>
            <w:r w:rsidR="43F2A103" w:rsidRPr="33EAD8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5E239D8C" w14:textId="73A248B0" w:rsidR="00567D6C" w:rsidRDefault="00263651" w:rsidP="626C1F8B">
            <w:pPr>
              <w:jc w:val="center"/>
              <w:rPr>
                <w:b/>
                <w:bCs/>
                <w:sz w:val="20"/>
                <w:szCs w:val="20"/>
              </w:rPr>
            </w:pPr>
            <w:r w:rsidRPr="626C1F8B">
              <w:rPr>
                <w:b/>
                <w:bCs/>
                <w:sz w:val="20"/>
                <w:szCs w:val="20"/>
              </w:rPr>
              <w:t>Full Fiscal Impact FY2</w:t>
            </w:r>
            <w:r w:rsidR="00770C14" w:rsidRPr="626C1F8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67D6C" w14:paraId="53496CB1" w14:textId="77777777" w:rsidTr="626C1F8B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564710FD" w14:textId="77777777" w:rsidR="00567D6C" w:rsidRDefault="00263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F639924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AF6F51D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5F2616E6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567D6C" w14:paraId="7E61B1DE" w14:textId="77777777" w:rsidTr="626C1F8B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2DB94CC" w14:textId="77777777" w:rsidR="00567D6C" w:rsidRDefault="00263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CE82F6C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2702FDA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54E8B482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567D6C" w14:paraId="1C8A4F22" w14:textId="77777777" w:rsidTr="626C1F8B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04F19F44" w14:textId="77777777" w:rsidR="00567D6C" w:rsidRDefault="00263651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4477B2DE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3F15CD35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26E4CEF" w14:textId="77777777" w:rsidR="00567D6C" w:rsidRDefault="0026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</w:tbl>
    <w:p w14:paraId="010A8AD2" w14:textId="77777777" w:rsidR="00567D6C" w:rsidRDefault="00263651">
      <w:pPr>
        <w:spacing w:before="120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Impact on Revenues: </w:t>
      </w:r>
      <w:r>
        <w:rPr>
          <w:sz w:val="22"/>
          <w:szCs w:val="22"/>
        </w:rPr>
        <w:t>It is estimated that this legislation would have no impact on revenues.</w:t>
      </w:r>
    </w:p>
    <w:p w14:paraId="0C7C4800" w14:textId="77777777" w:rsidR="00567D6C" w:rsidRDefault="00567D6C">
      <w:pPr>
        <w:rPr>
          <w:b/>
          <w:smallCaps/>
          <w:sz w:val="22"/>
          <w:szCs w:val="22"/>
        </w:rPr>
      </w:pPr>
    </w:p>
    <w:p w14:paraId="16E2D3D6" w14:textId="72B30177" w:rsidR="00567D6C" w:rsidRDefault="00263651">
      <w:pPr>
        <w:rPr>
          <w:sz w:val="22"/>
          <w:szCs w:val="22"/>
        </w:rPr>
      </w:pPr>
      <w:r w:rsidRPr="5DDD319C">
        <w:rPr>
          <w:b/>
          <w:bCs/>
          <w:smallCaps/>
          <w:sz w:val="22"/>
          <w:szCs w:val="22"/>
        </w:rPr>
        <w:t>Impact on Expenditures:</w:t>
      </w:r>
      <w:r w:rsidRPr="5DDD319C">
        <w:rPr>
          <w:sz w:val="22"/>
          <w:szCs w:val="22"/>
        </w:rPr>
        <w:t xml:space="preserve"> It is estimated that this legislation would have no impact on expenditures because the relevant City </w:t>
      </w:r>
      <w:r w:rsidR="355C1D3A" w:rsidRPr="5DDD319C">
        <w:rPr>
          <w:sz w:val="22"/>
          <w:szCs w:val="22"/>
        </w:rPr>
        <w:t xml:space="preserve">agency </w:t>
      </w:r>
      <w:r w:rsidRPr="5DDD319C">
        <w:rPr>
          <w:sz w:val="22"/>
          <w:szCs w:val="22"/>
        </w:rPr>
        <w:t>would utilize existing resources to fulfill its requirements.</w:t>
      </w:r>
    </w:p>
    <w:p w14:paraId="16E581B0" w14:textId="77777777" w:rsidR="00567D6C" w:rsidRDefault="00263651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Source of Funds to Cover Estimated Costs:</w:t>
      </w:r>
      <w:r>
        <w:rPr>
          <w:sz w:val="22"/>
          <w:szCs w:val="22"/>
        </w:rPr>
        <w:t xml:space="preserve"> N/A</w:t>
      </w:r>
    </w:p>
    <w:p w14:paraId="7DACFCF6" w14:textId="77777777" w:rsidR="00567D6C" w:rsidRDefault="00263651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Source of Information: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New York City Council Finance Division</w:t>
      </w:r>
    </w:p>
    <w:p w14:paraId="70715E84" w14:textId="231FFB84" w:rsidR="00567D6C" w:rsidRDefault="00263651" w:rsidP="66D378F9">
      <w:pPr>
        <w:pBdr>
          <w:top w:val="nil"/>
          <w:left w:val="nil"/>
          <w:bottom w:val="nil"/>
          <w:right w:val="nil"/>
          <w:between w:val="nil"/>
        </w:pBdr>
        <w:ind w:left="2160"/>
        <w:jc w:val="left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 w:rsidR="0FA360F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FA360F6" w:rsidRPr="66D378F9">
        <w:rPr>
          <w:color w:val="000000" w:themeColor="text1"/>
          <w:sz w:val="22"/>
          <w:szCs w:val="22"/>
        </w:rPr>
        <w:t>Mayor’s Office of Legislative Affairs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</w:t>
      </w:r>
    </w:p>
    <w:p w14:paraId="4843DAD3" w14:textId="77777777" w:rsidR="00567D6C" w:rsidRDefault="00263651">
      <w:pPr>
        <w:spacing w:before="240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Estimate Prepared by:    </w:t>
      </w:r>
      <w:r>
        <w:rPr>
          <w:b/>
          <w:smallCaps/>
          <w:sz w:val="22"/>
          <w:szCs w:val="22"/>
        </w:rPr>
        <w:tab/>
      </w:r>
      <w:r>
        <w:rPr>
          <w:sz w:val="22"/>
          <w:szCs w:val="22"/>
        </w:rPr>
        <w:t>John Basile, Senior Financial Analyst</w:t>
      </w:r>
    </w:p>
    <w:p w14:paraId="6E2EA7A4" w14:textId="77777777" w:rsidR="00567D6C" w:rsidRDefault="00263651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14:paraId="0EE23A5D" w14:textId="77777777" w:rsidR="00567D6C" w:rsidRDefault="00263651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Estimate Reviewed by:</w:t>
      </w:r>
      <w:r>
        <w:rPr>
          <w:b/>
          <w:smallCaps/>
          <w:sz w:val="22"/>
          <w:szCs w:val="22"/>
        </w:rPr>
        <w:tab/>
      </w:r>
      <w:r>
        <w:rPr>
          <w:sz w:val="22"/>
          <w:szCs w:val="22"/>
        </w:rPr>
        <w:t>Nathan Toth, Deputy Director</w:t>
      </w:r>
    </w:p>
    <w:p w14:paraId="17E5B7F6" w14:textId="77777777" w:rsidR="00567D6C" w:rsidRDefault="00263651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sz w:val="22"/>
          <w:szCs w:val="22"/>
        </w:rPr>
        <w:t>Chima Obichere, Unit Head</w:t>
      </w:r>
    </w:p>
    <w:p w14:paraId="62CF185B" w14:textId="77777777" w:rsidR="00567D6C" w:rsidRDefault="002636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Stephanie Ruiz, Assistant Counsel</w:t>
      </w:r>
      <w:r>
        <w:t xml:space="preserve"> </w:t>
      </w:r>
    </w:p>
    <w:p w14:paraId="3DE6398B" w14:textId="5BD9FD6F" w:rsidR="00567D6C" w:rsidRDefault="00263651" w:rsidP="5DDD319C">
      <w:pPr>
        <w:spacing w:before="240" w:after="240"/>
        <w:rPr>
          <w:color w:val="000000" w:themeColor="text1"/>
          <w:sz w:val="22"/>
          <w:szCs w:val="22"/>
        </w:rPr>
      </w:pPr>
      <w:r w:rsidRPr="512BDC17">
        <w:rPr>
          <w:b/>
          <w:bCs/>
          <w:smallCaps/>
          <w:sz w:val="22"/>
          <w:szCs w:val="22"/>
        </w:rPr>
        <w:t>Legislative History:</w:t>
      </w:r>
      <w:r w:rsidRPr="512BDC17">
        <w:rPr>
          <w:sz w:val="22"/>
          <w:szCs w:val="22"/>
        </w:rPr>
        <w:t xml:space="preserve"> </w:t>
      </w:r>
      <w:r w:rsidR="6DDB868F" w:rsidRPr="512BDC17">
        <w:rPr>
          <w:color w:val="000000" w:themeColor="text1"/>
          <w:sz w:val="22"/>
          <w:szCs w:val="22"/>
        </w:rPr>
        <w:t>This legislation was introduced to the Council on June 13, 2019</w:t>
      </w:r>
      <w:r w:rsidR="00293623" w:rsidRPr="512BDC17">
        <w:rPr>
          <w:color w:val="000000" w:themeColor="text1"/>
          <w:sz w:val="22"/>
          <w:szCs w:val="22"/>
        </w:rPr>
        <w:t xml:space="preserve"> as Intro. No. 1584</w:t>
      </w:r>
      <w:r w:rsidR="002D465C" w:rsidRPr="512BDC17">
        <w:rPr>
          <w:color w:val="000000" w:themeColor="text1"/>
          <w:sz w:val="22"/>
          <w:szCs w:val="22"/>
        </w:rPr>
        <w:t>,</w:t>
      </w:r>
      <w:r w:rsidR="6DDB868F" w:rsidRPr="512BDC17">
        <w:rPr>
          <w:color w:val="000000" w:themeColor="text1"/>
          <w:sz w:val="22"/>
          <w:szCs w:val="22"/>
        </w:rPr>
        <w:t xml:space="preserve"> and was referred to the Committee on Transportation (Committee).  A hearing was held by the Committee </w:t>
      </w:r>
      <w:r w:rsidR="002D465C" w:rsidRPr="512BDC17">
        <w:rPr>
          <w:color w:val="000000" w:themeColor="text1"/>
          <w:sz w:val="22"/>
          <w:szCs w:val="22"/>
        </w:rPr>
        <w:t>jointly with</w:t>
      </w:r>
      <w:r w:rsidR="6DDB868F" w:rsidRPr="512BDC17">
        <w:rPr>
          <w:color w:val="000000" w:themeColor="text1"/>
          <w:sz w:val="22"/>
          <w:szCs w:val="22"/>
        </w:rPr>
        <w:t xml:space="preserve"> </w:t>
      </w:r>
      <w:r w:rsidR="00770C14" w:rsidRPr="512BDC17">
        <w:rPr>
          <w:color w:val="000000" w:themeColor="text1"/>
          <w:sz w:val="22"/>
          <w:szCs w:val="22"/>
        </w:rPr>
        <w:t xml:space="preserve">the </w:t>
      </w:r>
      <w:r w:rsidR="6DDB868F" w:rsidRPr="512BDC17">
        <w:rPr>
          <w:color w:val="000000" w:themeColor="text1"/>
          <w:sz w:val="22"/>
          <w:szCs w:val="22"/>
        </w:rPr>
        <w:t xml:space="preserve">Committee </w:t>
      </w:r>
      <w:r w:rsidR="48C48E38" w:rsidRPr="512BDC17">
        <w:rPr>
          <w:color w:val="000000" w:themeColor="text1"/>
          <w:sz w:val="22"/>
          <w:szCs w:val="22"/>
        </w:rPr>
        <w:t xml:space="preserve">on Oversight and Investigations on </w:t>
      </w:r>
      <w:r w:rsidR="6DDB868F" w:rsidRPr="512BDC17">
        <w:rPr>
          <w:color w:val="000000" w:themeColor="text1"/>
          <w:sz w:val="22"/>
          <w:szCs w:val="22"/>
        </w:rPr>
        <w:t>June 24, 2019 and the bill was laid over.  The legislation was subsequently amended and the amended version, Proposed Intro. No. 1</w:t>
      </w:r>
      <w:r w:rsidR="2E71C243" w:rsidRPr="512BDC17">
        <w:rPr>
          <w:color w:val="000000" w:themeColor="text1"/>
          <w:sz w:val="22"/>
          <w:szCs w:val="22"/>
        </w:rPr>
        <w:t>584</w:t>
      </w:r>
      <w:r w:rsidR="6DDB868F" w:rsidRPr="512BDC17">
        <w:rPr>
          <w:color w:val="000000" w:themeColor="text1"/>
          <w:sz w:val="22"/>
          <w:szCs w:val="22"/>
        </w:rPr>
        <w:t xml:space="preserve">-A, will be considered by the Committee on </w:t>
      </w:r>
      <w:r w:rsidR="59049E2C" w:rsidRPr="512BDC17">
        <w:rPr>
          <w:color w:val="000000" w:themeColor="text1"/>
          <w:sz w:val="22"/>
          <w:szCs w:val="22"/>
        </w:rPr>
        <w:t>October 15</w:t>
      </w:r>
      <w:r w:rsidR="6DDB868F" w:rsidRPr="512BDC17">
        <w:rPr>
          <w:color w:val="000000" w:themeColor="text1"/>
          <w:sz w:val="22"/>
          <w:szCs w:val="22"/>
        </w:rPr>
        <w:t xml:space="preserve">, 2020. Upon a </w:t>
      </w:r>
      <w:r w:rsidR="6DDB868F" w:rsidRPr="512BDC17">
        <w:rPr>
          <w:color w:val="000000" w:themeColor="text1"/>
          <w:sz w:val="22"/>
          <w:szCs w:val="22"/>
        </w:rPr>
        <w:lastRenderedPageBreak/>
        <w:t>successful vote by the Committee, Proposed Intro. No. 1</w:t>
      </w:r>
      <w:r w:rsidR="59D0F26A" w:rsidRPr="512BDC17">
        <w:rPr>
          <w:color w:val="000000" w:themeColor="text1"/>
          <w:sz w:val="22"/>
          <w:szCs w:val="22"/>
        </w:rPr>
        <w:t>584-A</w:t>
      </w:r>
      <w:r w:rsidR="6DDB868F" w:rsidRPr="512BDC17">
        <w:rPr>
          <w:color w:val="000000" w:themeColor="text1"/>
          <w:sz w:val="22"/>
          <w:szCs w:val="22"/>
        </w:rPr>
        <w:t xml:space="preserve"> will be submitted to the full Council for a vote on </w:t>
      </w:r>
      <w:r w:rsidR="02D7240D" w:rsidRPr="512BDC17">
        <w:rPr>
          <w:color w:val="000000" w:themeColor="text1"/>
          <w:sz w:val="22"/>
          <w:szCs w:val="22"/>
        </w:rPr>
        <w:t>October 15</w:t>
      </w:r>
      <w:r w:rsidR="6DDB868F" w:rsidRPr="512BDC17">
        <w:rPr>
          <w:color w:val="000000" w:themeColor="text1"/>
          <w:sz w:val="22"/>
          <w:szCs w:val="22"/>
        </w:rPr>
        <w:t>, 2020.</w:t>
      </w:r>
    </w:p>
    <w:p w14:paraId="443A6535" w14:textId="319153F3" w:rsidR="00567D6C" w:rsidRDefault="00263651">
      <w:pPr>
        <w:spacing w:before="120"/>
        <w:rPr>
          <w:sz w:val="22"/>
          <w:szCs w:val="22"/>
        </w:rPr>
      </w:pPr>
      <w:r w:rsidRPr="5DDD319C">
        <w:rPr>
          <w:b/>
          <w:bCs/>
          <w:smallCaps/>
          <w:sz w:val="22"/>
          <w:szCs w:val="22"/>
        </w:rPr>
        <w:t xml:space="preserve">Date Prepared: </w:t>
      </w:r>
      <w:r w:rsidR="49BCEB24" w:rsidRPr="5DDD319C">
        <w:rPr>
          <w:sz w:val="22"/>
          <w:szCs w:val="22"/>
        </w:rPr>
        <w:t>October 12</w:t>
      </w:r>
      <w:r w:rsidRPr="5DDD319C">
        <w:rPr>
          <w:sz w:val="22"/>
          <w:szCs w:val="22"/>
        </w:rPr>
        <w:t>, 2020</w:t>
      </w:r>
    </w:p>
    <w:sectPr w:rsidR="00567D6C">
      <w:headerReference w:type="default" r:id="rId7"/>
      <w:footerReference w:type="default" r:id="rId8"/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2965" w14:textId="77777777" w:rsidR="001004F4" w:rsidRDefault="001004F4">
      <w:r>
        <w:separator/>
      </w:r>
    </w:p>
  </w:endnote>
  <w:endnote w:type="continuationSeparator" w:id="0">
    <w:p w14:paraId="70FB90AA" w14:textId="77777777" w:rsidR="001004F4" w:rsidRDefault="0010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9DFD" w14:textId="21D19597" w:rsidR="00567D6C" w:rsidRDefault="626C1F8B" w:rsidP="014260E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noProof/>
        <w:color w:val="000000"/>
      </w:rPr>
    </w:pPr>
    <w:r w:rsidRPr="626C1F8B">
      <w:rPr>
        <w:rFonts w:ascii="Cambria" w:eastAsia="Cambria" w:hAnsi="Cambria" w:cs="Cambria"/>
        <w:color w:val="000000" w:themeColor="text1"/>
      </w:rPr>
      <w:t>Proposed Intro. No. 1</w:t>
    </w:r>
    <w:r w:rsidRPr="626C1F8B">
      <w:rPr>
        <w:rFonts w:ascii="Cambria" w:eastAsia="Cambria" w:hAnsi="Cambria" w:cs="Cambria"/>
      </w:rPr>
      <w:t>584</w:t>
    </w:r>
    <w:r w:rsidRPr="626C1F8B">
      <w:rPr>
        <w:rFonts w:ascii="Cambria" w:eastAsia="Cambria" w:hAnsi="Cambria" w:cs="Cambria"/>
        <w:color w:val="000000" w:themeColor="text1"/>
      </w:rPr>
      <w:t xml:space="preserve">-A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3EF2" w14:textId="77777777" w:rsidR="001004F4" w:rsidRDefault="001004F4">
      <w:r>
        <w:separator/>
      </w:r>
    </w:p>
  </w:footnote>
  <w:footnote w:type="continuationSeparator" w:id="0">
    <w:p w14:paraId="39B7FD10" w14:textId="77777777" w:rsidR="001004F4" w:rsidRDefault="0010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4260E4" w14:paraId="0F59DE7E" w14:textId="77777777" w:rsidTr="626C1F8B">
      <w:tc>
        <w:tcPr>
          <w:tcW w:w="3600" w:type="dxa"/>
        </w:tcPr>
        <w:p w14:paraId="5CEF4F5B" w14:textId="59513216" w:rsidR="014260E4" w:rsidRDefault="014260E4" w:rsidP="626C1F8B">
          <w:pPr>
            <w:pStyle w:val="Header"/>
            <w:ind w:left="-115"/>
            <w:jc w:val="left"/>
          </w:pPr>
        </w:p>
      </w:tc>
      <w:tc>
        <w:tcPr>
          <w:tcW w:w="3600" w:type="dxa"/>
        </w:tcPr>
        <w:p w14:paraId="73318D35" w14:textId="10D32CA7" w:rsidR="014260E4" w:rsidRDefault="014260E4" w:rsidP="626C1F8B">
          <w:pPr>
            <w:pStyle w:val="Header"/>
            <w:jc w:val="center"/>
          </w:pPr>
        </w:p>
      </w:tc>
      <w:tc>
        <w:tcPr>
          <w:tcW w:w="3600" w:type="dxa"/>
        </w:tcPr>
        <w:p w14:paraId="3F989667" w14:textId="24178F10" w:rsidR="014260E4" w:rsidRDefault="014260E4" w:rsidP="626C1F8B">
          <w:pPr>
            <w:pStyle w:val="Header"/>
            <w:ind w:right="-115"/>
            <w:jc w:val="right"/>
          </w:pPr>
        </w:p>
      </w:tc>
    </w:tr>
  </w:tbl>
  <w:p w14:paraId="40B2A293" w14:textId="7D1509FD" w:rsidR="014260E4" w:rsidRDefault="014260E4" w:rsidP="626C1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6C"/>
    <w:rsid w:val="001004F4"/>
    <w:rsid w:val="00257631"/>
    <w:rsid w:val="00263651"/>
    <w:rsid w:val="00293623"/>
    <w:rsid w:val="002D465C"/>
    <w:rsid w:val="003468E2"/>
    <w:rsid w:val="0036745F"/>
    <w:rsid w:val="003F36A5"/>
    <w:rsid w:val="004633AE"/>
    <w:rsid w:val="005379D3"/>
    <w:rsid w:val="005633A4"/>
    <w:rsid w:val="00567D6C"/>
    <w:rsid w:val="005E5BCF"/>
    <w:rsid w:val="00623E08"/>
    <w:rsid w:val="00644758"/>
    <w:rsid w:val="006D5BFC"/>
    <w:rsid w:val="00770C14"/>
    <w:rsid w:val="00776F05"/>
    <w:rsid w:val="007B471F"/>
    <w:rsid w:val="008C0E0F"/>
    <w:rsid w:val="009F1FF5"/>
    <w:rsid w:val="00A009C3"/>
    <w:rsid w:val="00A26C55"/>
    <w:rsid w:val="00B6346E"/>
    <w:rsid w:val="00D56D03"/>
    <w:rsid w:val="00DA6FBF"/>
    <w:rsid w:val="00EA2B23"/>
    <w:rsid w:val="00ED3059"/>
    <w:rsid w:val="00F20292"/>
    <w:rsid w:val="00F80C02"/>
    <w:rsid w:val="014260E4"/>
    <w:rsid w:val="02D7240D"/>
    <w:rsid w:val="051F3E34"/>
    <w:rsid w:val="094BDAC1"/>
    <w:rsid w:val="0FA360F6"/>
    <w:rsid w:val="16ADEB6C"/>
    <w:rsid w:val="192EDBD1"/>
    <w:rsid w:val="1CBFE9C4"/>
    <w:rsid w:val="1D5E13E5"/>
    <w:rsid w:val="236998A4"/>
    <w:rsid w:val="26F40C17"/>
    <w:rsid w:val="27EF949A"/>
    <w:rsid w:val="297A6619"/>
    <w:rsid w:val="299B6607"/>
    <w:rsid w:val="2BD306E2"/>
    <w:rsid w:val="2C12CBDF"/>
    <w:rsid w:val="2D861D58"/>
    <w:rsid w:val="2E71C243"/>
    <w:rsid w:val="305102D6"/>
    <w:rsid w:val="33751B3F"/>
    <w:rsid w:val="33EAD8A0"/>
    <w:rsid w:val="3428CCA9"/>
    <w:rsid w:val="355C1D3A"/>
    <w:rsid w:val="3B14B0D1"/>
    <w:rsid w:val="3BDA0691"/>
    <w:rsid w:val="3EB0F1AC"/>
    <w:rsid w:val="43068A0B"/>
    <w:rsid w:val="43F2A103"/>
    <w:rsid w:val="444812D5"/>
    <w:rsid w:val="47C8359A"/>
    <w:rsid w:val="48C48E38"/>
    <w:rsid w:val="48C5931B"/>
    <w:rsid w:val="49BCEB24"/>
    <w:rsid w:val="4B8B276C"/>
    <w:rsid w:val="4ED64692"/>
    <w:rsid w:val="4FD0313A"/>
    <w:rsid w:val="512BDC17"/>
    <w:rsid w:val="55FEF71B"/>
    <w:rsid w:val="59049E2C"/>
    <w:rsid w:val="59D0F26A"/>
    <w:rsid w:val="5BD50CFD"/>
    <w:rsid w:val="5D61E467"/>
    <w:rsid w:val="5DBEE50D"/>
    <w:rsid w:val="5DDD319C"/>
    <w:rsid w:val="626C1F8B"/>
    <w:rsid w:val="66D378F9"/>
    <w:rsid w:val="67AA0B8C"/>
    <w:rsid w:val="6A2F3692"/>
    <w:rsid w:val="6DDB868F"/>
    <w:rsid w:val="6E312A5E"/>
    <w:rsid w:val="6EE42939"/>
    <w:rsid w:val="70837988"/>
    <w:rsid w:val="70FDBACD"/>
    <w:rsid w:val="722D4921"/>
    <w:rsid w:val="745BE2EC"/>
    <w:rsid w:val="79559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81C4"/>
  <w15:docId w15:val="{A7B39F40-D535-4557-8EAB-F614256A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1" w:type="dxa"/>
        <w:right w:w="14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B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C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CF"/>
  </w:style>
  <w:style w:type="paragraph" w:styleId="Footer">
    <w:name w:val="footer"/>
    <w:basedOn w:val="Normal"/>
    <w:link w:val="FooterChar"/>
    <w:uiPriority w:val="99"/>
    <w:unhideWhenUsed/>
    <w:rsid w:val="005E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C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3eb5b621939b4bea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Obichere, Chima</dc:creator>
  <cp:lastModifiedBy>DelFranco, Ruthie</cp:lastModifiedBy>
  <cp:revision>2</cp:revision>
  <dcterms:created xsi:type="dcterms:W3CDTF">2020-10-15T14:39:00Z</dcterms:created>
  <dcterms:modified xsi:type="dcterms:W3CDTF">2020-10-15T14:39:00Z</dcterms:modified>
</cp:coreProperties>
</file>