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3D" w:rsidRDefault="00E4613D">
      <w:pPr>
        <w:rPr>
          <w:sz w:val="24"/>
        </w:rPr>
      </w:pPr>
    </w:p>
    <w:p w:rsidR="00E4613D" w:rsidRDefault="00E4613D">
      <w:pPr>
        <w:rPr>
          <w:sz w:val="24"/>
        </w:rPr>
      </w:pPr>
    </w:p>
    <w:p w:rsidR="00E4613D" w:rsidRDefault="00E4613D">
      <w:pPr>
        <w:pStyle w:val="Heading1"/>
      </w:pPr>
      <w:r>
        <w:t>THE COUNCIL</w:t>
      </w:r>
    </w:p>
    <w:p w:rsidR="00E4613D" w:rsidRDefault="00E4613D">
      <w:pPr>
        <w:jc w:val="center"/>
        <w:rPr>
          <w:b/>
          <w:sz w:val="24"/>
        </w:rPr>
      </w:pP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>JOINT REPORT OF THE LAND USE COMMITTEE</w:t>
      </w: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 xml:space="preserve">AND THE </w:t>
      </w:r>
    </w:p>
    <w:p w:rsidR="000B43E7" w:rsidRPr="003E7EE9" w:rsidRDefault="000B43E7" w:rsidP="000B43E7">
      <w:pPr>
        <w:jc w:val="center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>SUBCOMMITTEE ON LANDMARKS, PUBLIC SITING</w:t>
      </w:r>
      <w:r w:rsidR="009F7182">
        <w:rPr>
          <w:b/>
          <w:sz w:val="24"/>
          <w:szCs w:val="24"/>
        </w:rPr>
        <w:t>S</w:t>
      </w:r>
    </w:p>
    <w:p w:rsidR="000B43E7" w:rsidRPr="003E7EE9" w:rsidRDefault="000B43E7" w:rsidP="000B43E7">
      <w:pPr>
        <w:jc w:val="center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 xml:space="preserve">AND </w:t>
      </w:r>
      <w:r w:rsidR="00EF2987">
        <w:rPr>
          <w:b/>
          <w:sz w:val="24"/>
          <w:szCs w:val="24"/>
        </w:rPr>
        <w:t>DISPOSITIONS</w:t>
      </w:r>
    </w:p>
    <w:p w:rsidR="00E4613D" w:rsidRDefault="00E4613D">
      <w:pPr>
        <w:jc w:val="center"/>
        <w:rPr>
          <w:b/>
          <w:sz w:val="24"/>
        </w:rPr>
      </w:pPr>
    </w:p>
    <w:p w:rsidR="00A164A1" w:rsidRDefault="00E4613D">
      <w:pPr>
        <w:jc w:val="center"/>
        <w:rPr>
          <w:b/>
          <w:sz w:val="24"/>
        </w:rPr>
      </w:pPr>
      <w:r>
        <w:rPr>
          <w:b/>
          <w:sz w:val="24"/>
        </w:rPr>
        <w:t>L.U. No</w:t>
      </w:r>
      <w:r w:rsidR="00F935BD">
        <w:rPr>
          <w:b/>
          <w:sz w:val="24"/>
        </w:rPr>
        <w:t>s</w:t>
      </w:r>
      <w:r>
        <w:rPr>
          <w:b/>
          <w:sz w:val="24"/>
        </w:rPr>
        <w:t xml:space="preserve">. </w:t>
      </w:r>
      <w:r w:rsidR="00875B3D">
        <w:rPr>
          <w:b/>
          <w:sz w:val="24"/>
        </w:rPr>
        <w:t>667 and 66</w:t>
      </w:r>
      <w:r w:rsidR="00AE34C6">
        <w:rPr>
          <w:b/>
          <w:sz w:val="24"/>
        </w:rPr>
        <w:t>8</w:t>
      </w: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>(Res. No</w:t>
      </w:r>
      <w:r w:rsidR="00F935BD">
        <w:rPr>
          <w:b/>
          <w:sz w:val="24"/>
        </w:rPr>
        <w:t>s</w:t>
      </w:r>
      <w:r>
        <w:rPr>
          <w:b/>
          <w:sz w:val="24"/>
        </w:rPr>
        <w:t>.</w:t>
      </w:r>
      <w:r w:rsidR="00A17B48">
        <w:rPr>
          <w:b/>
          <w:sz w:val="24"/>
        </w:rPr>
        <w:t xml:space="preserve"> </w:t>
      </w:r>
      <w:r w:rsidR="001D0C2F">
        <w:rPr>
          <w:b/>
          <w:sz w:val="24"/>
        </w:rPr>
        <w:t>1448</w:t>
      </w:r>
      <w:r w:rsidR="00D70DDB">
        <w:rPr>
          <w:b/>
          <w:sz w:val="24"/>
        </w:rPr>
        <w:t xml:space="preserve"> </w:t>
      </w:r>
      <w:r w:rsidR="00875B3D">
        <w:rPr>
          <w:b/>
          <w:sz w:val="24"/>
        </w:rPr>
        <w:t>and</w:t>
      </w:r>
      <w:r w:rsidR="00D70DDB">
        <w:rPr>
          <w:b/>
          <w:sz w:val="24"/>
        </w:rPr>
        <w:t xml:space="preserve"> </w:t>
      </w:r>
      <w:r w:rsidR="001D0C2F">
        <w:rPr>
          <w:b/>
          <w:sz w:val="24"/>
        </w:rPr>
        <w:t>1449</w:t>
      </w:r>
      <w:bookmarkStart w:id="0" w:name="_GoBack"/>
      <w:bookmarkEnd w:id="0"/>
      <w:r w:rsidR="00A17B48">
        <w:rPr>
          <w:b/>
          <w:sz w:val="24"/>
        </w:rPr>
        <w:t>)</w:t>
      </w:r>
    </w:p>
    <w:p w:rsidR="00E4613D" w:rsidRDefault="00E4613D">
      <w:pPr>
        <w:jc w:val="center"/>
        <w:rPr>
          <w:b/>
          <w:sz w:val="24"/>
        </w:rPr>
      </w:pP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 xml:space="preserve">By Council Members </w:t>
      </w:r>
      <w:r w:rsidR="00A56C11">
        <w:rPr>
          <w:b/>
          <w:sz w:val="24"/>
        </w:rPr>
        <w:t>Salamanca</w:t>
      </w:r>
      <w:r w:rsidR="00277209">
        <w:rPr>
          <w:b/>
          <w:sz w:val="24"/>
        </w:rPr>
        <w:t xml:space="preserve"> and </w:t>
      </w:r>
      <w:r w:rsidR="000B43E7">
        <w:rPr>
          <w:b/>
          <w:sz w:val="24"/>
        </w:rPr>
        <w:t>Adams</w:t>
      </w:r>
    </w:p>
    <w:p w:rsidR="00E4613D" w:rsidRDefault="00E4613D">
      <w:pPr>
        <w:rPr>
          <w:b/>
          <w:sz w:val="24"/>
        </w:rPr>
      </w:pPr>
    </w:p>
    <w:p w:rsidR="00E4613D" w:rsidRDefault="00E4613D">
      <w:pPr>
        <w:rPr>
          <w:b/>
          <w:sz w:val="24"/>
        </w:rPr>
      </w:pPr>
    </w:p>
    <w:p w:rsidR="00E4613D" w:rsidRDefault="00E4613D">
      <w:pPr>
        <w:pStyle w:val="Heading2"/>
      </w:pPr>
      <w:r>
        <w:t>SUBJECT</w:t>
      </w:r>
    </w:p>
    <w:p w:rsidR="00E4613D" w:rsidRDefault="00E4613D">
      <w:pPr>
        <w:rPr>
          <w:sz w:val="24"/>
        </w:rPr>
      </w:pPr>
    </w:p>
    <w:p w:rsidR="00270022" w:rsidRDefault="003056E1" w:rsidP="00270022">
      <w:pPr>
        <w:tabs>
          <w:tab w:val="left" w:pos="2430"/>
          <w:tab w:val="left" w:pos="7740"/>
        </w:tabs>
        <w:rPr>
          <w:b/>
          <w:sz w:val="24"/>
        </w:rPr>
      </w:pPr>
      <w:r>
        <w:rPr>
          <w:b/>
          <w:sz w:val="24"/>
        </w:rPr>
        <w:t>BROOKLYN CB - 4</w:t>
      </w:r>
      <w:r w:rsidR="00F935BD">
        <w:rPr>
          <w:b/>
          <w:sz w:val="24"/>
        </w:rPr>
        <w:t xml:space="preserve">   -  </w:t>
      </w:r>
      <w:r w:rsidR="003F7FB1">
        <w:rPr>
          <w:b/>
          <w:sz w:val="24"/>
        </w:rPr>
        <w:t>TWO</w:t>
      </w:r>
      <w:r w:rsidR="00EF2987">
        <w:rPr>
          <w:b/>
          <w:sz w:val="24"/>
        </w:rPr>
        <w:t xml:space="preserve"> </w:t>
      </w:r>
      <w:r w:rsidR="00F935BD">
        <w:rPr>
          <w:b/>
          <w:sz w:val="24"/>
        </w:rPr>
        <w:t xml:space="preserve">APPLICATIONS RELATED TO </w:t>
      </w:r>
      <w:r>
        <w:rPr>
          <w:b/>
          <w:sz w:val="24"/>
        </w:rPr>
        <w:t xml:space="preserve">OLD STANLEY </w:t>
      </w:r>
      <w:r w:rsidR="00B77746">
        <w:rPr>
          <w:b/>
          <w:sz w:val="24"/>
        </w:rPr>
        <w:t xml:space="preserve">– 641 </w:t>
      </w:r>
    </w:p>
    <w:p w:rsidR="00F935BD" w:rsidRDefault="00270022" w:rsidP="00270022">
      <w:pPr>
        <w:tabs>
          <w:tab w:val="left" w:pos="2520"/>
          <w:tab w:val="left" w:pos="7740"/>
        </w:tabs>
        <w:rPr>
          <w:b/>
          <w:sz w:val="24"/>
        </w:rPr>
      </w:pPr>
      <w:r>
        <w:rPr>
          <w:b/>
          <w:sz w:val="24"/>
        </w:rPr>
        <w:tab/>
      </w:r>
      <w:r w:rsidR="00B77746">
        <w:rPr>
          <w:b/>
          <w:sz w:val="24"/>
        </w:rPr>
        <w:t>CHAUNCEY</w:t>
      </w:r>
      <w:r w:rsidR="00D70DDB">
        <w:rPr>
          <w:b/>
          <w:sz w:val="24"/>
        </w:rPr>
        <w:t xml:space="preserve"> </w:t>
      </w:r>
    </w:p>
    <w:p w:rsidR="00F935BD" w:rsidRDefault="00F935BD" w:rsidP="00393553">
      <w:pPr>
        <w:tabs>
          <w:tab w:val="left" w:pos="7740"/>
        </w:tabs>
        <w:rPr>
          <w:b/>
          <w:sz w:val="24"/>
        </w:rPr>
      </w:pPr>
    </w:p>
    <w:p w:rsidR="00875B3D" w:rsidRDefault="00875B3D" w:rsidP="00393553">
      <w:pPr>
        <w:tabs>
          <w:tab w:val="left" w:pos="7740"/>
        </w:tabs>
        <w:rPr>
          <w:b/>
          <w:sz w:val="24"/>
        </w:rPr>
      </w:pPr>
    </w:p>
    <w:p w:rsidR="00875B3D" w:rsidRPr="0084315E" w:rsidRDefault="00875B3D" w:rsidP="00875B3D">
      <w:pPr>
        <w:pStyle w:val="BodyText"/>
        <w:rPr>
          <w:b/>
          <w:szCs w:val="24"/>
        </w:rPr>
      </w:pPr>
      <w:r w:rsidRPr="0084315E">
        <w:rPr>
          <w:b/>
          <w:szCs w:val="24"/>
        </w:rPr>
        <w:t xml:space="preserve">20205415 HAK (L.U. No. </w:t>
      </w:r>
      <w:r>
        <w:rPr>
          <w:b/>
          <w:szCs w:val="24"/>
        </w:rPr>
        <w:t>667</w:t>
      </w:r>
      <w:r w:rsidRPr="0084315E">
        <w:rPr>
          <w:b/>
          <w:szCs w:val="24"/>
        </w:rPr>
        <w:t>)</w:t>
      </w:r>
    </w:p>
    <w:p w:rsidR="00875B3D" w:rsidRDefault="00875B3D" w:rsidP="00875B3D">
      <w:pPr>
        <w:pStyle w:val="BodyText"/>
        <w:rPr>
          <w:szCs w:val="24"/>
        </w:rPr>
      </w:pPr>
    </w:p>
    <w:p w:rsidR="00875B3D" w:rsidRPr="00EF2987" w:rsidRDefault="00875B3D" w:rsidP="00875B3D">
      <w:pPr>
        <w:widowControl w:val="0"/>
        <w:tabs>
          <w:tab w:val="left" w:pos="720"/>
        </w:tabs>
        <w:jc w:val="both"/>
        <w:rPr>
          <w:rFonts w:eastAsia="Calibri"/>
          <w:sz w:val="24"/>
          <w:szCs w:val="24"/>
        </w:rPr>
      </w:pPr>
      <w:r>
        <w:rPr>
          <w:szCs w:val="24"/>
        </w:rPr>
        <w:tab/>
      </w:r>
      <w:r w:rsidRPr="00EF2987">
        <w:rPr>
          <w:rFonts w:eastAsia="Calibri"/>
          <w:sz w:val="24"/>
          <w:szCs w:val="24"/>
        </w:rPr>
        <w:t xml:space="preserve">Application submitted by the New York City Department of Housing Preservation and Development pursuant to Section 577 of Article XI of the Private Housing Finance Law for approval of a real property tax exemption, for property located at </w:t>
      </w:r>
      <w:r>
        <w:rPr>
          <w:rFonts w:eastAsia="Calibri"/>
          <w:sz w:val="24"/>
          <w:szCs w:val="24"/>
        </w:rPr>
        <w:t>641 Chauncey Street (Block 3444, Lot 18)</w:t>
      </w:r>
      <w:r>
        <w:rPr>
          <w:sz w:val="24"/>
          <w:szCs w:val="24"/>
        </w:rPr>
        <w:t>, Borough of Brooklyn, Council District 37, Community District 4.</w:t>
      </w:r>
    </w:p>
    <w:p w:rsidR="00F935BD" w:rsidRDefault="00F935BD" w:rsidP="00EF2987">
      <w:pPr>
        <w:tabs>
          <w:tab w:val="left" w:pos="7740"/>
        </w:tabs>
        <w:jc w:val="both"/>
        <w:rPr>
          <w:b/>
          <w:sz w:val="24"/>
        </w:rPr>
      </w:pPr>
    </w:p>
    <w:p w:rsidR="00875B3D" w:rsidRDefault="00875B3D" w:rsidP="00EF2987">
      <w:pPr>
        <w:tabs>
          <w:tab w:val="left" w:pos="7740"/>
        </w:tabs>
        <w:jc w:val="both"/>
        <w:rPr>
          <w:b/>
          <w:sz w:val="24"/>
        </w:rPr>
      </w:pPr>
    </w:p>
    <w:p w:rsidR="00F935BD" w:rsidRPr="003056E1" w:rsidRDefault="00F935BD" w:rsidP="003056E1">
      <w:pPr>
        <w:tabs>
          <w:tab w:val="left" w:pos="7740"/>
        </w:tabs>
        <w:jc w:val="both"/>
        <w:rPr>
          <w:b/>
          <w:sz w:val="24"/>
          <w:szCs w:val="24"/>
        </w:rPr>
      </w:pPr>
      <w:r w:rsidRPr="003056E1">
        <w:rPr>
          <w:b/>
          <w:sz w:val="24"/>
          <w:szCs w:val="24"/>
        </w:rPr>
        <w:t xml:space="preserve">C </w:t>
      </w:r>
      <w:r w:rsidR="003056E1" w:rsidRPr="003056E1">
        <w:rPr>
          <w:b/>
          <w:sz w:val="24"/>
          <w:szCs w:val="24"/>
        </w:rPr>
        <w:t>200188 HAK</w:t>
      </w:r>
      <w:r w:rsidRPr="003056E1">
        <w:rPr>
          <w:b/>
          <w:sz w:val="24"/>
          <w:szCs w:val="24"/>
        </w:rPr>
        <w:t xml:space="preserve"> (L.U. No. </w:t>
      </w:r>
      <w:r w:rsidR="00875B3D">
        <w:rPr>
          <w:b/>
          <w:sz w:val="24"/>
          <w:szCs w:val="24"/>
        </w:rPr>
        <w:t>668</w:t>
      </w:r>
      <w:r w:rsidRPr="003056E1">
        <w:rPr>
          <w:b/>
          <w:sz w:val="24"/>
          <w:szCs w:val="24"/>
        </w:rPr>
        <w:t>)</w:t>
      </w:r>
    </w:p>
    <w:p w:rsidR="00F935BD" w:rsidRPr="003056E1" w:rsidRDefault="00F935BD" w:rsidP="003056E1">
      <w:pPr>
        <w:jc w:val="both"/>
        <w:rPr>
          <w:b/>
          <w:sz w:val="24"/>
          <w:szCs w:val="24"/>
        </w:rPr>
      </w:pPr>
    </w:p>
    <w:p w:rsidR="003056E1" w:rsidRPr="003056E1" w:rsidRDefault="00F935BD" w:rsidP="003056E1">
      <w:pPr>
        <w:kinsoku w:val="0"/>
        <w:overflowPunct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3056E1">
        <w:rPr>
          <w:sz w:val="24"/>
          <w:szCs w:val="24"/>
        </w:rPr>
        <w:tab/>
        <w:t xml:space="preserve">City Planning Commission decision approving an </w:t>
      </w:r>
      <w:r w:rsidR="003056E1" w:rsidRPr="003056E1">
        <w:rPr>
          <w:rFonts w:eastAsia="Calibri"/>
          <w:sz w:val="24"/>
          <w:szCs w:val="24"/>
        </w:rPr>
        <w:t>application submitted by the Department of Housing Preservation and Development (HPD)</w:t>
      </w:r>
      <w:r w:rsidR="003056E1">
        <w:rPr>
          <w:rFonts w:eastAsia="Calibri"/>
          <w:sz w:val="24"/>
          <w:szCs w:val="24"/>
        </w:rPr>
        <w:t>:</w:t>
      </w:r>
    </w:p>
    <w:p w:rsidR="003056E1" w:rsidRPr="003056E1" w:rsidRDefault="003056E1" w:rsidP="003056E1">
      <w:pPr>
        <w:kinsoku w:val="0"/>
        <w:overflowPunct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3056E1" w:rsidRPr="003056E1" w:rsidRDefault="003056E1" w:rsidP="003056E1">
      <w:pPr>
        <w:numPr>
          <w:ilvl w:val="0"/>
          <w:numId w:val="6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</w:rPr>
      </w:pPr>
      <w:r w:rsidRPr="003056E1">
        <w:rPr>
          <w:rFonts w:eastAsia="Calibri"/>
          <w:sz w:val="24"/>
          <w:szCs w:val="24"/>
        </w:rPr>
        <w:t>pursuant to Article 16 of the General Municipal Law of New York State</w:t>
      </w:r>
      <w:r w:rsidRPr="003056E1">
        <w:rPr>
          <w:rFonts w:eastAsia="Calibri"/>
          <w:spacing w:val="3"/>
          <w:sz w:val="24"/>
          <w:szCs w:val="24"/>
        </w:rPr>
        <w:t xml:space="preserve"> </w:t>
      </w:r>
      <w:r w:rsidRPr="003056E1">
        <w:rPr>
          <w:rFonts w:eastAsia="Calibri"/>
          <w:sz w:val="24"/>
          <w:szCs w:val="24"/>
        </w:rPr>
        <w:t>for:</w:t>
      </w:r>
    </w:p>
    <w:p w:rsidR="003056E1" w:rsidRPr="003056E1" w:rsidRDefault="003056E1" w:rsidP="003056E1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3056E1" w:rsidRPr="003056E1" w:rsidRDefault="003056E1" w:rsidP="003056E1">
      <w:pPr>
        <w:numPr>
          <w:ilvl w:val="1"/>
          <w:numId w:val="6"/>
        </w:numPr>
        <w:tabs>
          <w:tab w:val="left" w:pos="1440"/>
        </w:tabs>
        <w:kinsoku w:val="0"/>
        <w:overflowPunct w:val="0"/>
        <w:autoSpaceDE w:val="0"/>
        <w:autoSpaceDN w:val="0"/>
        <w:adjustRightInd w:val="0"/>
        <w:ind w:left="1440" w:hanging="720"/>
        <w:jc w:val="both"/>
        <w:rPr>
          <w:rFonts w:eastAsia="Calibri"/>
          <w:sz w:val="24"/>
          <w:szCs w:val="24"/>
        </w:rPr>
      </w:pPr>
      <w:r w:rsidRPr="003056E1">
        <w:rPr>
          <w:rFonts w:eastAsia="Calibri"/>
          <w:sz w:val="24"/>
          <w:szCs w:val="24"/>
        </w:rPr>
        <w:t>the designation of property located at 641 Chauncey Street (Block 3444, Lot 18) as an Urban Development Action Area;</w:t>
      </w:r>
      <w:r w:rsidRPr="003056E1">
        <w:rPr>
          <w:rFonts w:eastAsia="Calibri"/>
          <w:spacing w:val="-6"/>
          <w:sz w:val="24"/>
          <w:szCs w:val="24"/>
        </w:rPr>
        <w:t xml:space="preserve"> </w:t>
      </w:r>
      <w:r w:rsidRPr="003056E1">
        <w:rPr>
          <w:rFonts w:eastAsia="Calibri"/>
          <w:sz w:val="24"/>
          <w:szCs w:val="24"/>
        </w:rPr>
        <w:t>and</w:t>
      </w:r>
    </w:p>
    <w:p w:rsidR="003056E1" w:rsidRPr="003056E1" w:rsidRDefault="003056E1" w:rsidP="003056E1">
      <w:pPr>
        <w:tabs>
          <w:tab w:val="left" w:pos="1440"/>
        </w:tabs>
        <w:kinsoku w:val="0"/>
        <w:overflowPunct w:val="0"/>
        <w:autoSpaceDE w:val="0"/>
        <w:autoSpaceDN w:val="0"/>
        <w:adjustRightInd w:val="0"/>
        <w:ind w:left="1440" w:hanging="720"/>
        <w:jc w:val="both"/>
        <w:rPr>
          <w:rFonts w:eastAsia="Calibri"/>
          <w:sz w:val="24"/>
          <w:szCs w:val="24"/>
        </w:rPr>
      </w:pPr>
    </w:p>
    <w:p w:rsidR="003056E1" w:rsidRPr="003056E1" w:rsidRDefault="00875B3D" w:rsidP="003056E1">
      <w:pPr>
        <w:numPr>
          <w:ilvl w:val="1"/>
          <w:numId w:val="6"/>
        </w:numPr>
        <w:tabs>
          <w:tab w:val="left" w:pos="1440"/>
        </w:tabs>
        <w:kinsoku w:val="0"/>
        <w:overflowPunct w:val="0"/>
        <w:autoSpaceDE w:val="0"/>
        <w:autoSpaceDN w:val="0"/>
        <w:adjustRightInd w:val="0"/>
        <w:ind w:left="1440" w:hanging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as an </w:t>
      </w:r>
      <w:r w:rsidR="003056E1" w:rsidRPr="003056E1">
        <w:rPr>
          <w:rFonts w:eastAsia="Calibri"/>
          <w:sz w:val="24"/>
          <w:szCs w:val="24"/>
        </w:rPr>
        <w:t>Urban Development Action Area Project for such area;</w:t>
      </w:r>
      <w:r w:rsidR="003056E1" w:rsidRPr="003056E1">
        <w:rPr>
          <w:rFonts w:eastAsia="Calibri"/>
          <w:spacing w:val="2"/>
          <w:sz w:val="24"/>
          <w:szCs w:val="24"/>
        </w:rPr>
        <w:t xml:space="preserve"> </w:t>
      </w:r>
      <w:r w:rsidR="003056E1" w:rsidRPr="003056E1">
        <w:rPr>
          <w:rFonts w:eastAsia="Calibri"/>
          <w:sz w:val="24"/>
          <w:szCs w:val="24"/>
        </w:rPr>
        <w:t>and</w:t>
      </w:r>
    </w:p>
    <w:p w:rsidR="003056E1" w:rsidRPr="003056E1" w:rsidRDefault="003056E1" w:rsidP="003056E1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3056E1" w:rsidRDefault="003056E1" w:rsidP="00B74D0B">
      <w:pPr>
        <w:numPr>
          <w:ilvl w:val="0"/>
          <w:numId w:val="6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720" w:hanging="720"/>
        <w:jc w:val="both"/>
        <w:rPr>
          <w:rFonts w:eastAsia="Calibri"/>
          <w:sz w:val="24"/>
          <w:szCs w:val="24"/>
        </w:rPr>
      </w:pPr>
      <w:r w:rsidRPr="003056E1">
        <w:rPr>
          <w:rFonts w:eastAsia="Calibri"/>
          <w:sz w:val="24"/>
          <w:szCs w:val="24"/>
        </w:rPr>
        <w:t>pursuant to Section 197-c of the New York City Charter for the disposition of such property to a developer to be selected by</w:t>
      </w:r>
      <w:r w:rsidRPr="003056E1">
        <w:rPr>
          <w:rFonts w:eastAsia="Calibri"/>
          <w:spacing w:val="-13"/>
          <w:sz w:val="24"/>
          <w:szCs w:val="24"/>
        </w:rPr>
        <w:t xml:space="preserve"> </w:t>
      </w:r>
      <w:r w:rsidRPr="003056E1">
        <w:rPr>
          <w:rFonts w:eastAsia="Calibri"/>
          <w:sz w:val="24"/>
          <w:szCs w:val="24"/>
        </w:rPr>
        <w:t>HPD;</w:t>
      </w:r>
    </w:p>
    <w:p w:rsidR="003056E1" w:rsidRPr="003056E1" w:rsidRDefault="003056E1" w:rsidP="003056E1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3056E1" w:rsidRPr="003056E1" w:rsidRDefault="003056E1" w:rsidP="003056E1">
      <w:pPr>
        <w:kinsoku w:val="0"/>
        <w:overflowPunct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3056E1">
        <w:rPr>
          <w:rFonts w:eastAsia="Calibri"/>
          <w:sz w:val="24"/>
          <w:szCs w:val="24"/>
        </w:rPr>
        <w:t>to facilitate the development of a four-story building containing approximately eight affordable using units.</w:t>
      </w:r>
    </w:p>
    <w:p w:rsidR="003056E1" w:rsidRPr="003056E1" w:rsidRDefault="003056E1" w:rsidP="003056E1">
      <w:pPr>
        <w:jc w:val="both"/>
        <w:rPr>
          <w:rFonts w:ascii="Calibri" w:eastAsia="Calibri" w:hAnsi="Calibri"/>
          <w:sz w:val="24"/>
          <w:szCs w:val="24"/>
        </w:rPr>
      </w:pPr>
    </w:p>
    <w:p w:rsidR="00E4613D" w:rsidRDefault="00E4613D">
      <w:pPr>
        <w:pStyle w:val="Heading2"/>
        <w:jc w:val="both"/>
      </w:pPr>
      <w:r>
        <w:t>INTENT</w:t>
      </w:r>
    </w:p>
    <w:p w:rsidR="00E4613D" w:rsidRPr="00033180" w:rsidRDefault="00E4613D">
      <w:pPr>
        <w:jc w:val="both"/>
        <w:rPr>
          <w:sz w:val="24"/>
          <w:szCs w:val="24"/>
        </w:rPr>
      </w:pPr>
    </w:p>
    <w:p w:rsidR="00A82CE5" w:rsidRPr="0059423A" w:rsidRDefault="00BD4DA0" w:rsidP="003F7FB1">
      <w:pPr>
        <w:tabs>
          <w:tab w:val="left" w:pos="720"/>
          <w:tab w:val="left" w:pos="1440"/>
          <w:tab w:val="left" w:pos="7560"/>
        </w:tabs>
        <w:jc w:val="both"/>
        <w:rPr>
          <w:sz w:val="24"/>
          <w:szCs w:val="24"/>
        </w:rPr>
      </w:pPr>
      <w:r w:rsidRPr="0059423A">
        <w:rPr>
          <w:rFonts w:eastAsia="Calibri"/>
          <w:sz w:val="24"/>
          <w:szCs w:val="24"/>
        </w:rPr>
        <w:t xml:space="preserve">To approve the urban development action area designation, project approval, </w:t>
      </w:r>
      <w:r w:rsidR="00EC1CDC" w:rsidRPr="0059423A">
        <w:rPr>
          <w:rFonts w:eastAsia="Calibri"/>
          <w:sz w:val="24"/>
          <w:szCs w:val="24"/>
        </w:rPr>
        <w:t xml:space="preserve">and </w:t>
      </w:r>
      <w:r w:rsidRPr="0059423A">
        <w:rPr>
          <w:rFonts w:eastAsia="Calibri"/>
          <w:sz w:val="24"/>
          <w:szCs w:val="24"/>
        </w:rPr>
        <w:t>disposition of city-owned property</w:t>
      </w:r>
      <w:r w:rsidR="003F7FB1" w:rsidRPr="0059423A">
        <w:rPr>
          <w:rFonts w:eastAsia="Calibri"/>
          <w:sz w:val="24"/>
          <w:szCs w:val="24"/>
        </w:rPr>
        <w:t xml:space="preserve"> </w:t>
      </w:r>
      <w:r w:rsidR="0059423A">
        <w:rPr>
          <w:rFonts w:eastAsia="Calibri"/>
          <w:sz w:val="24"/>
          <w:szCs w:val="24"/>
        </w:rPr>
        <w:t xml:space="preserve">pursuant to Article 16 of the General Municipal Law </w:t>
      </w:r>
      <w:r w:rsidR="003F7FB1" w:rsidRPr="0059423A">
        <w:rPr>
          <w:rFonts w:eastAsia="Calibri"/>
          <w:sz w:val="24"/>
          <w:szCs w:val="24"/>
        </w:rPr>
        <w:t>and</w:t>
      </w:r>
      <w:r w:rsidR="00C63D8A" w:rsidRPr="0059423A">
        <w:rPr>
          <w:rFonts w:eastAsia="Calibri"/>
          <w:sz w:val="24"/>
          <w:szCs w:val="24"/>
        </w:rPr>
        <w:t xml:space="preserve"> </w:t>
      </w:r>
      <w:r w:rsidR="00A75650" w:rsidRPr="0059423A">
        <w:rPr>
          <w:sz w:val="24"/>
          <w:szCs w:val="24"/>
        </w:rPr>
        <w:t xml:space="preserve">approve a real property tax exemption pursuant to Section 577 of Article XI of </w:t>
      </w:r>
      <w:r w:rsidR="00C350EE" w:rsidRPr="0059423A">
        <w:rPr>
          <w:sz w:val="24"/>
          <w:szCs w:val="24"/>
        </w:rPr>
        <w:t xml:space="preserve">the Private Housing Finance Law for property located at </w:t>
      </w:r>
      <w:r w:rsidR="00C63D8A" w:rsidRPr="0059423A">
        <w:rPr>
          <w:sz w:val="24"/>
          <w:szCs w:val="24"/>
        </w:rPr>
        <w:t>641 Chauncey Street (Block 3444, Lot 18)</w:t>
      </w:r>
      <w:r w:rsidR="00A82CE5" w:rsidRPr="0059423A">
        <w:rPr>
          <w:sz w:val="24"/>
          <w:szCs w:val="24"/>
        </w:rPr>
        <w:t xml:space="preserve"> to facilitate the new construction of </w:t>
      </w:r>
      <w:r w:rsidR="0074434C" w:rsidRPr="0059423A">
        <w:rPr>
          <w:sz w:val="24"/>
          <w:szCs w:val="24"/>
        </w:rPr>
        <w:t>one residential building containing appro</w:t>
      </w:r>
      <w:r w:rsidR="00033180" w:rsidRPr="0059423A">
        <w:rPr>
          <w:sz w:val="24"/>
          <w:szCs w:val="24"/>
        </w:rPr>
        <w:t xml:space="preserve">ximately eight </w:t>
      </w:r>
      <w:r w:rsidR="0059423A">
        <w:rPr>
          <w:sz w:val="24"/>
          <w:szCs w:val="24"/>
        </w:rPr>
        <w:t>affordable homeownership units</w:t>
      </w:r>
      <w:r w:rsidR="00033180" w:rsidRPr="0059423A">
        <w:rPr>
          <w:sz w:val="24"/>
          <w:szCs w:val="24"/>
        </w:rPr>
        <w:t xml:space="preserve"> </w:t>
      </w:r>
      <w:r w:rsidR="0074434C" w:rsidRPr="0059423A">
        <w:rPr>
          <w:sz w:val="24"/>
          <w:szCs w:val="24"/>
        </w:rPr>
        <w:t>in the Bushwick neighborhood of Brooklyn, Community District 4.</w:t>
      </w:r>
    </w:p>
    <w:p w:rsidR="00A82CE5" w:rsidRDefault="00A82CE5" w:rsidP="008256D0">
      <w:pPr>
        <w:pStyle w:val="BodyText"/>
        <w:keepNext/>
        <w:rPr>
          <w:szCs w:val="24"/>
        </w:rPr>
      </w:pPr>
    </w:p>
    <w:p w:rsidR="00E865F5" w:rsidRDefault="00E865F5">
      <w:pPr>
        <w:jc w:val="both"/>
        <w:rPr>
          <w:sz w:val="24"/>
        </w:rPr>
      </w:pPr>
    </w:p>
    <w:p w:rsidR="009F7182" w:rsidRDefault="009F7182">
      <w:pPr>
        <w:jc w:val="both"/>
        <w:rPr>
          <w:sz w:val="24"/>
        </w:rPr>
      </w:pPr>
    </w:p>
    <w:p w:rsidR="008256D0" w:rsidRDefault="008256D0">
      <w:pPr>
        <w:jc w:val="both"/>
        <w:rPr>
          <w:sz w:val="24"/>
        </w:rPr>
      </w:pPr>
    </w:p>
    <w:p w:rsidR="00E4613D" w:rsidRDefault="00E4613D">
      <w:pPr>
        <w:pStyle w:val="Heading2"/>
        <w:jc w:val="both"/>
      </w:pPr>
      <w:r>
        <w:t>PUBLIC HEARING</w:t>
      </w:r>
    </w:p>
    <w:p w:rsidR="00E4613D" w:rsidRDefault="00E4613D">
      <w:pPr>
        <w:jc w:val="both"/>
        <w:rPr>
          <w:b/>
          <w:sz w:val="24"/>
        </w:rPr>
      </w:pPr>
    </w:p>
    <w:p w:rsidR="00E4613D" w:rsidRDefault="00E4613D">
      <w:pPr>
        <w:jc w:val="both"/>
        <w:rPr>
          <w:sz w:val="24"/>
        </w:rPr>
      </w:pPr>
      <w:r>
        <w:rPr>
          <w:b/>
          <w:sz w:val="24"/>
        </w:rPr>
        <w:tab/>
        <w:t>DATE:</w:t>
      </w:r>
      <w:r>
        <w:rPr>
          <w:sz w:val="24"/>
        </w:rPr>
        <w:t xml:space="preserve">  </w:t>
      </w:r>
      <w:r w:rsidR="00875B3D">
        <w:rPr>
          <w:sz w:val="24"/>
        </w:rPr>
        <w:t>September 10</w:t>
      </w:r>
      <w:r w:rsidR="00892EDA">
        <w:rPr>
          <w:sz w:val="24"/>
        </w:rPr>
        <w:t>, 2020</w:t>
      </w:r>
    </w:p>
    <w:p w:rsidR="00063D7F" w:rsidRDefault="00E4613D">
      <w:pPr>
        <w:jc w:val="both"/>
        <w:rPr>
          <w:sz w:val="24"/>
        </w:rPr>
      </w:pPr>
      <w:r>
        <w:rPr>
          <w:sz w:val="24"/>
        </w:rPr>
        <w:tab/>
      </w:r>
    </w:p>
    <w:p w:rsidR="00E4613D" w:rsidRDefault="00E4613D" w:rsidP="00A75650">
      <w:pPr>
        <w:ind w:firstLine="720"/>
        <w:jc w:val="both"/>
        <w:rPr>
          <w:sz w:val="24"/>
        </w:rPr>
      </w:pPr>
      <w:r>
        <w:rPr>
          <w:b/>
          <w:sz w:val="24"/>
        </w:rPr>
        <w:t>Witnesses in Favor:</w:t>
      </w:r>
      <w:r>
        <w:rPr>
          <w:sz w:val="24"/>
        </w:rPr>
        <w:t xml:space="preserve">  </w:t>
      </w:r>
      <w:r w:rsidR="008A6503">
        <w:rPr>
          <w:sz w:val="24"/>
        </w:rPr>
        <w:t>Four</w:t>
      </w:r>
      <w:r w:rsidR="009F0926">
        <w:rPr>
          <w:sz w:val="24"/>
        </w:rPr>
        <w:tab/>
      </w:r>
      <w:r w:rsidR="00A75650">
        <w:rPr>
          <w:sz w:val="24"/>
        </w:rPr>
        <w:tab/>
      </w:r>
      <w:r w:rsidR="00A75650"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Witnesses Against:</w:t>
      </w:r>
      <w:r w:rsidR="00C55A54">
        <w:rPr>
          <w:sz w:val="24"/>
        </w:rPr>
        <w:t xml:space="preserve">  </w:t>
      </w:r>
      <w:r w:rsidR="008A6503">
        <w:rPr>
          <w:sz w:val="24"/>
        </w:rPr>
        <w:t>Two</w:t>
      </w:r>
    </w:p>
    <w:p w:rsidR="007C7914" w:rsidRDefault="007C7914" w:rsidP="007C7914"/>
    <w:p w:rsidR="00393553" w:rsidRDefault="00393553">
      <w:pPr>
        <w:pStyle w:val="Heading2"/>
        <w:jc w:val="both"/>
        <w:rPr>
          <w:b w:val="0"/>
          <w:u w:val="none"/>
        </w:rPr>
      </w:pPr>
    </w:p>
    <w:p w:rsidR="00892EDA" w:rsidRDefault="00892EDA" w:rsidP="00892EDA"/>
    <w:p w:rsidR="00892EDA" w:rsidRDefault="00892EDA" w:rsidP="00892EDA"/>
    <w:p w:rsidR="00892EDA" w:rsidRPr="00892EDA" w:rsidRDefault="00892EDA" w:rsidP="00892EDA"/>
    <w:p w:rsidR="00E4613D" w:rsidRDefault="00E4613D">
      <w:pPr>
        <w:pStyle w:val="Heading2"/>
        <w:jc w:val="both"/>
      </w:pPr>
      <w:r>
        <w:t>SUBCOMMITTEE RECOMMENDATION</w:t>
      </w:r>
    </w:p>
    <w:p w:rsidR="00E4613D" w:rsidRDefault="00E4613D">
      <w:pPr>
        <w:jc w:val="both"/>
        <w:rPr>
          <w:b/>
          <w:sz w:val="24"/>
        </w:rPr>
      </w:pPr>
    </w:p>
    <w:p w:rsidR="00E4613D" w:rsidRDefault="00E4613D">
      <w:pPr>
        <w:jc w:val="both"/>
        <w:rPr>
          <w:sz w:val="24"/>
        </w:rPr>
      </w:pPr>
      <w:r>
        <w:rPr>
          <w:b/>
          <w:sz w:val="24"/>
        </w:rPr>
        <w:tab/>
        <w:t>DATE:</w:t>
      </w:r>
      <w:r>
        <w:rPr>
          <w:sz w:val="24"/>
        </w:rPr>
        <w:t xml:space="preserve">  </w:t>
      </w:r>
      <w:r w:rsidR="00875B3D">
        <w:rPr>
          <w:sz w:val="24"/>
        </w:rPr>
        <w:t xml:space="preserve">September </w:t>
      </w:r>
      <w:r w:rsidR="008A6503">
        <w:rPr>
          <w:sz w:val="24"/>
        </w:rPr>
        <w:t>22</w:t>
      </w:r>
      <w:r w:rsidR="00892EDA">
        <w:rPr>
          <w:sz w:val="24"/>
        </w:rPr>
        <w:t>, 2020</w:t>
      </w:r>
    </w:p>
    <w:p w:rsidR="00E4613D" w:rsidRDefault="00E4613D">
      <w:pPr>
        <w:jc w:val="both"/>
        <w:rPr>
          <w:sz w:val="24"/>
        </w:rPr>
      </w:pPr>
    </w:p>
    <w:p w:rsidR="00F935BD" w:rsidRPr="00F935BD" w:rsidRDefault="00E4613D" w:rsidP="00F935BD">
      <w:pPr>
        <w:ind w:right="-180"/>
        <w:jc w:val="both"/>
        <w:rPr>
          <w:sz w:val="24"/>
          <w:szCs w:val="24"/>
        </w:rPr>
      </w:pPr>
      <w:r>
        <w:tab/>
      </w:r>
      <w:r w:rsidR="00F935BD" w:rsidRPr="00F935BD">
        <w:rPr>
          <w:sz w:val="24"/>
          <w:szCs w:val="24"/>
        </w:rPr>
        <w:t>The Subcommittee recommends that the Land Use Committee approve the decision of the City Planning Commission and the HPD request.</w:t>
      </w:r>
    </w:p>
    <w:p w:rsidR="00E4613D" w:rsidRDefault="00E4613D" w:rsidP="00F935BD">
      <w:pPr>
        <w:pStyle w:val="BodyText"/>
        <w:widowControl/>
        <w:tabs>
          <w:tab w:val="clear" w:pos="720"/>
          <w:tab w:val="clear" w:pos="7560"/>
        </w:tabs>
        <w:ind w:right="-180"/>
      </w:pPr>
    </w:p>
    <w:p w:rsidR="00E4613D" w:rsidRDefault="00E4613D">
      <w:pPr>
        <w:jc w:val="both"/>
        <w:rPr>
          <w:sz w:val="24"/>
        </w:rPr>
      </w:pPr>
      <w:r>
        <w:rPr>
          <w:b/>
          <w:sz w:val="24"/>
        </w:rPr>
        <w:t>In Favor: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Against: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Abstain:</w:t>
      </w:r>
    </w:p>
    <w:p w:rsidR="009F0926" w:rsidRDefault="00774C46">
      <w:pPr>
        <w:jc w:val="both"/>
        <w:rPr>
          <w:sz w:val="24"/>
        </w:rPr>
      </w:pPr>
      <w:r>
        <w:rPr>
          <w:sz w:val="24"/>
        </w:rPr>
        <w:t>Adams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None</w:t>
      </w:r>
    </w:p>
    <w:p w:rsidR="00774C46" w:rsidRDefault="00774C46">
      <w:pPr>
        <w:jc w:val="both"/>
        <w:rPr>
          <w:sz w:val="24"/>
        </w:rPr>
      </w:pPr>
      <w:r>
        <w:rPr>
          <w:sz w:val="24"/>
        </w:rPr>
        <w:t>Koo</w:t>
      </w:r>
    </w:p>
    <w:p w:rsidR="00774C46" w:rsidRDefault="00774C46">
      <w:pPr>
        <w:jc w:val="both"/>
        <w:rPr>
          <w:sz w:val="24"/>
        </w:rPr>
      </w:pPr>
      <w:r>
        <w:rPr>
          <w:sz w:val="24"/>
        </w:rPr>
        <w:t>Barron</w:t>
      </w:r>
    </w:p>
    <w:p w:rsidR="00774C46" w:rsidRDefault="00774C46">
      <w:pPr>
        <w:jc w:val="both"/>
        <w:rPr>
          <w:sz w:val="24"/>
        </w:rPr>
      </w:pPr>
      <w:r>
        <w:rPr>
          <w:sz w:val="24"/>
        </w:rPr>
        <w:t>Miller</w:t>
      </w:r>
    </w:p>
    <w:p w:rsidR="00774C46" w:rsidRDefault="00774C46">
      <w:pPr>
        <w:jc w:val="both"/>
        <w:rPr>
          <w:sz w:val="24"/>
        </w:rPr>
      </w:pPr>
      <w:r>
        <w:rPr>
          <w:sz w:val="24"/>
        </w:rPr>
        <w:t>Treyger</w:t>
      </w:r>
    </w:p>
    <w:p w:rsidR="00892EDA" w:rsidRDefault="00892EDA">
      <w:pPr>
        <w:jc w:val="both"/>
        <w:rPr>
          <w:sz w:val="24"/>
        </w:rPr>
      </w:pPr>
    </w:p>
    <w:p w:rsidR="00892EDA" w:rsidRDefault="00892EDA">
      <w:pPr>
        <w:jc w:val="both"/>
        <w:rPr>
          <w:sz w:val="24"/>
        </w:rPr>
      </w:pPr>
    </w:p>
    <w:p w:rsidR="00E4613D" w:rsidRDefault="00E4613D">
      <w:pPr>
        <w:jc w:val="both"/>
        <w:rPr>
          <w:sz w:val="24"/>
        </w:rPr>
      </w:pPr>
    </w:p>
    <w:p w:rsidR="00E4613D" w:rsidRDefault="00E4613D">
      <w:pPr>
        <w:pStyle w:val="Heading2"/>
        <w:jc w:val="both"/>
      </w:pPr>
      <w:r>
        <w:t>COMMITTEE ACTION</w:t>
      </w:r>
    </w:p>
    <w:p w:rsidR="00E4613D" w:rsidRDefault="00E4613D">
      <w:pPr>
        <w:jc w:val="both"/>
        <w:rPr>
          <w:sz w:val="24"/>
        </w:rPr>
      </w:pPr>
    </w:p>
    <w:p w:rsidR="00E4613D" w:rsidRDefault="00E4613D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DATE:</w:t>
      </w:r>
      <w:r w:rsidR="009F0926">
        <w:rPr>
          <w:sz w:val="24"/>
        </w:rPr>
        <w:t xml:space="preserve"> </w:t>
      </w:r>
      <w:r w:rsidR="00875B3D">
        <w:rPr>
          <w:sz w:val="24"/>
        </w:rPr>
        <w:t xml:space="preserve">September </w:t>
      </w:r>
      <w:r w:rsidR="008A6503">
        <w:rPr>
          <w:sz w:val="24"/>
        </w:rPr>
        <w:t>29</w:t>
      </w:r>
      <w:r w:rsidR="00892EDA">
        <w:rPr>
          <w:sz w:val="24"/>
        </w:rPr>
        <w:t>, 2020</w:t>
      </w:r>
    </w:p>
    <w:p w:rsidR="00E4613D" w:rsidRDefault="00E4613D">
      <w:pPr>
        <w:jc w:val="both"/>
        <w:rPr>
          <w:sz w:val="24"/>
        </w:rPr>
      </w:pPr>
    </w:p>
    <w:p w:rsidR="007E051D" w:rsidRDefault="00E4613D">
      <w:pPr>
        <w:jc w:val="both"/>
        <w:rPr>
          <w:sz w:val="24"/>
        </w:rPr>
      </w:pPr>
      <w:r>
        <w:rPr>
          <w:sz w:val="24"/>
        </w:rPr>
        <w:tab/>
        <w:t xml:space="preserve">The Committee recommends that the Council </w:t>
      </w:r>
      <w:r w:rsidR="009F0926">
        <w:rPr>
          <w:sz w:val="24"/>
        </w:rPr>
        <w:t>approve the attached resolutions.</w:t>
      </w:r>
    </w:p>
    <w:p w:rsidR="00E4613D" w:rsidRDefault="006B79E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E4613D" w:rsidRDefault="00E4613D">
      <w:pPr>
        <w:jc w:val="both"/>
        <w:rPr>
          <w:b/>
          <w:sz w:val="24"/>
        </w:rPr>
      </w:pPr>
      <w:r>
        <w:rPr>
          <w:b/>
          <w:sz w:val="24"/>
        </w:rPr>
        <w:t>In Favor: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Against: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Abstain:</w:t>
      </w:r>
    </w:p>
    <w:p w:rsidR="007B1155" w:rsidRDefault="007B1155" w:rsidP="007B1155">
      <w:pPr>
        <w:jc w:val="both"/>
        <w:rPr>
          <w:sz w:val="24"/>
        </w:rPr>
      </w:pPr>
      <w:r>
        <w:rPr>
          <w:sz w:val="24"/>
        </w:rPr>
        <w:t>Salamanca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None</w:t>
      </w:r>
    </w:p>
    <w:p w:rsidR="007B1155" w:rsidRDefault="007B1155" w:rsidP="007B1155">
      <w:pPr>
        <w:jc w:val="both"/>
        <w:rPr>
          <w:sz w:val="24"/>
        </w:rPr>
      </w:pPr>
      <w:r>
        <w:rPr>
          <w:sz w:val="24"/>
        </w:rPr>
        <w:t>Gibson</w:t>
      </w:r>
    </w:p>
    <w:p w:rsidR="007B1155" w:rsidRDefault="007B1155" w:rsidP="007B1155">
      <w:pPr>
        <w:jc w:val="both"/>
        <w:rPr>
          <w:sz w:val="24"/>
        </w:rPr>
      </w:pPr>
      <w:r>
        <w:rPr>
          <w:sz w:val="24"/>
        </w:rPr>
        <w:t>Barron</w:t>
      </w:r>
    </w:p>
    <w:p w:rsidR="007B1155" w:rsidRDefault="007B1155" w:rsidP="007B1155">
      <w:pPr>
        <w:jc w:val="both"/>
        <w:rPr>
          <w:sz w:val="24"/>
        </w:rPr>
      </w:pPr>
      <w:r>
        <w:rPr>
          <w:sz w:val="24"/>
        </w:rPr>
        <w:t>Deutsch</w:t>
      </w:r>
    </w:p>
    <w:p w:rsidR="007B1155" w:rsidRDefault="007B1155" w:rsidP="007B1155">
      <w:pPr>
        <w:jc w:val="both"/>
        <w:rPr>
          <w:sz w:val="24"/>
        </w:rPr>
      </w:pPr>
      <w:r>
        <w:rPr>
          <w:sz w:val="24"/>
        </w:rPr>
        <w:t>Koo</w:t>
      </w:r>
    </w:p>
    <w:p w:rsidR="007B1155" w:rsidRDefault="007B1155" w:rsidP="007B1155">
      <w:pPr>
        <w:jc w:val="both"/>
        <w:rPr>
          <w:sz w:val="24"/>
        </w:rPr>
      </w:pPr>
      <w:r>
        <w:rPr>
          <w:sz w:val="24"/>
        </w:rPr>
        <w:t>Lancman</w:t>
      </w:r>
    </w:p>
    <w:p w:rsidR="007B1155" w:rsidRDefault="007B1155" w:rsidP="007B1155">
      <w:pPr>
        <w:jc w:val="both"/>
        <w:rPr>
          <w:sz w:val="24"/>
        </w:rPr>
      </w:pPr>
      <w:r>
        <w:rPr>
          <w:sz w:val="24"/>
        </w:rPr>
        <w:t>Levin</w:t>
      </w:r>
    </w:p>
    <w:p w:rsidR="007B1155" w:rsidRDefault="007B1155" w:rsidP="007B1155">
      <w:pPr>
        <w:jc w:val="both"/>
        <w:rPr>
          <w:sz w:val="24"/>
        </w:rPr>
      </w:pPr>
      <w:r>
        <w:rPr>
          <w:sz w:val="24"/>
        </w:rPr>
        <w:t>Miller</w:t>
      </w:r>
    </w:p>
    <w:p w:rsidR="007B1155" w:rsidRDefault="007B1155" w:rsidP="007B1155">
      <w:pPr>
        <w:jc w:val="both"/>
        <w:rPr>
          <w:sz w:val="24"/>
        </w:rPr>
      </w:pPr>
      <w:r>
        <w:rPr>
          <w:sz w:val="24"/>
        </w:rPr>
        <w:t>Reynoso</w:t>
      </w:r>
    </w:p>
    <w:p w:rsidR="007B1155" w:rsidRDefault="007B1155" w:rsidP="007B1155">
      <w:pPr>
        <w:jc w:val="both"/>
        <w:rPr>
          <w:sz w:val="24"/>
        </w:rPr>
      </w:pPr>
      <w:r>
        <w:rPr>
          <w:sz w:val="24"/>
        </w:rPr>
        <w:t>Treyger</w:t>
      </w:r>
    </w:p>
    <w:p w:rsidR="007B1155" w:rsidRDefault="007B1155" w:rsidP="007B1155">
      <w:pPr>
        <w:jc w:val="both"/>
        <w:rPr>
          <w:sz w:val="24"/>
        </w:rPr>
      </w:pPr>
      <w:r>
        <w:rPr>
          <w:sz w:val="24"/>
        </w:rPr>
        <w:t>Grodenchik</w:t>
      </w:r>
    </w:p>
    <w:p w:rsidR="007B1155" w:rsidRDefault="007B1155" w:rsidP="007B1155">
      <w:pPr>
        <w:jc w:val="both"/>
        <w:rPr>
          <w:sz w:val="24"/>
        </w:rPr>
      </w:pPr>
      <w:r>
        <w:rPr>
          <w:sz w:val="24"/>
        </w:rPr>
        <w:t>Adams</w:t>
      </w:r>
    </w:p>
    <w:p w:rsidR="007B1155" w:rsidRDefault="007B1155" w:rsidP="007B1155">
      <w:pPr>
        <w:jc w:val="both"/>
        <w:rPr>
          <w:sz w:val="24"/>
        </w:rPr>
      </w:pPr>
      <w:r>
        <w:rPr>
          <w:sz w:val="24"/>
        </w:rPr>
        <w:t>Ayala</w:t>
      </w:r>
    </w:p>
    <w:p w:rsidR="007B1155" w:rsidRDefault="007B1155" w:rsidP="007B1155">
      <w:pPr>
        <w:jc w:val="both"/>
        <w:rPr>
          <w:sz w:val="24"/>
        </w:rPr>
      </w:pPr>
      <w:r>
        <w:rPr>
          <w:sz w:val="24"/>
        </w:rPr>
        <w:t>Diaz</w:t>
      </w:r>
    </w:p>
    <w:p w:rsidR="007B1155" w:rsidRDefault="007B1155" w:rsidP="007B1155">
      <w:pPr>
        <w:jc w:val="both"/>
        <w:rPr>
          <w:sz w:val="24"/>
        </w:rPr>
      </w:pPr>
      <w:r>
        <w:rPr>
          <w:sz w:val="24"/>
        </w:rPr>
        <w:t>Moya</w:t>
      </w:r>
    </w:p>
    <w:p w:rsidR="007B1155" w:rsidRPr="001D4B14" w:rsidRDefault="007B1155" w:rsidP="007B1155">
      <w:pPr>
        <w:jc w:val="both"/>
        <w:rPr>
          <w:sz w:val="24"/>
        </w:rPr>
      </w:pPr>
      <w:r>
        <w:rPr>
          <w:sz w:val="24"/>
        </w:rPr>
        <w:t>Rivera</w:t>
      </w:r>
    </w:p>
    <w:p w:rsidR="007B1155" w:rsidRPr="007B1155" w:rsidRDefault="007B1155">
      <w:pPr>
        <w:jc w:val="both"/>
        <w:rPr>
          <w:sz w:val="24"/>
        </w:rPr>
      </w:pPr>
    </w:p>
    <w:sectPr w:rsidR="007B1155" w:rsidRPr="007B1155" w:rsidSect="006D78B6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C8C" w:rsidRDefault="00BE3C8C">
      <w:r>
        <w:separator/>
      </w:r>
    </w:p>
  </w:endnote>
  <w:endnote w:type="continuationSeparator" w:id="0">
    <w:p w:rsidR="00BE3C8C" w:rsidRDefault="00BE3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8A" w:rsidRDefault="0062778A" w:rsidP="00E461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778A" w:rsidRDefault="0062778A" w:rsidP="007815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8A" w:rsidRDefault="0062778A" w:rsidP="007815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C8C" w:rsidRDefault="00BE3C8C">
      <w:r>
        <w:separator/>
      </w:r>
    </w:p>
  </w:footnote>
  <w:footnote w:type="continuationSeparator" w:id="0">
    <w:p w:rsidR="00BE3C8C" w:rsidRDefault="00BE3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8A" w:rsidRDefault="0062778A">
    <w:pPr>
      <w:pStyle w:val="Header"/>
    </w:pPr>
  </w:p>
  <w:p w:rsidR="00414617" w:rsidRDefault="00414617">
    <w:pPr>
      <w:pStyle w:val="Header"/>
    </w:pPr>
  </w:p>
  <w:p w:rsidR="00414617" w:rsidRDefault="00414617">
    <w:pPr>
      <w:pStyle w:val="Header"/>
    </w:pPr>
  </w:p>
  <w:p w:rsidR="0062778A" w:rsidRDefault="0062778A">
    <w:pPr>
      <w:pStyle w:val="Header"/>
      <w:rPr>
        <w:b/>
        <w:sz w:val="24"/>
        <w:szCs w:val="24"/>
      </w:rPr>
    </w:pPr>
    <w:r w:rsidRPr="00A17B48">
      <w:rPr>
        <w:b/>
        <w:sz w:val="24"/>
        <w:szCs w:val="24"/>
      </w:rPr>
      <w:t xml:space="preserve">Page </w:t>
    </w:r>
    <w:r w:rsidRPr="00A17B48">
      <w:rPr>
        <w:b/>
        <w:sz w:val="24"/>
        <w:szCs w:val="24"/>
      </w:rPr>
      <w:fldChar w:fldCharType="begin"/>
    </w:r>
    <w:r w:rsidRPr="00A17B48">
      <w:rPr>
        <w:b/>
        <w:sz w:val="24"/>
        <w:szCs w:val="24"/>
      </w:rPr>
      <w:instrText xml:space="preserve"> PAGE </w:instrText>
    </w:r>
    <w:r w:rsidRPr="00A17B48">
      <w:rPr>
        <w:b/>
        <w:sz w:val="24"/>
        <w:szCs w:val="24"/>
      </w:rPr>
      <w:fldChar w:fldCharType="separate"/>
    </w:r>
    <w:r w:rsidR="001D0C2F">
      <w:rPr>
        <w:b/>
        <w:noProof/>
        <w:sz w:val="24"/>
        <w:szCs w:val="24"/>
      </w:rPr>
      <w:t>3</w:t>
    </w:r>
    <w:r w:rsidRPr="00A17B48">
      <w:rPr>
        <w:b/>
        <w:sz w:val="24"/>
        <w:szCs w:val="24"/>
      </w:rPr>
      <w:fldChar w:fldCharType="end"/>
    </w:r>
    <w:r w:rsidRPr="00A17B48">
      <w:rPr>
        <w:b/>
        <w:sz w:val="24"/>
        <w:szCs w:val="24"/>
      </w:rPr>
      <w:t xml:space="preserve"> of </w:t>
    </w:r>
    <w:r w:rsidRPr="00A17B48">
      <w:rPr>
        <w:b/>
        <w:sz w:val="24"/>
        <w:szCs w:val="24"/>
      </w:rPr>
      <w:fldChar w:fldCharType="begin"/>
    </w:r>
    <w:r w:rsidRPr="00A17B48">
      <w:rPr>
        <w:b/>
        <w:sz w:val="24"/>
        <w:szCs w:val="24"/>
      </w:rPr>
      <w:instrText xml:space="preserve"> NUMPAGES </w:instrText>
    </w:r>
    <w:r w:rsidRPr="00A17B48">
      <w:rPr>
        <w:b/>
        <w:sz w:val="24"/>
        <w:szCs w:val="24"/>
      </w:rPr>
      <w:fldChar w:fldCharType="separate"/>
    </w:r>
    <w:r w:rsidR="001D0C2F">
      <w:rPr>
        <w:b/>
        <w:noProof/>
        <w:sz w:val="24"/>
        <w:szCs w:val="24"/>
      </w:rPr>
      <w:t>3</w:t>
    </w:r>
    <w:r w:rsidRPr="00A17B48">
      <w:rPr>
        <w:b/>
        <w:sz w:val="24"/>
        <w:szCs w:val="24"/>
      </w:rPr>
      <w:fldChar w:fldCharType="end"/>
    </w:r>
  </w:p>
  <w:p w:rsidR="0084315E" w:rsidRDefault="00F935BD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C </w:t>
    </w:r>
    <w:r w:rsidR="0084315E">
      <w:rPr>
        <w:b/>
        <w:sz w:val="24"/>
        <w:szCs w:val="24"/>
      </w:rPr>
      <w:t>200188 HAK and 20205415 HAK</w:t>
    </w:r>
  </w:p>
  <w:p w:rsidR="0062778A" w:rsidRDefault="0062778A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L.U. No</w:t>
    </w:r>
    <w:r w:rsidR="00F935BD">
      <w:rPr>
        <w:b/>
        <w:sz w:val="24"/>
        <w:szCs w:val="24"/>
      </w:rPr>
      <w:t>s</w:t>
    </w:r>
    <w:r>
      <w:rPr>
        <w:b/>
        <w:sz w:val="24"/>
        <w:szCs w:val="24"/>
      </w:rPr>
      <w:t xml:space="preserve">. </w:t>
    </w:r>
    <w:r w:rsidR="00875B3D">
      <w:rPr>
        <w:b/>
        <w:sz w:val="24"/>
        <w:szCs w:val="24"/>
      </w:rPr>
      <w:t>667 and 668</w:t>
    </w:r>
    <w:r>
      <w:rPr>
        <w:b/>
        <w:sz w:val="24"/>
        <w:szCs w:val="24"/>
      </w:rPr>
      <w:t xml:space="preserve"> (Res. No</w:t>
    </w:r>
    <w:r w:rsidR="00F935BD">
      <w:rPr>
        <w:b/>
        <w:sz w:val="24"/>
        <w:szCs w:val="24"/>
      </w:rPr>
      <w:t>s</w:t>
    </w:r>
    <w:r>
      <w:rPr>
        <w:b/>
        <w:sz w:val="24"/>
        <w:szCs w:val="24"/>
      </w:rPr>
      <w:t xml:space="preserve">. </w:t>
    </w:r>
    <w:r w:rsidR="0084315E">
      <w:rPr>
        <w:b/>
        <w:sz w:val="24"/>
        <w:szCs w:val="24"/>
      </w:rPr>
      <w:t>____</w:t>
    </w:r>
    <w:r w:rsidR="00875B3D">
      <w:rPr>
        <w:b/>
        <w:sz w:val="24"/>
        <w:szCs w:val="24"/>
      </w:rPr>
      <w:t xml:space="preserve"> and </w:t>
    </w:r>
    <w:r w:rsidR="0084315E">
      <w:rPr>
        <w:b/>
        <w:sz w:val="24"/>
        <w:szCs w:val="24"/>
      </w:rPr>
      <w:t>____</w:t>
    </w:r>
    <w:r>
      <w:rPr>
        <w:b/>
        <w:sz w:val="24"/>
        <w:szCs w:val="24"/>
      </w:rPr>
      <w:t>)</w:t>
    </w:r>
  </w:p>
  <w:p w:rsidR="00414617" w:rsidRPr="00D00A7A" w:rsidRDefault="00414617">
    <w:pPr>
      <w:pStyle w:val="Header"/>
      <w:rPr>
        <w:b/>
        <w:sz w:val="24"/>
        <w:szCs w:val="24"/>
      </w:rPr>
    </w:pPr>
  </w:p>
  <w:p w:rsidR="0062778A" w:rsidRPr="00D00A7A" w:rsidRDefault="0062778A">
    <w:pPr>
      <w:pStyle w:val="Head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8E2E1BBC"/>
    <w:lvl w:ilvl="0">
      <w:start w:val="1"/>
      <w:numFmt w:val="decimal"/>
      <w:lvlText w:val="%1)"/>
      <w:lvlJc w:val="left"/>
      <w:pPr>
        <w:ind w:left="460" w:hanging="360"/>
      </w:pPr>
      <w:rPr>
        <w:rFonts w:ascii="Times New Roman" w:hAnsi="Times New Roman" w:cs="Times New Roman"/>
        <w:b w:val="0"/>
        <w:bCs w:val="0"/>
        <w:spacing w:val="-2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rFonts w:hint="default"/>
        <w:b w:val="0"/>
        <w:bCs w:val="0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2111" w:hanging="360"/>
      </w:pPr>
    </w:lvl>
    <w:lvl w:ilvl="3">
      <w:numFmt w:val="bullet"/>
      <w:lvlText w:val="•"/>
      <w:lvlJc w:val="left"/>
      <w:pPr>
        <w:ind w:left="3042" w:hanging="360"/>
      </w:pPr>
    </w:lvl>
    <w:lvl w:ilvl="4">
      <w:numFmt w:val="bullet"/>
      <w:lvlText w:val="•"/>
      <w:lvlJc w:val="left"/>
      <w:pPr>
        <w:ind w:left="3973" w:hanging="360"/>
      </w:pPr>
    </w:lvl>
    <w:lvl w:ilvl="5">
      <w:numFmt w:val="bullet"/>
      <w:lvlText w:val="•"/>
      <w:lvlJc w:val="left"/>
      <w:pPr>
        <w:ind w:left="4904" w:hanging="360"/>
      </w:pPr>
    </w:lvl>
    <w:lvl w:ilvl="6">
      <w:numFmt w:val="bullet"/>
      <w:lvlText w:val="•"/>
      <w:lvlJc w:val="left"/>
      <w:pPr>
        <w:ind w:left="5835" w:hanging="360"/>
      </w:pPr>
    </w:lvl>
    <w:lvl w:ilvl="7">
      <w:numFmt w:val="bullet"/>
      <w:lvlText w:val="•"/>
      <w:lvlJc w:val="left"/>
      <w:pPr>
        <w:ind w:left="6766" w:hanging="360"/>
      </w:pPr>
    </w:lvl>
    <w:lvl w:ilvl="8">
      <w:numFmt w:val="bullet"/>
      <w:lvlText w:val="•"/>
      <w:lvlJc w:val="left"/>
      <w:pPr>
        <w:ind w:left="7697" w:hanging="360"/>
      </w:pPr>
    </w:lvl>
  </w:abstractNum>
  <w:abstractNum w:abstractNumId="1" w15:restartNumberingAfterBreak="0">
    <w:nsid w:val="3A06339D"/>
    <w:multiLevelType w:val="hybridMultilevel"/>
    <w:tmpl w:val="AAB4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02728"/>
    <w:multiLevelType w:val="hybridMultilevel"/>
    <w:tmpl w:val="DBD07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A4A03"/>
    <w:multiLevelType w:val="singleLevel"/>
    <w:tmpl w:val="3210025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690D730D"/>
    <w:multiLevelType w:val="singleLevel"/>
    <w:tmpl w:val="716229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69535320"/>
    <w:multiLevelType w:val="hybridMultilevel"/>
    <w:tmpl w:val="6FC0970C"/>
    <w:lvl w:ilvl="0" w:tplc="0409000F">
      <w:start w:val="1"/>
      <w:numFmt w:val="decimal"/>
      <w:lvlText w:val="%1."/>
      <w:lvlJc w:val="left"/>
      <w:pPr>
        <w:ind w:left="859" w:hanging="360"/>
      </w:pPr>
    </w:lvl>
    <w:lvl w:ilvl="1" w:tplc="04090019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48"/>
    <w:rsid w:val="00033180"/>
    <w:rsid w:val="00063D7F"/>
    <w:rsid w:val="00076A02"/>
    <w:rsid w:val="00085A19"/>
    <w:rsid w:val="0009327F"/>
    <w:rsid w:val="000B43E7"/>
    <w:rsid w:val="00102613"/>
    <w:rsid w:val="00111A46"/>
    <w:rsid w:val="00152648"/>
    <w:rsid w:val="00180C72"/>
    <w:rsid w:val="001D0C2F"/>
    <w:rsid w:val="001D2B95"/>
    <w:rsid w:val="001E1FBC"/>
    <w:rsid w:val="002155DC"/>
    <w:rsid w:val="00231988"/>
    <w:rsid w:val="00244950"/>
    <w:rsid w:val="00247204"/>
    <w:rsid w:val="002556B8"/>
    <w:rsid w:val="00270022"/>
    <w:rsid w:val="00277209"/>
    <w:rsid w:val="00287ED9"/>
    <w:rsid w:val="002A7011"/>
    <w:rsid w:val="003056E1"/>
    <w:rsid w:val="00317179"/>
    <w:rsid w:val="00326004"/>
    <w:rsid w:val="00333C6C"/>
    <w:rsid w:val="0036689B"/>
    <w:rsid w:val="00385235"/>
    <w:rsid w:val="00393553"/>
    <w:rsid w:val="003B2A58"/>
    <w:rsid w:val="003D2214"/>
    <w:rsid w:val="003F622A"/>
    <w:rsid w:val="003F7FB1"/>
    <w:rsid w:val="00411477"/>
    <w:rsid w:val="00414617"/>
    <w:rsid w:val="00414E64"/>
    <w:rsid w:val="00415A45"/>
    <w:rsid w:val="004747D3"/>
    <w:rsid w:val="004A569E"/>
    <w:rsid w:val="004C0F46"/>
    <w:rsid w:val="004C5778"/>
    <w:rsid w:val="004F55A4"/>
    <w:rsid w:val="00513C49"/>
    <w:rsid w:val="00521379"/>
    <w:rsid w:val="0052252C"/>
    <w:rsid w:val="00526F66"/>
    <w:rsid w:val="00560A15"/>
    <w:rsid w:val="00564FC7"/>
    <w:rsid w:val="00567160"/>
    <w:rsid w:val="00575B58"/>
    <w:rsid w:val="00592BD4"/>
    <w:rsid w:val="0059423A"/>
    <w:rsid w:val="005C15B6"/>
    <w:rsid w:val="005D593F"/>
    <w:rsid w:val="00602F02"/>
    <w:rsid w:val="006069F6"/>
    <w:rsid w:val="0062660E"/>
    <w:rsid w:val="0062778A"/>
    <w:rsid w:val="00636DB9"/>
    <w:rsid w:val="0064258A"/>
    <w:rsid w:val="00652A2A"/>
    <w:rsid w:val="00654C4A"/>
    <w:rsid w:val="006976FE"/>
    <w:rsid w:val="006B48A1"/>
    <w:rsid w:val="006B79E3"/>
    <w:rsid w:val="006C118D"/>
    <w:rsid w:val="006C32A1"/>
    <w:rsid w:val="006C43C7"/>
    <w:rsid w:val="006D78B6"/>
    <w:rsid w:val="006E106A"/>
    <w:rsid w:val="0071031B"/>
    <w:rsid w:val="00722D3F"/>
    <w:rsid w:val="0074434C"/>
    <w:rsid w:val="00746A43"/>
    <w:rsid w:val="00757941"/>
    <w:rsid w:val="00772981"/>
    <w:rsid w:val="00774C46"/>
    <w:rsid w:val="007815D1"/>
    <w:rsid w:val="00785455"/>
    <w:rsid w:val="007A2525"/>
    <w:rsid w:val="007B1155"/>
    <w:rsid w:val="007C7914"/>
    <w:rsid w:val="007E051D"/>
    <w:rsid w:val="00801B0A"/>
    <w:rsid w:val="008256D0"/>
    <w:rsid w:val="0084315E"/>
    <w:rsid w:val="008439FD"/>
    <w:rsid w:val="00863EED"/>
    <w:rsid w:val="00865535"/>
    <w:rsid w:val="008728C9"/>
    <w:rsid w:val="00875B3D"/>
    <w:rsid w:val="00876FCC"/>
    <w:rsid w:val="00892EDA"/>
    <w:rsid w:val="008A6503"/>
    <w:rsid w:val="008B404A"/>
    <w:rsid w:val="008B452D"/>
    <w:rsid w:val="008E3EE7"/>
    <w:rsid w:val="008F0BE7"/>
    <w:rsid w:val="0091246F"/>
    <w:rsid w:val="0091505A"/>
    <w:rsid w:val="00917B65"/>
    <w:rsid w:val="009324BA"/>
    <w:rsid w:val="009832B1"/>
    <w:rsid w:val="009A2BFD"/>
    <w:rsid w:val="009A3666"/>
    <w:rsid w:val="009B5434"/>
    <w:rsid w:val="009E26B9"/>
    <w:rsid w:val="009F0926"/>
    <w:rsid w:val="009F587D"/>
    <w:rsid w:val="009F7182"/>
    <w:rsid w:val="00A10C3A"/>
    <w:rsid w:val="00A129C6"/>
    <w:rsid w:val="00A14F6B"/>
    <w:rsid w:val="00A164A1"/>
    <w:rsid w:val="00A17B48"/>
    <w:rsid w:val="00A351E9"/>
    <w:rsid w:val="00A56C11"/>
    <w:rsid w:val="00A75650"/>
    <w:rsid w:val="00A77995"/>
    <w:rsid w:val="00A82CE5"/>
    <w:rsid w:val="00AA2C3E"/>
    <w:rsid w:val="00AB7246"/>
    <w:rsid w:val="00AE34C6"/>
    <w:rsid w:val="00B3246F"/>
    <w:rsid w:val="00B37B02"/>
    <w:rsid w:val="00B74D0B"/>
    <w:rsid w:val="00B77746"/>
    <w:rsid w:val="00B918EF"/>
    <w:rsid w:val="00B954C0"/>
    <w:rsid w:val="00BB3595"/>
    <w:rsid w:val="00BD4DA0"/>
    <w:rsid w:val="00BE3C8C"/>
    <w:rsid w:val="00BF6983"/>
    <w:rsid w:val="00C034C5"/>
    <w:rsid w:val="00C27567"/>
    <w:rsid w:val="00C350EE"/>
    <w:rsid w:val="00C55A54"/>
    <w:rsid w:val="00C63D8A"/>
    <w:rsid w:val="00C70599"/>
    <w:rsid w:val="00C800FD"/>
    <w:rsid w:val="00C96CB5"/>
    <w:rsid w:val="00CE532C"/>
    <w:rsid w:val="00D00A7A"/>
    <w:rsid w:val="00D228D6"/>
    <w:rsid w:val="00D2567A"/>
    <w:rsid w:val="00D5453B"/>
    <w:rsid w:val="00D60559"/>
    <w:rsid w:val="00D70DDB"/>
    <w:rsid w:val="00D8275D"/>
    <w:rsid w:val="00D90AF6"/>
    <w:rsid w:val="00DA43DB"/>
    <w:rsid w:val="00DF5BA0"/>
    <w:rsid w:val="00DF615E"/>
    <w:rsid w:val="00E0062D"/>
    <w:rsid w:val="00E112C3"/>
    <w:rsid w:val="00E15FF5"/>
    <w:rsid w:val="00E166BD"/>
    <w:rsid w:val="00E329AB"/>
    <w:rsid w:val="00E4613D"/>
    <w:rsid w:val="00E708AD"/>
    <w:rsid w:val="00E71F13"/>
    <w:rsid w:val="00E74484"/>
    <w:rsid w:val="00E865F5"/>
    <w:rsid w:val="00EC1CDC"/>
    <w:rsid w:val="00EF2987"/>
    <w:rsid w:val="00F02299"/>
    <w:rsid w:val="00F42B02"/>
    <w:rsid w:val="00F935BD"/>
    <w:rsid w:val="00FA5BC8"/>
    <w:rsid w:val="00FC492B"/>
    <w:rsid w:val="00FE10D9"/>
    <w:rsid w:val="00FE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C0BA7F"/>
  <w15:chartTrackingRefBased/>
  <w15:docId w15:val="{90DB35BF-D12B-475F-9EEF-14D5F93A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020"/>
      </w:tabs>
      <w:jc w:val="both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">
    <w:name w:val="Body Text"/>
    <w:basedOn w:val="Normal"/>
    <w:pPr>
      <w:widowControl w:val="0"/>
      <w:tabs>
        <w:tab w:val="left" w:pos="720"/>
        <w:tab w:val="left" w:pos="7560"/>
      </w:tabs>
      <w:jc w:val="both"/>
    </w:pPr>
    <w:rPr>
      <w:snapToGrid w:val="0"/>
      <w:sz w:val="24"/>
    </w:rPr>
  </w:style>
  <w:style w:type="paragraph" w:styleId="Header">
    <w:name w:val="header"/>
    <w:basedOn w:val="Normal"/>
    <w:rsid w:val="00A17B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7B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15D1"/>
  </w:style>
  <w:style w:type="paragraph" w:styleId="ListParagraph">
    <w:name w:val="List Paragraph"/>
    <w:basedOn w:val="Normal"/>
    <w:uiPriority w:val="34"/>
    <w:qFormat/>
    <w:rsid w:val="00C70599"/>
    <w:pPr>
      <w:ind w:left="720"/>
    </w:pPr>
  </w:style>
  <w:style w:type="character" w:styleId="CommentReference">
    <w:name w:val="annotation reference"/>
    <w:rsid w:val="00B777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7746"/>
  </w:style>
  <w:style w:type="character" w:customStyle="1" w:styleId="CommentTextChar">
    <w:name w:val="Comment Text Char"/>
    <w:basedOn w:val="DefaultParagraphFont"/>
    <w:link w:val="CommentText"/>
    <w:rsid w:val="00B77746"/>
  </w:style>
  <w:style w:type="paragraph" w:styleId="CommentSubject">
    <w:name w:val="annotation subject"/>
    <w:basedOn w:val="CommentText"/>
    <w:next w:val="CommentText"/>
    <w:link w:val="CommentSubjectChar"/>
    <w:rsid w:val="00B77746"/>
    <w:rPr>
      <w:b/>
      <w:bCs/>
    </w:rPr>
  </w:style>
  <w:style w:type="character" w:customStyle="1" w:styleId="CommentSubjectChar">
    <w:name w:val="Comment Subject Char"/>
    <w:link w:val="CommentSubject"/>
    <w:rsid w:val="00B77746"/>
    <w:rPr>
      <w:b/>
      <w:bCs/>
    </w:rPr>
  </w:style>
  <w:style w:type="paragraph" w:styleId="BalloonText">
    <w:name w:val="Balloon Text"/>
    <w:basedOn w:val="Normal"/>
    <w:link w:val="BalloonTextChar"/>
    <w:rsid w:val="00B777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77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subject/>
  <dc:creator>New York City Council</dc:creator>
  <cp:keywords/>
  <cp:lastModifiedBy>DelFranco, Ruthie</cp:lastModifiedBy>
  <cp:revision>4</cp:revision>
  <cp:lastPrinted>2001-04-30T16:32:00Z</cp:lastPrinted>
  <dcterms:created xsi:type="dcterms:W3CDTF">2020-10-15T03:19:00Z</dcterms:created>
  <dcterms:modified xsi:type="dcterms:W3CDTF">2020-10-15T15:28:00Z</dcterms:modified>
</cp:coreProperties>
</file>