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EC55" w14:textId="6D656412" w:rsidR="00E1026D" w:rsidRPr="00250DC6" w:rsidRDefault="00083AF9" w:rsidP="00E1026D">
      <w:pPr>
        <w:ind w:firstLine="720"/>
        <w:jc w:val="right"/>
      </w:pPr>
      <w:bookmarkStart w:id="0" w:name="_GoBack"/>
      <w:bookmarkEnd w:id="0"/>
      <w:r>
        <w:t>February 11</w:t>
      </w:r>
      <w:r w:rsidR="002459AF">
        <w:t>, 2020</w:t>
      </w:r>
    </w:p>
    <w:p w14:paraId="3D642C1C" w14:textId="77777777" w:rsidR="00D65276" w:rsidRPr="00250DC6" w:rsidRDefault="00D65276" w:rsidP="00561D25">
      <w:r w:rsidRPr="00250DC6">
        <w:t>TO:</w:t>
      </w:r>
      <w:r w:rsidRPr="00250DC6">
        <w:tab/>
      </w:r>
      <w:r w:rsidRPr="00250DC6">
        <w:tab/>
        <w:t>Hon. Daniel Dromm</w:t>
      </w:r>
    </w:p>
    <w:p w14:paraId="46FD0670" w14:textId="77777777" w:rsidR="00D65276" w:rsidRPr="00250DC6" w:rsidRDefault="00D65276" w:rsidP="00561D25">
      <w:r w:rsidRPr="00250DC6">
        <w:tab/>
      </w:r>
      <w:r w:rsidRPr="00250DC6">
        <w:tab/>
        <w:t>Chair, Finance Committee</w:t>
      </w:r>
    </w:p>
    <w:p w14:paraId="73ECCF7A" w14:textId="77777777" w:rsidR="00D65276" w:rsidRPr="00250DC6" w:rsidRDefault="00D65276" w:rsidP="00561D25">
      <w:pPr>
        <w:ind w:left="720" w:firstLine="720"/>
      </w:pPr>
      <w:r w:rsidRPr="00250DC6">
        <w:t>Members of the Finance Committee</w:t>
      </w:r>
    </w:p>
    <w:p w14:paraId="5EE05E86" w14:textId="77777777" w:rsidR="00D65276" w:rsidRPr="00250DC6" w:rsidRDefault="00D65276" w:rsidP="00561D25"/>
    <w:p w14:paraId="2C2516C0" w14:textId="34FBBA0B" w:rsidR="00D65276" w:rsidRDefault="00D65276" w:rsidP="00561D25">
      <w:r w:rsidRPr="00250DC6">
        <w:t>FROM:</w:t>
      </w:r>
      <w:r w:rsidRPr="00250DC6">
        <w:tab/>
        <w:t>Rebecca Chasan, Senior Counsel, Finance Division</w:t>
      </w:r>
    </w:p>
    <w:p w14:paraId="5E21D763" w14:textId="5E553942" w:rsidR="0007468E" w:rsidRPr="00250DC6" w:rsidRDefault="0007468E" w:rsidP="00561D25">
      <w:pPr>
        <w:ind w:left="720" w:firstLine="720"/>
      </w:pPr>
      <w:r w:rsidRPr="00250DC6">
        <w:t>Noah Brick, Assistant Counsel, Finance Division</w:t>
      </w:r>
    </w:p>
    <w:p w14:paraId="25E67D4C" w14:textId="77777777" w:rsidR="00D65276" w:rsidRPr="00250DC6" w:rsidRDefault="00D65276" w:rsidP="00561D25">
      <w:r w:rsidRPr="00250DC6">
        <w:tab/>
      </w:r>
      <w:r w:rsidRPr="00250DC6">
        <w:tab/>
      </w:r>
    </w:p>
    <w:p w14:paraId="68A39BD7" w14:textId="2DAF5CD9" w:rsidR="006D5395" w:rsidRDefault="00D65276" w:rsidP="00561D25">
      <w:pPr>
        <w:ind w:left="1440" w:hanging="1440"/>
      </w:pPr>
      <w:r w:rsidRPr="00250DC6">
        <w:t>RE:</w:t>
      </w:r>
      <w:r w:rsidRPr="00250DC6">
        <w:tab/>
        <w:t xml:space="preserve">Finance Committee Agenda of </w:t>
      </w:r>
      <w:r w:rsidR="005F33FB">
        <w:t>February 11</w:t>
      </w:r>
      <w:r w:rsidR="002459AF">
        <w:t>, 2020</w:t>
      </w:r>
      <w:r w:rsidR="004D7CE5">
        <w:t xml:space="preserve"> – Resolution</w:t>
      </w:r>
      <w:r w:rsidR="002459AF">
        <w:t xml:space="preserve"> </w:t>
      </w:r>
      <w:r w:rsidRPr="00250DC6">
        <w:t xml:space="preserve">approving a tax exemption for </w:t>
      </w:r>
      <w:r w:rsidR="00083AF9">
        <w:t>two</w:t>
      </w:r>
      <w:r w:rsidR="002459AF">
        <w:t xml:space="preserve"> </w:t>
      </w:r>
      <w:r w:rsidRPr="00B906D6">
        <w:t>L</w:t>
      </w:r>
      <w:r w:rsidR="001D7AC0" w:rsidRPr="00B906D6">
        <w:t>and Use item</w:t>
      </w:r>
      <w:r w:rsidR="00083AF9">
        <w:t>s</w:t>
      </w:r>
      <w:r w:rsidR="00715D53">
        <w:t xml:space="preserve"> (Council District</w:t>
      </w:r>
      <w:r w:rsidR="00083AF9">
        <w:t>s</w:t>
      </w:r>
      <w:r w:rsidR="00715D53">
        <w:t xml:space="preserve"> </w:t>
      </w:r>
      <w:r w:rsidR="00083AF9">
        <w:t>2 and 39</w:t>
      </w:r>
      <w:r w:rsidR="000143FC">
        <w:t>)</w:t>
      </w:r>
    </w:p>
    <w:p w14:paraId="3AE244CE" w14:textId="1A5E8E9B" w:rsidR="006D5395" w:rsidRDefault="006D5395" w:rsidP="00561D25">
      <w:pPr>
        <w:ind w:left="1440" w:hanging="1440"/>
      </w:pPr>
    </w:p>
    <w:p w14:paraId="3891A32E" w14:textId="77777777" w:rsidR="006F3BC0" w:rsidRDefault="006F3BC0" w:rsidP="00561D25">
      <w:pPr>
        <w:ind w:left="1440" w:hanging="1440"/>
      </w:pPr>
    </w:p>
    <w:p w14:paraId="5F6BC6A5" w14:textId="40C13105" w:rsidR="000E2083" w:rsidRDefault="000E2083" w:rsidP="00561D25">
      <w:pPr>
        <w:pStyle w:val="MediumGrid1-Accent21"/>
        <w:ind w:left="0"/>
        <w:rPr>
          <w:b/>
          <w:u w:val="single"/>
        </w:rPr>
      </w:pPr>
      <w:r>
        <w:rPr>
          <w:b/>
          <w:u w:val="single"/>
        </w:rPr>
        <w:t xml:space="preserve">Item 1: </w:t>
      </w:r>
      <w:r w:rsidR="00083AF9" w:rsidRPr="00083AF9">
        <w:rPr>
          <w:b/>
          <w:u w:val="single"/>
        </w:rPr>
        <w:t>528 East 11th Street</w:t>
      </w:r>
    </w:p>
    <w:p w14:paraId="44B097BC" w14:textId="309E9F70" w:rsidR="000E2083" w:rsidRDefault="000E2083" w:rsidP="00561D25">
      <w:pPr>
        <w:pStyle w:val="MediumGrid1-Accent21"/>
        <w:ind w:left="0"/>
        <w:rPr>
          <w:b/>
          <w:u w:val="single"/>
        </w:rPr>
      </w:pPr>
    </w:p>
    <w:p w14:paraId="6F4B13BA" w14:textId="3BF5A576" w:rsidR="00DC07A7" w:rsidRDefault="00D714C1" w:rsidP="003D4250">
      <w:pPr>
        <w:pStyle w:val="MediumGrid1-Accent21"/>
        <w:ind w:left="0"/>
        <w:jc w:val="both"/>
      </w:pPr>
      <w:r>
        <w:t xml:space="preserve">538 East 11th Street </w:t>
      </w:r>
      <w:r w:rsidRPr="00E062C1">
        <w:t>Housing</w:t>
      </w:r>
      <w:r>
        <w:t xml:space="preserve"> Development Fund Corporation (HDFC</w:t>
      </w:r>
      <w:r w:rsidRPr="00E062C1">
        <w:t xml:space="preserve">) </w:t>
      </w:r>
      <w:r>
        <w:t>acquired its 33-unit residential building from the City in 1981. These units include 25 two-bedroom apartments and e</w:t>
      </w:r>
      <w:r w:rsidR="00DC07A7">
        <w:t>ight</w:t>
      </w:r>
      <w:r>
        <w:t xml:space="preserve"> three-bedroom apartments. </w:t>
      </w:r>
      <w:r w:rsidR="00DC07A7">
        <w:t xml:space="preserve">Since </w:t>
      </w:r>
      <w:r w:rsidR="000D2267">
        <w:t xml:space="preserve">the 1981 </w:t>
      </w:r>
      <w:r w:rsidR="00DC07A7">
        <w:t>acquisition, t</w:t>
      </w:r>
      <w:r>
        <w:t xml:space="preserve">he HDFC </w:t>
      </w:r>
      <w:r w:rsidR="00AC05D4">
        <w:t xml:space="preserve">has </w:t>
      </w:r>
      <w:r w:rsidR="000D2267">
        <w:t xml:space="preserve">encountered various delays </w:t>
      </w:r>
      <w:r w:rsidR="00483139">
        <w:t>reincorporating</w:t>
      </w:r>
      <w:r>
        <w:t xml:space="preserve"> </w:t>
      </w:r>
      <w:r w:rsidR="000D2267">
        <w:t xml:space="preserve">and </w:t>
      </w:r>
      <w:r>
        <w:t>convert</w:t>
      </w:r>
      <w:r w:rsidR="00483139">
        <w:t>ing</w:t>
      </w:r>
      <w:r>
        <w:t xml:space="preserve"> from affordable rental to affordable limited-equity homeownership</w:t>
      </w:r>
      <w:r w:rsidR="000D2267">
        <w:t xml:space="preserve">. The HDFC is now assisted in this effort by the </w:t>
      </w:r>
      <w:r w:rsidR="00DC07A7">
        <w:t>Brooklyn Law School Corporate and Real Estate Clinic</w:t>
      </w:r>
      <w:r w:rsidR="000D2267">
        <w:t>.</w:t>
      </w:r>
    </w:p>
    <w:p w14:paraId="43470B58" w14:textId="1D084F16" w:rsidR="000D2267" w:rsidRDefault="000D2267" w:rsidP="003D4250">
      <w:pPr>
        <w:pStyle w:val="MediumGrid1-Accent21"/>
        <w:ind w:left="0"/>
        <w:jc w:val="both"/>
      </w:pPr>
    </w:p>
    <w:p w14:paraId="348D85F0" w14:textId="2B9A7544" w:rsidR="000D2267" w:rsidRDefault="000D2267" w:rsidP="004847EA">
      <w:pPr>
        <w:pStyle w:val="MediumGrid1-Accent21"/>
        <w:ind w:left="0"/>
        <w:jc w:val="both"/>
      </w:pPr>
      <w:r>
        <w:t>The New York City Department of Housing Preservation</w:t>
      </w:r>
      <w:r w:rsidRPr="00995244">
        <w:t xml:space="preserve"> and Development </w:t>
      </w:r>
      <w:r>
        <w:t>(HPD) is requesting that the Council approve a full, 40-year Article XI exemption</w:t>
      </w:r>
      <w:r w:rsidR="00406CC0">
        <w:t>,</w:t>
      </w:r>
      <w:r>
        <w:t xml:space="preserve"> retroactive to July 1, 1998. T</w:t>
      </w:r>
      <w:r w:rsidR="004847EA">
        <w:t>he HDFC</w:t>
      </w:r>
      <w:r w:rsidR="00483139">
        <w:t>’s</w:t>
      </w:r>
      <w:r w:rsidR="004847EA">
        <w:t xml:space="preserve"> </w:t>
      </w:r>
      <w:r w:rsidR="004847EA" w:rsidRPr="00D714C1">
        <w:t>Division of Alternative Management (DAMP)</w:t>
      </w:r>
      <w:r w:rsidR="004847EA">
        <w:t xml:space="preserve"> tax partial abatement</w:t>
      </w:r>
      <w:r w:rsidR="00483139">
        <w:t>, in place</w:t>
      </w:r>
      <w:r w:rsidR="004847EA">
        <w:t xml:space="preserve"> since March 20, 1989, </w:t>
      </w:r>
      <w:r>
        <w:t xml:space="preserve">would be terminated </w:t>
      </w:r>
      <w:r w:rsidR="00FF2303">
        <w:t xml:space="preserve">as of June 30, 1998. </w:t>
      </w:r>
    </w:p>
    <w:p w14:paraId="3019BF46" w14:textId="12CBAC74" w:rsidR="00FF2303" w:rsidRDefault="00FF2303" w:rsidP="004847EA">
      <w:pPr>
        <w:pStyle w:val="MediumGrid1-Accent21"/>
        <w:ind w:left="0"/>
        <w:jc w:val="both"/>
      </w:pPr>
    </w:p>
    <w:p w14:paraId="3D28C538" w14:textId="3551B8B4" w:rsidR="00406CC0" w:rsidRPr="00406CC0" w:rsidRDefault="00D714C1" w:rsidP="006F3BC0">
      <w:pPr>
        <w:jc w:val="both"/>
      </w:pPr>
      <w:r w:rsidRPr="004A412B">
        <w:t>HPD</w:t>
      </w:r>
      <w:r w:rsidR="00FF2303">
        <w:t xml:space="preserve"> and the </w:t>
      </w:r>
      <w:r>
        <w:t xml:space="preserve">HDFC </w:t>
      </w:r>
      <w:r w:rsidRPr="004A412B">
        <w:t xml:space="preserve">would enter into </w:t>
      </w:r>
      <w:r>
        <w:t xml:space="preserve">a </w:t>
      </w:r>
      <w:r w:rsidRPr="004A412B">
        <w:t>regulato</w:t>
      </w:r>
      <w:r>
        <w:t xml:space="preserve">ry agreement that would </w:t>
      </w:r>
      <w:r w:rsidR="00406CC0">
        <w:t xml:space="preserve">restrict the sales of shares corresponding to each unit to </w:t>
      </w:r>
      <w:r w:rsidR="00406CC0" w:rsidRPr="00406CC0">
        <w:t>households with income at or below 120% of the Area Median Income</w:t>
      </w:r>
      <w:r w:rsidR="00406CC0">
        <w:t xml:space="preserve"> (AMI)</w:t>
      </w:r>
      <w:r w:rsidR="00406CC0" w:rsidRPr="00406CC0">
        <w:t>.</w:t>
      </w:r>
      <w:r w:rsidR="00406CC0">
        <w:t xml:space="preserve"> While current renters who exceed the 120% AMI income threshold would be permitted to purchase shares, resale of their shares would be restricted by the terms of the agreement.</w:t>
      </w:r>
    </w:p>
    <w:p w14:paraId="7AD9C413" w14:textId="77777777" w:rsidR="00406CC0" w:rsidRDefault="00406CC0" w:rsidP="00337397">
      <w:pPr>
        <w:pStyle w:val="MediumGrid1-Accent21"/>
        <w:ind w:left="0"/>
      </w:pPr>
    </w:p>
    <w:p w14:paraId="422BF6E2" w14:textId="41A1E4F8" w:rsidR="00337397" w:rsidRPr="00FB415C" w:rsidRDefault="00337397" w:rsidP="00337397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>Summary</w:t>
      </w:r>
      <w:r w:rsidRPr="00C05C56">
        <w:t xml:space="preserve">: </w:t>
      </w:r>
    </w:p>
    <w:p w14:paraId="17625EBA" w14:textId="2ED79234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Borough – </w:t>
      </w:r>
      <w:r>
        <w:t>Manhattan</w:t>
      </w:r>
    </w:p>
    <w:p w14:paraId="304B4955" w14:textId="4CE00C31" w:rsidR="0038380E" w:rsidRPr="0038380E" w:rsidRDefault="00170186" w:rsidP="0038380E">
      <w:pPr>
        <w:pStyle w:val="ListParagraph"/>
        <w:numPr>
          <w:ilvl w:val="0"/>
          <w:numId w:val="1"/>
        </w:numPr>
        <w:contextualSpacing w:val="0"/>
      </w:pPr>
      <w:r>
        <w:rPr>
          <w:color w:val="000000"/>
        </w:rPr>
        <w:t xml:space="preserve">Block </w:t>
      </w:r>
      <w:r w:rsidR="00406CC0">
        <w:rPr>
          <w:color w:val="000000"/>
        </w:rPr>
        <w:t>404</w:t>
      </w:r>
      <w:r>
        <w:rPr>
          <w:color w:val="000000"/>
        </w:rPr>
        <w:t>,</w:t>
      </w:r>
      <w:r w:rsidR="0038380E" w:rsidRPr="0038380E">
        <w:rPr>
          <w:color w:val="000000"/>
        </w:rPr>
        <w:t xml:space="preserve"> </w:t>
      </w:r>
      <w:r w:rsidR="00406CC0">
        <w:t>Lot 18</w:t>
      </w:r>
    </w:p>
    <w:p w14:paraId="1EC3B611" w14:textId="77940362" w:rsidR="00362436" w:rsidRPr="00250DC6" w:rsidRDefault="00362436" w:rsidP="0038380E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District – </w:t>
      </w:r>
      <w:r w:rsidR="00406CC0">
        <w:t>2</w:t>
      </w:r>
    </w:p>
    <w:p w14:paraId="552C5ACE" w14:textId="6299DA32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Member – </w:t>
      </w:r>
      <w:r w:rsidR="00406CC0">
        <w:t>Rivera</w:t>
      </w:r>
    </w:p>
    <w:p w14:paraId="21A46642" w14:textId="77777777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>Council Member approval –Yes</w:t>
      </w:r>
    </w:p>
    <w:p w14:paraId="3AF3A826" w14:textId="140C9B7D" w:rsidR="00362436" w:rsidRPr="00250DC6" w:rsidRDefault="0038380E" w:rsidP="00561D25">
      <w:pPr>
        <w:pStyle w:val="ListParagraph"/>
        <w:numPr>
          <w:ilvl w:val="0"/>
          <w:numId w:val="1"/>
        </w:numPr>
        <w:contextualSpacing w:val="0"/>
      </w:pPr>
      <w:r>
        <w:t>Number of buildings – 1</w:t>
      </w:r>
    </w:p>
    <w:p w14:paraId="3086A028" w14:textId="0EDAE6C1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units – </w:t>
      </w:r>
      <w:r w:rsidR="00406CC0">
        <w:t>33</w:t>
      </w:r>
    </w:p>
    <w:p w14:paraId="37BAFD04" w14:textId="40710B69" w:rsidR="00362436" w:rsidRPr="00250DC6" w:rsidRDefault="0038380E" w:rsidP="00561D25">
      <w:pPr>
        <w:pStyle w:val="ListParagraph"/>
        <w:numPr>
          <w:ilvl w:val="0"/>
          <w:numId w:val="1"/>
        </w:numPr>
        <w:contextualSpacing w:val="0"/>
      </w:pPr>
      <w:r>
        <w:t>Type of exemption – Article XI, 40</w:t>
      </w:r>
      <w:r w:rsidR="00362436" w:rsidRPr="00250DC6">
        <w:t xml:space="preserve"> years</w:t>
      </w:r>
    </w:p>
    <w:p w14:paraId="1B895E2B" w14:textId="1C3A64D0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Population – affordable </w:t>
      </w:r>
      <w:r w:rsidR="00406CC0">
        <w:t>homeownership</w:t>
      </w:r>
    </w:p>
    <w:p w14:paraId="649F19E6" w14:textId="0D3E2FCE" w:rsidR="00406CC0" w:rsidRDefault="00362436" w:rsidP="00406CC0">
      <w:pPr>
        <w:pStyle w:val="ListParagraph"/>
        <w:numPr>
          <w:ilvl w:val="0"/>
          <w:numId w:val="1"/>
        </w:numPr>
        <w:contextualSpacing w:val="0"/>
      </w:pPr>
      <w:r w:rsidRPr="00250DC6">
        <w:t>Sponsor –</w:t>
      </w:r>
      <w:r>
        <w:t xml:space="preserve"> </w:t>
      </w:r>
      <w:r w:rsidR="00406CC0">
        <w:t>538 East 11th Street</w:t>
      </w:r>
      <w:r w:rsidR="00406CC0" w:rsidRPr="00406CC0">
        <w:t xml:space="preserve"> </w:t>
      </w:r>
      <w:r w:rsidR="00406CC0">
        <w:t xml:space="preserve">HDFC, </w:t>
      </w:r>
      <w:r w:rsidR="00406CC0" w:rsidRPr="00406CC0">
        <w:t>Urban Property Management Corp</w:t>
      </w:r>
      <w:r w:rsidR="00406CC0">
        <w:t>, Brooklyn Law School</w:t>
      </w:r>
    </w:p>
    <w:p w14:paraId="04B01E9B" w14:textId="77777777" w:rsidR="00406CC0" w:rsidRDefault="00362436" w:rsidP="00DB65EA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Purpose – </w:t>
      </w:r>
      <w:r w:rsidR="00406CC0">
        <w:t>preservation</w:t>
      </w:r>
    </w:p>
    <w:p w14:paraId="183B7649" w14:textId="77B0DA29" w:rsidR="00362436" w:rsidRPr="00250DC6" w:rsidRDefault="00362436" w:rsidP="00DB65EA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Cost to the city - </w:t>
      </w:r>
      <w:r w:rsidR="00634C22">
        <w:t>$</w:t>
      </w:r>
      <w:r w:rsidR="00406CC0">
        <w:t>5.6 million</w:t>
      </w:r>
    </w:p>
    <w:p w14:paraId="3C359CF8" w14:textId="77777777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lastRenderedPageBreak/>
        <w:t xml:space="preserve">Housing Code Violations </w:t>
      </w:r>
    </w:p>
    <w:p w14:paraId="6FD3B6C0" w14:textId="538B04C9" w:rsidR="00362436" w:rsidRPr="00250DC6" w:rsidRDefault="00362436" w:rsidP="00561D25">
      <w:pPr>
        <w:pStyle w:val="ListParagraph"/>
        <w:numPr>
          <w:ilvl w:val="1"/>
          <w:numId w:val="1"/>
        </w:numPr>
        <w:contextualSpacing w:val="0"/>
      </w:pPr>
      <w:r>
        <w:t xml:space="preserve">Class A – </w:t>
      </w:r>
      <w:r w:rsidR="00406CC0">
        <w:t>13</w:t>
      </w:r>
    </w:p>
    <w:p w14:paraId="2816C9BB" w14:textId="2280A2E7" w:rsidR="00362436" w:rsidRPr="00250DC6" w:rsidRDefault="00362436" w:rsidP="00561D25">
      <w:pPr>
        <w:pStyle w:val="ListParagraph"/>
        <w:numPr>
          <w:ilvl w:val="1"/>
          <w:numId w:val="1"/>
        </w:numPr>
        <w:contextualSpacing w:val="0"/>
      </w:pPr>
      <w:r>
        <w:t xml:space="preserve">Class B – </w:t>
      </w:r>
      <w:r w:rsidR="00406CC0">
        <w:t>37</w:t>
      </w:r>
    </w:p>
    <w:p w14:paraId="0D45C6A8" w14:textId="229708CB" w:rsidR="00362436" w:rsidRPr="00250DC6" w:rsidRDefault="00362436" w:rsidP="00561D25">
      <w:pPr>
        <w:pStyle w:val="ListParagraph"/>
        <w:numPr>
          <w:ilvl w:val="1"/>
          <w:numId w:val="1"/>
        </w:numPr>
        <w:contextualSpacing w:val="0"/>
      </w:pPr>
      <w:r>
        <w:t xml:space="preserve">Class C – </w:t>
      </w:r>
      <w:r w:rsidR="00406CC0">
        <w:t>3</w:t>
      </w:r>
    </w:p>
    <w:p w14:paraId="7F023A5E" w14:textId="3C4D1B35" w:rsidR="00E1026D" w:rsidRDefault="00362436" w:rsidP="0038380E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AMI target – </w:t>
      </w:r>
      <w:r w:rsidR="00406CC0">
        <w:t>120%</w:t>
      </w:r>
    </w:p>
    <w:p w14:paraId="257FDDCF" w14:textId="123A958E" w:rsidR="00506A5B" w:rsidRDefault="00506A5B" w:rsidP="00826233"/>
    <w:p w14:paraId="3DD8C6FE" w14:textId="4F34280F" w:rsidR="000035ED" w:rsidRDefault="00406CC0" w:rsidP="000035ED">
      <w:pPr>
        <w:pStyle w:val="MediumGrid1-Accent21"/>
        <w:ind w:left="0"/>
        <w:rPr>
          <w:b/>
          <w:u w:val="single"/>
        </w:rPr>
      </w:pPr>
      <w:r>
        <w:rPr>
          <w:b/>
          <w:u w:val="single"/>
        </w:rPr>
        <w:t xml:space="preserve">Item 2: </w:t>
      </w:r>
      <w:r w:rsidR="000035ED" w:rsidRPr="00E1026D">
        <w:rPr>
          <w:b/>
          <w:u w:val="single"/>
        </w:rPr>
        <w:t>Carroll Gardens Portfolio</w:t>
      </w:r>
    </w:p>
    <w:p w14:paraId="4056D005" w14:textId="77777777" w:rsidR="000035ED" w:rsidRDefault="000035ED" w:rsidP="000035ED">
      <w:pPr>
        <w:pStyle w:val="MediumGrid1-Accent21"/>
        <w:ind w:left="0"/>
        <w:jc w:val="both"/>
        <w:rPr>
          <w:b/>
          <w:u w:val="single"/>
        </w:rPr>
      </w:pPr>
    </w:p>
    <w:p w14:paraId="5D77302C" w14:textId="77777777" w:rsidR="000035ED" w:rsidRDefault="000035ED" w:rsidP="000035ED">
      <w:pPr>
        <w:pStyle w:val="MediumGrid1-Accent21"/>
        <w:ind w:left="0"/>
        <w:jc w:val="both"/>
      </w:pPr>
      <w:r w:rsidRPr="001C4607">
        <w:t xml:space="preserve">The Carroll Gardens Portfolio is a 31-unit project across three buildings (361 Court Street, 239 Carroll Street, and 213 </w:t>
      </w:r>
      <w:proofErr w:type="spellStart"/>
      <w:r w:rsidRPr="001C4607">
        <w:t>Sackett</w:t>
      </w:r>
      <w:proofErr w:type="spellEnd"/>
      <w:r w:rsidRPr="001C4607">
        <w:t xml:space="preserve"> Street) in Carroll Gardens. Of the 31 units, three are studio</w:t>
      </w:r>
      <w:r>
        <w:t>s</w:t>
      </w:r>
      <w:r w:rsidRPr="001C4607">
        <w:t>, 22 are one-bedroom units, and six are two-bedroom units</w:t>
      </w:r>
      <w:r>
        <w:t>.</w:t>
      </w:r>
    </w:p>
    <w:p w14:paraId="407FF874" w14:textId="77777777" w:rsidR="000035ED" w:rsidRDefault="000035ED" w:rsidP="000035ED">
      <w:pPr>
        <w:pStyle w:val="MediumGrid1-Accent21"/>
        <w:ind w:left="0"/>
        <w:jc w:val="both"/>
      </w:pPr>
    </w:p>
    <w:p w14:paraId="086B4646" w14:textId="7529F2CB" w:rsidR="000035ED" w:rsidRDefault="000035ED" w:rsidP="000035ED">
      <w:pPr>
        <w:pStyle w:val="MediumGrid1-Accent21"/>
        <w:ind w:left="0"/>
        <w:jc w:val="both"/>
      </w:pPr>
      <w:r w:rsidRPr="001C4607">
        <w:t xml:space="preserve">Court Carroll </w:t>
      </w:r>
      <w:proofErr w:type="spellStart"/>
      <w:r w:rsidRPr="001C4607">
        <w:t>Sackett</w:t>
      </w:r>
      <w:proofErr w:type="spellEnd"/>
      <w:r w:rsidRPr="001C4607">
        <w:t xml:space="preserve"> HDFC acquired this portfolio in August </w:t>
      </w:r>
      <w:r>
        <w:t xml:space="preserve">2019 with a </w:t>
      </w:r>
      <w:r w:rsidRPr="000035ED">
        <w:t xml:space="preserve">Community Preservation Corporation </w:t>
      </w:r>
      <w:r>
        <w:t>acquisition bridge loan. At acquisition closing, the HDFC and HPD entered into a regulatory agreement. At permanent closing, the HDFC will replace its bridge debt with a loan from</w:t>
      </w:r>
      <w:r w:rsidR="005F33FB">
        <w:t xml:space="preserve"> the New York City Housing Development Corporation</w:t>
      </w:r>
      <w:r>
        <w:t xml:space="preserve"> </w:t>
      </w:r>
      <w:r w:rsidR="005F33FB">
        <w:t>(</w:t>
      </w:r>
      <w:r>
        <w:t>HDC</w:t>
      </w:r>
      <w:r w:rsidR="005F33FB">
        <w:t>)</w:t>
      </w:r>
      <w:r>
        <w:t xml:space="preserve"> and receive HPD subsidy to complete moderate rehab</w:t>
      </w:r>
      <w:r w:rsidR="005F33FB">
        <w:t>ilitation</w:t>
      </w:r>
      <w:r>
        <w:t xml:space="preserve"> work, including </w:t>
      </w:r>
      <w:r w:rsidRPr="00BA2083">
        <w:t>roof replacement, window replacement, electric upgrades, and boiler replacement</w:t>
      </w:r>
      <w:r>
        <w:t>.</w:t>
      </w:r>
    </w:p>
    <w:p w14:paraId="16738D86" w14:textId="77777777" w:rsidR="000035ED" w:rsidRDefault="000035ED" w:rsidP="000035ED">
      <w:pPr>
        <w:pStyle w:val="MediumGrid1-Accent21"/>
        <w:ind w:left="0"/>
        <w:jc w:val="both"/>
      </w:pPr>
      <w:r w:rsidRPr="001C4607">
        <w:t xml:space="preserve"> </w:t>
      </w:r>
    </w:p>
    <w:p w14:paraId="6A0919F4" w14:textId="7229DC37" w:rsidR="000035ED" w:rsidRDefault="000035ED" w:rsidP="000035ED">
      <w:pPr>
        <w:pStyle w:val="MediumGrid1-Accent21"/>
        <w:ind w:left="0"/>
        <w:jc w:val="both"/>
      </w:pPr>
      <w:r w:rsidRPr="00F91B0B">
        <w:t xml:space="preserve">HPD is requesting </w:t>
      </w:r>
      <w:r>
        <w:t>that</w:t>
      </w:r>
      <w:r w:rsidRPr="00F91B0B">
        <w:t xml:space="preserve"> Council approve a full, 40-year Article XI exemption</w:t>
      </w:r>
      <w:r>
        <w:t xml:space="preserve">. </w:t>
      </w:r>
      <w:r w:rsidRPr="00F91B0B">
        <w:t>HPD</w:t>
      </w:r>
      <w:r>
        <w:t>, HDC</w:t>
      </w:r>
      <w:r w:rsidRPr="00F91B0B">
        <w:t xml:space="preserve"> and the HDFC would enter into a </w:t>
      </w:r>
      <w:r>
        <w:t xml:space="preserve">superseding </w:t>
      </w:r>
      <w:r w:rsidRPr="00F91B0B">
        <w:t xml:space="preserve">40-year regulatory agreement that would require </w:t>
      </w:r>
      <w:r w:rsidRPr="00C05C56">
        <w:t xml:space="preserve">that </w:t>
      </w:r>
      <w:r>
        <w:t>10</w:t>
      </w:r>
      <w:r w:rsidRPr="00C05C56">
        <w:t xml:space="preserve"> units be leased to households with incomes up to </w:t>
      </w:r>
      <w:r>
        <w:t>6</w:t>
      </w:r>
      <w:r w:rsidRPr="00C05C56">
        <w:t>0% of AMI</w:t>
      </w:r>
      <w:r>
        <w:t xml:space="preserve">, 15 units be leased to households with incomes up to 80%, and </w:t>
      </w:r>
      <w:r w:rsidR="005F33FB">
        <w:t>six</w:t>
      </w:r>
      <w:r>
        <w:t xml:space="preserve"> units be leased to household with incomes up to 135%. </w:t>
      </w:r>
      <w:r w:rsidRPr="005D0980">
        <w:t xml:space="preserve">Half of </w:t>
      </w:r>
      <w:r>
        <w:t xml:space="preserve">each tranche of </w:t>
      </w:r>
      <w:r w:rsidRPr="005D0980">
        <w:t>units w</w:t>
      </w:r>
      <w:r>
        <w:t xml:space="preserve">ould </w:t>
      </w:r>
      <w:r w:rsidRPr="005D0980">
        <w:t>remain permanently affordable</w:t>
      </w:r>
      <w:r>
        <w:t xml:space="preserve">. </w:t>
      </w:r>
      <w:r w:rsidR="005F33FB">
        <w:t xml:space="preserve">Ten </w:t>
      </w:r>
      <w:r>
        <w:t xml:space="preserve">of the units would be </w:t>
      </w:r>
      <w:r w:rsidRPr="00C05C56">
        <w:t>reserve</w:t>
      </w:r>
      <w:r>
        <w:t>d</w:t>
      </w:r>
      <w:r w:rsidRPr="00C05C56">
        <w:t xml:space="preserve"> for </w:t>
      </w:r>
      <w:r>
        <w:t xml:space="preserve">referrals of </w:t>
      </w:r>
      <w:r w:rsidRPr="00C05C56">
        <w:t>formerly</w:t>
      </w:r>
      <w:r>
        <w:t xml:space="preserve"> </w:t>
      </w:r>
      <w:r w:rsidRPr="00C05C56">
        <w:t>homeless families</w:t>
      </w:r>
      <w:r>
        <w:t>.</w:t>
      </w:r>
    </w:p>
    <w:p w14:paraId="7A35A265" w14:textId="77777777" w:rsidR="000035ED" w:rsidRDefault="000035ED" w:rsidP="000035ED">
      <w:pPr>
        <w:pStyle w:val="MediumGrid1-Accent21"/>
        <w:ind w:left="0"/>
      </w:pPr>
    </w:p>
    <w:p w14:paraId="76A3E716" w14:textId="77777777" w:rsidR="000035ED" w:rsidRPr="00FB415C" w:rsidRDefault="000035ED" w:rsidP="000035ED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08E53480" w14:textId="7777777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Borough – </w:t>
      </w:r>
      <w:r>
        <w:t>Brooklyn</w:t>
      </w:r>
    </w:p>
    <w:p w14:paraId="5C1BCF91" w14:textId="77777777" w:rsidR="000035ED" w:rsidRPr="00513037" w:rsidRDefault="000035ED" w:rsidP="000035ED">
      <w:pPr>
        <w:pStyle w:val="ListParagraph"/>
        <w:numPr>
          <w:ilvl w:val="0"/>
          <w:numId w:val="1"/>
        </w:numPr>
        <w:rPr>
          <w:color w:val="000000"/>
        </w:rPr>
      </w:pPr>
      <w:r w:rsidRPr="00513037">
        <w:rPr>
          <w:color w:val="000000"/>
        </w:rPr>
        <w:t>Block 332, Lot 52</w:t>
      </w:r>
      <w:r>
        <w:rPr>
          <w:color w:val="000000"/>
        </w:rPr>
        <w:t xml:space="preserve">; </w:t>
      </w:r>
      <w:r w:rsidRPr="00513037">
        <w:rPr>
          <w:color w:val="000000"/>
        </w:rPr>
        <w:t>Block 435, Lot 1</w:t>
      </w:r>
      <w:r>
        <w:rPr>
          <w:color w:val="000000"/>
        </w:rPr>
        <w:t xml:space="preserve">; </w:t>
      </w:r>
      <w:r w:rsidRPr="00513037">
        <w:rPr>
          <w:color w:val="000000"/>
        </w:rPr>
        <w:t>Block 449, Lot 12</w:t>
      </w:r>
    </w:p>
    <w:p w14:paraId="31F6C8F1" w14:textId="7777777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>Council District</w:t>
      </w:r>
      <w:r>
        <w:t>s</w:t>
      </w:r>
      <w:r w:rsidRPr="00250DC6">
        <w:t xml:space="preserve"> – </w:t>
      </w:r>
      <w:r>
        <w:t>39</w:t>
      </w:r>
    </w:p>
    <w:p w14:paraId="6387822A" w14:textId="7777777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>Council Member</w:t>
      </w:r>
      <w:r>
        <w:t>s</w:t>
      </w:r>
      <w:r w:rsidRPr="00250DC6">
        <w:t xml:space="preserve"> – </w:t>
      </w:r>
      <w:r>
        <w:t>Lander</w:t>
      </w:r>
    </w:p>
    <w:p w14:paraId="6099836F" w14:textId="68B777D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>Council Member</w:t>
      </w:r>
      <w:r>
        <w:t>s</w:t>
      </w:r>
      <w:r w:rsidRPr="00250DC6">
        <w:t xml:space="preserve"> approval –</w:t>
      </w:r>
      <w:r>
        <w:t xml:space="preserve"> Yes</w:t>
      </w:r>
    </w:p>
    <w:p w14:paraId="7C543507" w14:textId="7777777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>
        <w:t>Number of buildings – 3</w:t>
      </w:r>
    </w:p>
    <w:p w14:paraId="45834979" w14:textId="7777777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units – </w:t>
      </w:r>
      <w:r>
        <w:t>31</w:t>
      </w:r>
    </w:p>
    <w:p w14:paraId="58A69194" w14:textId="7777777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Type of exemption – Article XI, </w:t>
      </w:r>
      <w:r>
        <w:t>full, 40</w:t>
      </w:r>
      <w:r w:rsidRPr="00250DC6">
        <w:t xml:space="preserve"> years</w:t>
      </w:r>
    </w:p>
    <w:p w14:paraId="092BC6D1" w14:textId="7777777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Population – affordable </w:t>
      </w:r>
      <w:r>
        <w:t>rental</w:t>
      </w:r>
    </w:p>
    <w:p w14:paraId="6F76F08D" w14:textId="7777777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>Sponsor –</w:t>
      </w:r>
      <w:r>
        <w:t xml:space="preserve"> </w:t>
      </w:r>
      <w:r w:rsidRPr="00506A5B">
        <w:t>ELH Management LLC</w:t>
      </w:r>
    </w:p>
    <w:p w14:paraId="40F74D01" w14:textId="7777777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>Purpose – preservation</w:t>
      </w:r>
    </w:p>
    <w:p w14:paraId="6A51FBE6" w14:textId="7777777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>Cost to the city - $</w:t>
      </w:r>
      <w:r>
        <w:t xml:space="preserve">1.9 </w:t>
      </w:r>
      <w:r w:rsidRPr="00250DC6">
        <w:t>million</w:t>
      </w:r>
    </w:p>
    <w:p w14:paraId="66398CE8" w14:textId="77777777" w:rsidR="000035ED" w:rsidRPr="00250DC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Housing Code Violations </w:t>
      </w:r>
    </w:p>
    <w:p w14:paraId="48DF7EC4" w14:textId="77777777" w:rsidR="000035ED" w:rsidRPr="00250DC6" w:rsidRDefault="000035ED" w:rsidP="000035ED">
      <w:pPr>
        <w:pStyle w:val="ListParagraph"/>
        <w:numPr>
          <w:ilvl w:val="1"/>
          <w:numId w:val="1"/>
        </w:numPr>
        <w:contextualSpacing w:val="0"/>
      </w:pPr>
      <w:r>
        <w:t>Class A – 5</w:t>
      </w:r>
    </w:p>
    <w:p w14:paraId="410F00EA" w14:textId="77777777" w:rsidR="000035ED" w:rsidRPr="00250DC6" w:rsidRDefault="000035ED" w:rsidP="000035ED">
      <w:pPr>
        <w:pStyle w:val="ListParagraph"/>
        <w:numPr>
          <w:ilvl w:val="1"/>
          <w:numId w:val="1"/>
        </w:numPr>
        <w:contextualSpacing w:val="0"/>
      </w:pPr>
      <w:r>
        <w:t>Class B – 13</w:t>
      </w:r>
    </w:p>
    <w:p w14:paraId="77A2F76F" w14:textId="77777777" w:rsidR="000035ED" w:rsidRPr="001B5F66" w:rsidRDefault="000035ED" w:rsidP="000035ED">
      <w:pPr>
        <w:pStyle w:val="ListParagraph"/>
        <w:numPr>
          <w:ilvl w:val="0"/>
          <w:numId w:val="1"/>
        </w:numPr>
        <w:contextualSpacing w:val="0"/>
      </w:pPr>
      <w:r w:rsidRPr="00250DC6">
        <w:t>AMI target</w:t>
      </w:r>
      <w:r>
        <w:t>s</w:t>
      </w:r>
      <w:r w:rsidRPr="00250DC6">
        <w:t xml:space="preserve"> –</w:t>
      </w:r>
      <w:r>
        <w:t xml:space="preserve"> 10 units at 60% AMI, 15 units at 80% AMI, 6 units at 135% AMI</w:t>
      </w:r>
    </w:p>
    <w:p w14:paraId="6C883649" w14:textId="77777777" w:rsidR="00406CC0" w:rsidRDefault="00406CC0" w:rsidP="000035ED">
      <w:pPr>
        <w:pStyle w:val="MediumGrid1-Accent21"/>
        <w:ind w:left="0"/>
        <w:jc w:val="both"/>
      </w:pPr>
    </w:p>
    <w:sectPr w:rsidR="00406CC0" w:rsidSect="00561D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17C2" w14:textId="77777777" w:rsidR="00A91296" w:rsidRDefault="00A91296" w:rsidP="00D65276">
      <w:r>
        <w:separator/>
      </w:r>
    </w:p>
  </w:endnote>
  <w:endnote w:type="continuationSeparator" w:id="0">
    <w:p w14:paraId="59DDB6C9" w14:textId="77777777" w:rsidR="00A91296" w:rsidRDefault="00A91296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1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AF4A9" w14:textId="244372A0" w:rsidR="002A7159" w:rsidRDefault="002A7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2992B" w14:textId="77777777" w:rsidR="002A7159" w:rsidRDefault="002A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46520" w14:textId="77777777" w:rsidR="00A91296" w:rsidRDefault="00A91296" w:rsidP="00D65276">
      <w:r>
        <w:separator/>
      </w:r>
    </w:p>
  </w:footnote>
  <w:footnote w:type="continuationSeparator" w:id="0">
    <w:p w14:paraId="4D9D6CA9" w14:textId="77777777" w:rsidR="00A91296" w:rsidRDefault="00A91296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43"/>
    <w:multiLevelType w:val="hybridMultilevel"/>
    <w:tmpl w:val="0E844278"/>
    <w:lvl w:ilvl="0" w:tplc="7F68429E">
      <w:start w:val="1"/>
      <w:numFmt w:val="decimal"/>
      <w:lvlText w:val="%1."/>
      <w:lvlJc w:val="left"/>
      <w:pPr>
        <w:ind w:left="571" w:hanging="361"/>
        <w:jc w:val="right"/>
      </w:pPr>
      <w:rPr>
        <w:rFonts w:ascii="Arial" w:hAnsi="Arial" w:cs="Arial" w:hint="default"/>
        <w:color w:val="000000" w:themeColor="text1"/>
        <w:spacing w:val="-1"/>
        <w:w w:val="100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2" w:tplc="5492FC3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F6FA7B2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8C44B07C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5" w:tplc="041E43B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D096834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19AC655A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887A3FD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</w:abstractNum>
  <w:abstractNum w:abstractNumId="1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2FB9"/>
    <w:multiLevelType w:val="hybridMultilevel"/>
    <w:tmpl w:val="33C8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4103"/>
    <w:multiLevelType w:val="hybridMultilevel"/>
    <w:tmpl w:val="BEC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5F12"/>
    <w:multiLevelType w:val="hybridMultilevel"/>
    <w:tmpl w:val="02F492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6DC5638B"/>
    <w:multiLevelType w:val="hybridMultilevel"/>
    <w:tmpl w:val="8B92E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2D3A7A"/>
    <w:multiLevelType w:val="hybridMultilevel"/>
    <w:tmpl w:val="F77CEA62"/>
    <w:lvl w:ilvl="0" w:tplc="2BEEB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5"/>
    <w:rsid w:val="00000573"/>
    <w:rsid w:val="00001062"/>
    <w:rsid w:val="000035ED"/>
    <w:rsid w:val="00012DD2"/>
    <w:rsid w:val="000143FC"/>
    <w:rsid w:val="000268E4"/>
    <w:rsid w:val="00030CAB"/>
    <w:rsid w:val="00032E88"/>
    <w:rsid w:val="00054E34"/>
    <w:rsid w:val="000578FE"/>
    <w:rsid w:val="00061DEC"/>
    <w:rsid w:val="00070D53"/>
    <w:rsid w:val="000710F0"/>
    <w:rsid w:val="0007468E"/>
    <w:rsid w:val="00074EB9"/>
    <w:rsid w:val="00081B61"/>
    <w:rsid w:val="00083AF9"/>
    <w:rsid w:val="00085863"/>
    <w:rsid w:val="00094D8D"/>
    <w:rsid w:val="000B5972"/>
    <w:rsid w:val="000B75E9"/>
    <w:rsid w:val="000C35A2"/>
    <w:rsid w:val="000D2267"/>
    <w:rsid w:val="000D5241"/>
    <w:rsid w:val="000E2083"/>
    <w:rsid w:val="00101F02"/>
    <w:rsid w:val="00102485"/>
    <w:rsid w:val="0013038D"/>
    <w:rsid w:val="0013117A"/>
    <w:rsid w:val="001347D3"/>
    <w:rsid w:val="00137849"/>
    <w:rsid w:val="00141C18"/>
    <w:rsid w:val="001445A8"/>
    <w:rsid w:val="00146777"/>
    <w:rsid w:val="001571F0"/>
    <w:rsid w:val="001602E4"/>
    <w:rsid w:val="0016533E"/>
    <w:rsid w:val="00170186"/>
    <w:rsid w:val="00171E42"/>
    <w:rsid w:val="00173996"/>
    <w:rsid w:val="00176F74"/>
    <w:rsid w:val="00181339"/>
    <w:rsid w:val="00181ED4"/>
    <w:rsid w:val="00194F2A"/>
    <w:rsid w:val="001A20B2"/>
    <w:rsid w:val="001B5F66"/>
    <w:rsid w:val="001C05AB"/>
    <w:rsid w:val="001C4607"/>
    <w:rsid w:val="001D7AC0"/>
    <w:rsid w:val="001F77B4"/>
    <w:rsid w:val="002209B8"/>
    <w:rsid w:val="00226A1D"/>
    <w:rsid w:val="00235142"/>
    <w:rsid w:val="002435C6"/>
    <w:rsid w:val="002459AF"/>
    <w:rsid w:val="002467F5"/>
    <w:rsid w:val="00250DC6"/>
    <w:rsid w:val="00284631"/>
    <w:rsid w:val="002A1F9D"/>
    <w:rsid w:val="002A7159"/>
    <w:rsid w:val="002B6DF5"/>
    <w:rsid w:val="002C0456"/>
    <w:rsid w:val="002C6253"/>
    <w:rsid w:val="002E6B2D"/>
    <w:rsid w:val="002E7EFA"/>
    <w:rsid w:val="002E7F6C"/>
    <w:rsid w:val="00324050"/>
    <w:rsid w:val="00333E09"/>
    <w:rsid w:val="00337397"/>
    <w:rsid w:val="003427AC"/>
    <w:rsid w:val="00362436"/>
    <w:rsid w:val="003669EF"/>
    <w:rsid w:val="0038380E"/>
    <w:rsid w:val="00392777"/>
    <w:rsid w:val="003A3485"/>
    <w:rsid w:val="003D00E4"/>
    <w:rsid w:val="003D4250"/>
    <w:rsid w:val="003F0F98"/>
    <w:rsid w:val="004020DE"/>
    <w:rsid w:val="004047ED"/>
    <w:rsid w:val="00406CC0"/>
    <w:rsid w:val="00420B03"/>
    <w:rsid w:val="00441340"/>
    <w:rsid w:val="00443E0E"/>
    <w:rsid w:val="00444D43"/>
    <w:rsid w:val="00472C36"/>
    <w:rsid w:val="00483139"/>
    <w:rsid w:val="004847EA"/>
    <w:rsid w:val="004924CA"/>
    <w:rsid w:val="00493DA6"/>
    <w:rsid w:val="004A412B"/>
    <w:rsid w:val="004A665C"/>
    <w:rsid w:val="004B0977"/>
    <w:rsid w:val="004B62F3"/>
    <w:rsid w:val="004D0E08"/>
    <w:rsid w:val="004D4D54"/>
    <w:rsid w:val="004D7CE5"/>
    <w:rsid w:val="004F23DD"/>
    <w:rsid w:val="004F7334"/>
    <w:rsid w:val="00506A5B"/>
    <w:rsid w:val="00512C73"/>
    <w:rsid w:val="00513037"/>
    <w:rsid w:val="00513770"/>
    <w:rsid w:val="0051748B"/>
    <w:rsid w:val="0052067A"/>
    <w:rsid w:val="00561D25"/>
    <w:rsid w:val="005642E3"/>
    <w:rsid w:val="00567787"/>
    <w:rsid w:val="00570305"/>
    <w:rsid w:val="00571E2D"/>
    <w:rsid w:val="005927E2"/>
    <w:rsid w:val="00593F9E"/>
    <w:rsid w:val="005A025C"/>
    <w:rsid w:val="005A4B86"/>
    <w:rsid w:val="005B61C7"/>
    <w:rsid w:val="005C5B58"/>
    <w:rsid w:val="005D0980"/>
    <w:rsid w:val="005F33FB"/>
    <w:rsid w:val="005F627C"/>
    <w:rsid w:val="00601891"/>
    <w:rsid w:val="00606C70"/>
    <w:rsid w:val="006142A9"/>
    <w:rsid w:val="006227A8"/>
    <w:rsid w:val="006230D4"/>
    <w:rsid w:val="00634325"/>
    <w:rsid w:val="00634C22"/>
    <w:rsid w:val="00651CC6"/>
    <w:rsid w:val="00657C11"/>
    <w:rsid w:val="00672FAF"/>
    <w:rsid w:val="00693878"/>
    <w:rsid w:val="0069638F"/>
    <w:rsid w:val="006B606A"/>
    <w:rsid w:val="006C439E"/>
    <w:rsid w:val="006D5395"/>
    <w:rsid w:val="006F3BC0"/>
    <w:rsid w:val="006F604A"/>
    <w:rsid w:val="006F78B6"/>
    <w:rsid w:val="006F78C3"/>
    <w:rsid w:val="007000AC"/>
    <w:rsid w:val="007016A6"/>
    <w:rsid w:val="0071134C"/>
    <w:rsid w:val="00715D53"/>
    <w:rsid w:val="007245CD"/>
    <w:rsid w:val="00730F05"/>
    <w:rsid w:val="0073310B"/>
    <w:rsid w:val="00752337"/>
    <w:rsid w:val="0076427D"/>
    <w:rsid w:val="00777653"/>
    <w:rsid w:val="007A5EAA"/>
    <w:rsid w:val="007E00ED"/>
    <w:rsid w:val="007E2DFA"/>
    <w:rsid w:val="007E35CD"/>
    <w:rsid w:val="007E54E7"/>
    <w:rsid w:val="007E76BE"/>
    <w:rsid w:val="00822E6C"/>
    <w:rsid w:val="008254B5"/>
    <w:rsid w:val="00826233"/>
    <w:rsid w:val="00830E5C"/>
    <w:rsid w:val="00852F21"/>
    <w:rsid w:val="008657EC"/>
    <w:rsid w:val="00870702"/>
    <w:rsid w:val="00871E02"/>
    <w:rsid w:val="00872CF0"/>
    <w:rsid w:val="00877E32"/>
    <w:rsid w:val="00884D75"/>
    <w:rsid w:val="00886740"/>
    <w:rsid w:val="00896BE9"/>
    <w:rsid w:val="008A6F15"/>
    <w:rsid w:val="008B3830"/>
    <w:rsid w:val="008D4437"/>
    <w:rsid w:val="008E51CA"/>
    <w:rsid w:val="008E67A0"/>
    <w:rsid w:val="008E6810"/>
    <w:rsid w:val="008F5DA6"/>
    <w:rsid w:val="009151CD"/>
    <w:rsid w:val="00926825"/>
    <w:rsid w:val="00945F10"/>
    <w:rsid w:val="00956501"/>
    <w:rsid w:val="0096340A"/>
    <w:rsid w:val="0097088B"/>
    <w:rsid w:val="0098046A"/>
    <w:rsid w:val="00983710"/>
    <w:rsid w:val="00991682"/>
    <w:rsid w:val="00995244"/>
    <w:rsid w:val="009B3E6F"/>
    <w:rsid w:val="009C144C"/>
    <w:rsid w:val="009D1AC0"/>
    <w:rsid w:val="009F7480"/>
    <w:rsid w:val="00A015E1"/>
    <w:rsid w:val="00A044E7"/>
    <w:rsid w:val="00A1341E"/>
    <w:rsid w:val="00A14BDB"/>
    <w:rsid w:val="00A54018"/>
    <w:rsid w:val="00A62778"/>
    <w:rsid w:val="00A64C37"/>
    <w:rsid w:val="00A80541"/>
    <w:rsid w:val="00A91296"/>
    <w:rsid w:val="00A92B2D"/>
    <w:rsid w:val="00AB09FA"/>
    <w:rsid w:val="00AB17C1"/>
    <w:rsid w:val="00AB701B"/>
    <w:rsid w:val="00AC05D4"/>
    <w:rsid w:val="00AC565C"/>
    <w:rsid w:val="00AD732D"/>
    <w:rsid w:val="00AD7F20"/>
    <w:rsid w:val="00AE1D72"/>
    <w:rsid w:val="00AE3EDE"/>
    <w:rsid w:val="00AE4543"/>
    <w:rsid w:val="00AE6573"/>
    <w:rsid w:val="00AE769B"/>
    <w:rsid w:val="00B15833"/>
    <w:rsid w:val="00B164C0"/>
    <w:rsid w:val="00B23E9C"/>
    <w:rsid w:val="00B41AF0"/>
    <w:rsid w:val="00B56C17"/>
    <w:rsid w:val="00B87F1A"/>
    <w:rsid w:val="00B906D6"/>
    <w:rsid w:val="00BA1D77"/>
    <w:rsid w:val="00BA2083"/>
    <w:rsid w:val="00BD6F00"/>
    <w:rsid w:val="00BE6E7F"/>
    <w:rsid w:val="00BF58D8"/>
    <w:rsid w:val="00C0172B"/>
    <w:rsid w:val="00C05C56"/>
    <w:rsid w:val="00C10F95"/>
    <w:rsid w:val="00C16512"/>
    <w:rsid w:val="00C168DE"/>
    <w:rsid w:val="00C3424F"/>
    <w:rsid w:val="00C575B5"/>
    <w:rsid w:val="00CA72CF"/>
    <w:rsid w:val="00CB0421"/>
    <w:rsid w:val="00CD1D0A"/>
    <w:rsid w:val="00CF518B"/>
    <w:rsid w:val="00D007DF"/>
    <w:rsid w:val="00D00912"/>
    <w:rsid w:val="00D045E0"/>
    <w:rsid w:val="00D07E9D"/>
    <w:rsid w:val="00D27F31"/>
    <w:rsid w:val="00D35B76"/>
    <w:rsid w:val="00D44C43"/>
    <w:rsid w:val="00D5454C"/>
    <w:rsid w:val="00D60D33"/>
    <w:rsid w:val="00D65276"/>
    <w:rsid w:val="00D6640E"/>
    <w:rsid w:val="00D665F0"/>
    <w:rsid w:val="00D714C1"/>
    <w:rsid w:val="00D75FD3"/>
    <w:rsid w:val="00D829E8"/>
    <w:rsid w:val="00D91808"/>
    <w:rsid w:val="00D9339E"/>
    <w:rsid w:val="00DA59BA"/>
    <w:rsid w:val="00DA616C"/>
    <w:rsid w:val="00DC07A7"/>
    <w:rsid w:val="00DC3C7D"/>
    <w:rsid w:val="00DD491C"/>
    <w:rsid w:val="00DF4632"/>
    <w:rsid w:val="00E004F6"/>
    <w:rsid w:val="00E062C1"/>
    <w:rsid w:val="00E1026D"/>
    <w:rsid w:val="00E26F95"/>
    <w:rsid w:val="00E74CFE"/>
    <w:rsid w:val="00E77867"/>
    <w:rsid w:val="00E97562"/>
    <w:rsid w:val="00ED1F73"/>
    <w:rsid w:val="00ED6F24"/>
    <w:rsid w:val="00EE3418"/>
    <w:rsid w:val="00EE4251"/>
    <w:rsid w:val="00EF39FD"/>
    <w:rsid w:val="00F17B89"/>
    <w:rsid w:val="00F3448D"/>
    <w:rsid w:val="00F361B6"/>
    <w:rsid w:val="00F467F8"/>
    <w:rsid w:val="00F50186"/>
    <w:rsid w:val="00F54AAD"/>
    <w:rsid w:val="00F605F1"/>
    <w:rsid w:val="00F65BAB"/>
    <w:rsid w:val="00F73291"/>
    <w:rsid w:val="00F85840"/>
    <w:rsid w:val="00F91B0B"/>
    <w:rsid w:val="00FA0E06"/>
    <w:rsid w:val="00FA711D"/>
    <w:rsid w:val="00FB577B"/>
    <w:rsid w:val="00FB57FE"/>
    <w:rsid w:val="00FD340F"/>
    <w:rsid w:val="00FD5C6C"/>
    <w:rsid w:val="00FF1565"/>
    <w:rsid w:val="00FF2303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B74CF5"/>
  <w15:chartTrackingRefBased/>
  <w15:docId w15:val="{EDFBACD3-A5A9-42CD-9656-687A90C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254B5"/>
    <w:pPr>
      <w:ind w:left="720"/>
    </w:pPr>
  </w:style>
  <w:style w:type="paragraph" w:styleId="ListParagraph">
    <w:name w:val="List Paragraph"/>
    <w:basedOn w:val="Normal"/>
    <w:uiPriority w:val="34"/>
    <w:qFormat/>
    <w:rsid w:val="0082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43F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F84C-969B-44C5-BB63-AB38DEB3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Brick, Noah</dc:creator>
  <cp:keywords/>
  <dc:description/>
  <cp:lastModifiedBy>DelFranco, Ruthie</cp:lastModifiedBy>
  <cp:revision>2</cp:revision>
  <cp:lastPrinted>2019-11-20T19:38:00Z</cp:lastPrinted>
  <dcterms:created xsi:type="dcterms:W3CDTF">2020-02-07T18:14:00Z</dcterms:created>
  <dcterms:modified xsi:type="dcterms:W3CDTF">2020-02-07T18:14:00Z</dcterms:modified>
</cp:coreProperties>
</file>