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6" w:type="dxa"/>
        <w:jc w:val="center"/>
        <w:tblLook w:val="0600" w:firstRow="0" w:lastRow="0" w:firstColumn="0" w:lastColumn="0" w:noHBand="1" w:noVBand="1"/>
      </w:tblPr>
      <w:tblGrid>
        <w:gridCol w:w="5670"/>
        <w:gridCol w:w="5456"/>
      </w:tblGrid>
      <w:tr w:rsidR="003B2EF6" w:rsidRPr="00012730" w:rsidTr="006019B9">
        <w:trPr>
          <w:trHeight w:val="1440"/>
          <w:jc w:val="center"/>
        </w:trPr>
        <w:tc>
          <w:tcPr>
            <w:tcW w:w="5670" w:type="dxa"/>
            <w:tcBorders>
              <w:bottom w:val="single" w:sz="4" w:space="0" w:color="auto"/>
            </w:tcBorders>
          </w:tcPr>
          <w:p w:rsidR="003B2EF6" w:rsidRPr="00012730" w:rsidRDefault="003B2EF6" w:rsidP="00506CEF">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42675C95" wp14:editId="12579001">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456" w:type="dxa"/>
            <w:tcBorders>
              <w:bottom w:val="single" w:sz="4" w:space="0" w:color="auto"/>
            </w:tcBorders>
          </w:tcPr>
          <w:p w:rsidR="003B2EF6" w:rsidRDefault="003B2EF6" w:rsidP="00506CEF">
            <w:pPr>
              <w:rPr>
                <w:b/>
                <w:bCs/>
                <w:smallCaps/>
              </w:rPr>
            </w:pPr>
            <w:r>
              <w:rPr>
                <w:b/>
                <w:bCs/>
                <w:smallCaps/>
              </w:rPr>
              <w:t>The Council of the City of New York</w:t>
            </w:r>
          </w:p>
          <w:p w:rsidR="003B2EF6" w:rsidRDefault="003B2EF6" w:rsidP="00506CEF">
            <w:pPr>
              <w:rPr>
                <w:b/>
                <w:bCs/>
                <w:smallCaps/>
              </w:rPr>
            </w:pPr>
            <w:r>
              <w:rPr>
                <w:b/>
                <w:bCs/>
                <w:smallCaps/>
              </w:rPr>
              <w:t>Finance Division</w:t>
            </w:r>
          </w:p>
          <w:p w:rsidR="003B2EF6" w:rsidRDefault="003B2EF6" w:rsidP="00506CEF">
            <w:pPr>
              <w:spacing w:before="120"/>
              <w:rPr>
                <w:b/>
                <w:bCs/>
                <w:smallCaps/>
              </w:rPr>
            </w:pPr>
            <w:r>
              <w:rPr>
                <w:b/>
                <w:bCs/>
                <w:smallCaps/>
              </w:rPr>
              <w:t>Latonia McKinney, Director</w:t>
            </w:r>
          </w:p>
          <w:p w:rsidR="003B2EF6" w:rsidRDefault="003B2EF6" w:rsidP="00506CEF">
            <w:pPr>
              <w:spacing w:before="120"/>
            </w:pPr>
            <w:r>
              <w:rPr>
                <w:b/>
                <w:bCs/>
                <w:smallCaps/>
              </w:rPr>
              <w:t>Fiscal Impact Statement</w:t>
            </w:r>
          </w:p>
          <w:p w:rsidR="003B2EF6" w:rsidRPr="00ED74D9" w:rsidRDefault="003B2EF6" w:rsidP="00506CEF">
            <w:pPr>
              <w:rPr>
                <w:b/>
                <w:bCs/>
                <w:sz w:val="16"/>
                <w:szCs w:val="16"/>
              </w:rPr>
            </w:pPr>
          </w:p>
          <w:p w:rsidR="003B2EF6" w:rsidRDefault="003B2EF6" w:rsidP="00506CEF">
            <w:pPr>
              <w:rPr>
                <w:b/>
                <w:bCs/>
              </w:rPr>
            </w:pPr>
            <w:r w:rsidRPr="00F14828">
              <w:rPr>
                <w:b/>
                <w:bCs/>
                <w:smallCaps/>
              </w:rPr>
              <w:t xml:space="preserve">Proposed </w:t>
            </w:r>
            <w:r w:rsidRPr="00EE2325">
              <w:rPr>
                <w:b/>
                <w:bCs/>
                <w:smallCaps/>
              </w:rPr>
              <w:t>Intro. No</w:t>
            </w:r>
            <w:r>
              <w:rPr>
                <w:b/>
                <w:bCs/>
              </w:rPr>
              <w:t>: 1211-A</w:t>
            </w:r>
          </w:p>
          <w:p w:rsidR="003B2EF6" w:rsidRPr="00A267C7" w:rsidRDefault="003B2EF6" w:rsidP="00506CEF">
            <w:pPr>
              <w:rPr>
                <w:color w:val="FF0000"/>
                <w:sz w:val="16"/>
                <w:szCs w:val="16"/>
              </w:rPr>
            </w:pPr>
          </w:p>
          <w:p w:rsidR="003B2EF6" w:rsidRPr="00A267C7" w:rsidRDefault="003B2EF6" w:rsidP="003B2EF6">
            <w:pPr>
              <w:tabs>
                <w:tab w:val="left" w:pos="-1440"/>
              </w:tabs>
              <w:ind w:left="1440" w:hanging="1440"/>
              <w:rPr>
                <w:color w:val="FF0000"/>
              </w:rPr>
            </w:pPr>
            <w:r>
              <w:rPr>
                <w:b/>
                <w:bCs/>
                <w:smallCaps/>
              </w:rPr>
              <w:t>Committee</w:t>
            </w:r>
            <w:r>
              <w:rPr>
                <w:b/>
                <w:bCs/>
              </w:rPr>
              <w:t xml:space="preserve">: Housing and Buildings </w:t>
            </w:r>
          </w:p>
        </w:tc>
      </w:tr>
      <w:tr w:rsidR="003B2EF6" w:rsidRPr="00012730" w:rsidTr="006019B9">
        <w:trPr>
          <w:trHeight w:val="836"/>
          <w:jc w:val="center"/>
        </w:trPr>
        <w:tc>
          <w:tcPr>
            <w:tcW w:w="5670" w:type="dxa"/>
            <w:tcBorders>
              <w:top w:val="single" w:sz="4" w:space="0" w:color="auto"/>
            </w:tcBorders>
          </w:tcPr>
          <w:p w:rsidR="003B2EF6" w:rsidRPr="0063076D" w:rsidRDefault="003B2EF6" w:rsidP="009403ED">
            <w:pPr>
              <w:autoSpaceDE w:val="0"/>
              <w:autoSpaceDN w:val="0"/>
              <w:adjustRightInd w:val="0"/>
              <w:rPr>
                <w:rFonts w:eastAsia="Calibri"/>
              </w:rPr>
            </w:pPr>
            <w:r w:rsidRPr="00012730">
              <w:rPr>
                <w:b/>
                <w:bCs/>
                <w:smallCaps/>
              </w:rPr>
              <w:t>Title:</w:t>
            </w:r>
            <w:r>
              <w:rPr>
                <w:bCs/>
              </w:rPr>
              <w:t xml:space="preserve"> </w:t>
            </w:r>
            <w:r w:rsidRPr="00EA7DCF">
              <w:rPr>
                <w:rFonts w:eastAsia="Calibri"/>
              </w:rPr>
              <w:t xml:space="preserve">A Local Law </w:t>
            </w:r>
            <w:r w:rsidRPr="00E22565">
              <w:rPr>
                <w:rFonts w:eastAsia="Calibri"/>
              </w:rPr>
              <w:t xml:space="preserve">to </w:t>
            </w:r>
            <w:r w:rsidRPr="003B2EF6">
              <w:rPr>
                <w:rFonts w:eastAsia="Calibri"/>
              </w:rPr>
              <w:t xml:space="preserve">amend the administrative code of the city of New York, in relation to the </w:t>
            </w:r>
            <w:r w:rsidR="009403ED">
              <w:rPr>
                <w:rFonts w:eastAsia="Calibri"/>
              </w:rPr>
              <w:t>d</w:t>
            </w:r>
            <w:r w:rsidRPr="003B2EF6">
              <w:rPr>
                <w:rFonts w:eastAsia="Calibri"/>
              </w:rPr>
              <w:t xml:space="preserve">epartment of </w:t>
            </w:r>
            <w:r w:rsidR="009403ED">
              <w:rPr>
                <w:rFonts w:eastAsia="Calibri"/>
              </w:rPr>
              <w:t>h</w:t>
            </w:r>
            <w:r w:rsidRPr="003B2EF6">
              <w:rPr>
                <w:rFonts w:eastAsia="Calibri"/>
              </w:rPr>
              <w:t xml:space="preserve">ousing </w:t>
            </w:r>
            <w:r w:rsidR="009403ED">
              <w:rPr>
                <w:rFonts w:eastAsia="Calibri"/>
              </w:rPr>
              <w:t>p</w:t>
            </w:r>
            <w:r w:rsidRPr="003B2EF6">
              <w:rPr>
                <w:rFonts w:eastAsia="Calibri"/>
              </w:rPr>
              <w:t xml:space="preserve">reservation and </w:t>
            </w:r>
            <w:r w:rsidR="009403ED">
              <w:rPr>
                <w:rFonts w:eastAsia="Calibri"/>
              </w:rPr>
              <w:t>d</w:t>
            </w:r>
            <w:r w:rsidRPr="003B2EF6">
              <w:rPr>
                <w:rFonts w:eastAsia="Calibri"/>
              </w:rPr>
              <w:t xml:space="preserve">evelopment requiring that a percentage of dwelling units in housing development projects receiving </w:t>
            </w:r>
            <w:r w:rsidR="009403ED">
              <w:rPr>
                <w:rFonts w:eastAsia="Calibri"/>
              </w:rPr>
              <w:t>c</w:t>
            </w:r>
            <w:r w:rsidRPr="003B2EF6">
              <w:rPr>
                <w:rFonts w:eastAsia="Calibri"/>
              </w:rPr>
              <w:t>ity financial assistance be set aside for homeless individuals and families</w:t>
            </w:r>
            <w:r>
              <w:rPr>
                <w:rFonts w:eastAsia="Calibri"/>
              </w:rPr>
              <w:t>.</w:t>
            </w:r>
          </w:p>
        </w:tc>
        <w:tc>
          <w:tcPr>
            <w:tcW w:w="5456" w:type="dxa"/>
            <w:tcBorders>
              <w:top w:val="single" w:sz="4" w:space="0" w:color="auto"/>
            </w:tcBorders>
          </w:tcPr>
          <w:p w:rsidR="003B2EF6" w:rsidRPr="00E22565" w:rsidRDefault="003B2EF6" w:rsidP="009403ED">
            <w:pPr>
              <w:suppressLineNumbers/>
              <w:tabs>
                <w:tab w:val="left" w:pos="-720"/>
              </w:tabs>
              <w:suppressAutoHyphens/>
              <w:rPr>
                <w:spacing w:val="-3"/>
              </w:rPr>
            </w:pPr>
            <w:r w:rsidRPr="00EA7DCF">
              <w:rPr>
                <w:b/>
                <w:bCs/>
                <w:smallCaps/>
              </w:rPr>
              <w:t>Sponsors</w:t>
            </w:r>
            <w:r w:rsidRPr="00EA7DCF">
              <w:rPr>
                <w:b/>
                <w:bCs/>
              </w:rPr>
              <w:t xml:space="preserve">: </w:t>
            </w:r>
            <w:r w:rsidR="009403ED" w:rsidRPr="005917B3">
              <w:rPr>
                <w:bCs/>
              </w:rPr>
              <w:t>Council Members</w:t>
            </w:r>
            <w:r w:rsidR="009403ED">
              <w:rPr>
                <w:b/>
                <w:bCs/>
              </w:rPr>
              <w:t xml:space="preserve"> </w:t>
            </w:r>
            <w:r w:rsidRPr="003B2EF6">
              <w:t>Salamanca, Levin, Cornegy, Brannan, Lander, Reynoso, Torres, Barron, the Public Advocate (Mr. Williams), Ayala, Diaz, Gibson, Levine, Cabrera, Lancman, Espinal, Adams, Moya, Rivera, Kallos, Rosenthal, Rodriguez, King, Ampry-Samuel, Eugene, Menchaca, Chin, Cumbo, Van Bramer, Gjonaj, Perkins, Cohe</w:t>
            </w:r>
            <w:r w:rsidR="00B62C96">
              <w:t xml:space="preserve">n, Constantinides, Richards, </w:t>
            </w:r>
            <w:r w:rsidR="009403ED">
              <w:t xml:space="preserve">Holden, Koslowitz and </w:t>
            </w:r>
            <w:r w:rsidRPr="003B2EF6">
              <w:t>Ulrich</w:t>
            </w:r>
          </w:p>
        </w:tc>
      </w:tr>
    </w:tbl>
    <w:p w:rsidR="003B2EF6" w:rsidRDefault="003B2EF6" w:rsidP="006019B9">
      <w:pPr>
        <w:spacing w:before="100" w:beforeAutospacing="1"/>
      </w:pPr>
      <w:r>
        <w:rPr>
          <w:b/>
          <w:smallCaps/>
        </w:rPr>
        <w:t>Summary of Legislation:</w:t>
      </w:r>
      <w:r>
        <w:t xml:space="preserve"> Proposed Intro. No. 1211-A</w:t>
      </w:r>
      <w:r w:rsidRPr="003B2EF6">
        <w:t xml:space="preserve"> would require the Department of Housing and Preservation</w:t>
      </w:r>
      <w:r>
        <w:t xml:space="preserve"> (HPD)</w:t>
      </w:r>
      <w:r w:rsidRPr="003B2EF6">
        <w:t xml:space="preserve"> to require developers who receive City financial assistance for new construction </w:t>
      </w:r>
      <w:r w:rsidR="00585FE5">
        <w:t xml:space="preserve">of housing development projects with 41 or more units </w:t>
      </w:r>
      <w:r w:rsidRPr="003B2EF6">
        <w:t xml:space="preserve">to set aside for homeless individuals and families at least 15 percent of dwelling units offered for rent in each housing development project. </w:t>
      </w:r>
      <w:r>
        <w:t>HPD</w:t>
      </w:r>
      <w:r w:rsidRPr="003B2EF6">
        <w:t xml:space="preserve"> would also be required to annually report to the Mayor and the Speaker</w:t>
      </w:r>
      <w:r>
        <w:t xml:space="preserve"> of the Council</w:t>
      </w:r>
      <w:r w:rsidRPr="003B2EF6">
        <w:t xml:space="preserve"> </w:t>
      </w:r>
      <w:r>
        <w:t xml:space="preserve">on </w:t>
      </w:r>
      <w:r w:rsidRPr="003B2EF6">
        <w:t>the number of units set aside for homeless individuals and families in each housing development project and housing preservation project that has received City financial assistance, as well as whether the project is a supportive housing project.</w:t>
      </w:r>
    </w:p>
    <w:p w:rsidR="003B2EF6" w:rsidRDefault="003B2EF6" w:rsidP="003B2EF6">
      <w:pPr>
        <w:pStyle w:val="NoSpacing"/>
      </w:pPr>
    </w:p>
    <w:p w:rsidR="003B2EF6" w:rsidRDefault="003B2EF6" w:rsidP="003B2EF6">
      <w:pPr>
        <w:pStyle w:val="FlushLeft"/>
        <w:rPr>
          <w:szCs w:val="24"/>
        </w:rPr>
      </w:pPr>
      <w:r w:rsidRPr="00012730">
        <w:rPr>
          <w:b/>
          <w:smallCaps/>
        </w:rPr>
        <w:t>Effective Date:</w:t>
      </w:r>
      <w:r>
        <w:t xml:space="preserve"> </w:t>
      </w:r>
      <w:r w:rsidRPr="004C28F2">
        <w:rPr>
          <w:szCs w:val="24"/>
        </w:rPr>
        <w:t>This local law</w:t>
      </w:r>
      <w:r>
        <w:rPr>
          <w:szCs w:val="24"/>
        </w:rPr>
        <w:t xml:space="preserve"> would take</w:t>
      </w:r>
      <w:r w:rsidRPr="004C28F2">
        <w:rPr>
          <w:szCs w:val="24"/>
        </w:rPr>
        <w:t xml:space="preserve"> effect</w:t>
      </w:r>
      <w:r>
        <w:rPr>
          <w:szCs w:val="24"/>
        </w:rPr>
        <w:t xml:space="preserve"> July 1, 2020.  </w:t>
      </w:r>
    </w:p>
    <w:p w:rsidR="003B2EF6" w:rsidRPr="00012730" w:rsidRDefault="003B2EF6" w:rsidP="003B2EF6">
      <w:pPr>
        <w:pStyle w:val="FlushLeft"/>
      </w:pPr>
      <w:r w:rsidRPr="00012730">
        <w:rPr>
          <w:b/>
          <w:smallCaps/>
        </w:rPr>
        <w:t>Fiscal Year In Which Full Fiscal Impact Anticipated:</w:t>
      </w:r>
      <w:r>
        <w:t xml:space="preserve"> Fiscal 202</w:t>
      </w:r>
      <w:r w:rsidR="00662EFC">
        <w:t>1</w:t>
      </w:r>
    </w:p>
    <w:p w:rsidR="003B2EF6" w:rsidRDefault="003B2EF6" w:rsidP="003B2EF6">
      <w:pPr>
        <w:pBdr>
          <w:top w:val="single" w:sz="4" w:space="1" w:color="auto"/>
        </w:pBdr>
        <w:spacing w:before="240"/>
        <w:rPr>
          <w:b/>
          <w:smallCaps/>
        </w:rPr>
      </w:pPr>
      <w:r w:rsidRPr="00012730">
        <w:rPr>
          <w:b/>
          <w:smallCaps/>
        </w:rPr>
        <w:t>Fiscal Impact Statement:</w:t>
      </w:r>
    </w:p>
    <w:p w:rsidR="003B2EF6" w:rsidRPr="00012730" w:rsidRDefault="003B2EF6" w:rsidP="003B2EF6">
      <w:pPr>
        <w:pStyle w:val="NoSpacing"/>
      </w:pPr>
    </w:p>
    <w:tbl>
      <w:tblPr>
        <w:tblW w:w="0" w:type="auto"/>
        <w:jc w:val="center"/>
        <w:tblBorders>
          <w:top w:val="double" w:sz="12" w:space="0" w:color="000000"/>
          <w:left w:val="double" w:sz="12" w:space="0" w:color="000000"/>
          <w:bottom w:val="single" w:sz="4" w:space="0" w:color="auto"/>
          <w:right w:val="double" w:sz="12" w:space="0" w:color="000000"/>
          <w:insideH w:val="single" w:sz="8" w:space="0" w:color="000000"/>
          <w:insideV w:val="single" w:sz="8" w:space="0" w:color="000000"/>
        </w:tblBorders>
        <w:tblCellMar>
          <w:left w:w="141" w:type="dxa"/>
          <w:right w:w="141" w:type="dxa"/>
        </w:tblCellMar>
        <w:tblLook w:val="0000" w:firstRow="0" w:lastRow="0" w:firstColumn="0" w:lastColumn="0" w:noHBand="0" w:noVBand="0"/>
      </w:tblPr>
      <w:tblGrid>
        <w:gridCol w:w="1692"/>
        <w:gridCol w:w="1754"/>
        <w:gridCol w:w="1754"/>
        <w:gridCol w:w="1754"/>
      </w:tblGrid>
      <w:tr w:rsidR="003B2EF6" w:rsidRPr="00012730" w:rsidTr="00506CEF">
        <w:trPr>
          <w:jc w:val="center"/>
        </w:trPr>
        <w:tc>
          <w:tcPr>
            <w:tcW w:w="1692" w:type="dxa"/>
            <w:vAlign w:val="center"/>
          </w:tcPr>
          <w:p w:rsidR="003B2EF6" w:rsidRPr="0045016D" w:rsidRDefault="003B2EF6" w:rsidP="00506CEF">
            <w:pPr>
              <w:spacing w:line="201" w:lineRule="exact"/>
              <w:jc w:val="center"/>
              <w:rPr>
                <w:sz w:val="22"/>
                <w:szCs w:val="22"/>
              </w:rPr>
            </w:pPr>
          </w:p>
          <w:p w:rsidR="003B2EF6" w:rsidRPr="0045016D" w:rsidRDefault="003B2EF6" w:rsidP="00506CEF">
            <w:pPr>
              <w:jc w:val="center"/>
              <w:rPr>
                <w:b/>
                <w:bCs/>
                <w:sz w:val="22"/>
                <w:szCs w:val="22"/>
              </w:rPr>
            </w:pPr>
          </w:p>
        </w:tc>
        <w:tc>
          <w:tcPr>
            <w:tcW w:w="1754" w:type="dxa"/>
            <w:vAlign w:val="center"/>
          </w:tcPr>
          <w:p w:rsidR="003B2EF6" w:rsidRPr="0045016D" w:rsidRDefault="003B2EF6" w:rsidP="00506CEF">
            <w:pPr>
              <w:jc w:val="center"/>
              <w:rPr>
                <w:b/>
                <w:bCs/>
                <w:sz w:val="22"/>
                <w:szCs w:val="22"/>
              </w:rPr>
            </w:pPr>
            <w:r w:rsidRPr="0045016D">
              <w:rPr>
                <w:b/>
                <w:bCs/>
                <w:sz w:val="22"/>
                <w:szCs w:val="22"/>
              </w:rPr>
              <w:t xml:space="preserve">Effective </w:t>
            </w:r>
            <w:r>
              <w:rPr>
                <w:b/>
                <w:bCs/>
                <w:sz w:val="22"/>
                <w:szCs w:val="22"/>
              </w:rPr>
              <w:t>FY21</w:t>
            </w:r>
          </w:p>
          <w:p w:rsidR="003B2EF6" w:rsidRPr="0045016D" w:rsidRDefault="003B2EF6" w:rsidP="00506CEF">
            <w:pPr>
              <w:jc w:val="center"/>
              <w:rPr>
                <w:b/>
                <w:bCs/>
                <w:sz w:val="22"/>
                <w:szCs w:val="22"/>
              </w:rPr>
            </w:pPr>
          </w:p>
        </w:tc>
        <w:tc>
          <w:tcPr>
            <w:tcW w:w="1754" w:type="dxa"/>
            <w:vAlign w:val="center"/>
          </w:tcPr>
          <w:p w:rsidR="003B2EF6" w:rsidRPr="0045016D" w:rsidRDefault="003B2EF6" w:rsidP="00506CEF">
            <w:pPr>
              <w:jc w:val="center"/>
              <w:rPr>
                <w:b/>
                <w:bCs/>
                <w:sz w:val="22"/>
                <w:szCs w:val="22"/>
              </w:rPr>
            </w:pPr>
            <w:r>
              <w:rPr>
                <w:b/>
                <w:bCs/>
                <w:sz w:val="22"/>
                <w:szCs w:val="22"/>
              </w:rPr>
              <w:t>FY Succeeding Effective FY22</w:t>
            </w:r>
          </w:p>
        </w:tc>
        <w:tc>
          <w:tcPr>
            <w:tcW w:w="1754" w:type="dxa"/>
            <w:vAlign w:val="center"/>
          </w:tcPr>
          <w:p w:rsidR="003B2EF6" w:rsidRPr="0045016D" w:rsidRDefault="003B2EF6" w:rsidP="00506CEF">
            <w:pPr>
              <w:jc w:val="center"/>
              <w:rPr>
                <w:b/>
                <w:bCs/>
                <w:sz w:val="22"/>
                <w:szCs w:val="22"/>
              </w:rPr>
            </w:pPr>
            <w:r>
              <w:rPr>
                <w:b/>
                <w:bCs/>
                <w:sz w:val="22"/>
                <w:szCs w:val="22"/>
              </w:rPr>
              <w:t>Full Fiscal Impact FY2</w:t>
            </w:r>
            <w:r w:rsidR="009403ED">
              <w:rPr>
                <w:b/>
                <w:bCs/>
                <w:sz w:val="22"/>
                <w:szCs w:val="22"/>
              </w:rPr>
              <w:t>1</w:t>
            </w:r>
          </w:p>
        </w:tc>
      </w:tr>
      <w:tr w:rsidR="003B2EF6" w:rsidRPr="00B56409" w:rsidTr="00506CEF">
        <w:trPr>
          <w:jc w:val="center"/>
        </w:trPr>
        <w:tc>
          <w:tcPr>
            <w:tcW w:w="1692" w:type="dxa"/>
            <w:vAlign w:val="center"/>
          </w:tcPr>
          <w:p w:rsidR="003B2EF6" w:rsidRPr="0045016D" w:rsidRDefault="003B2EF6" w:rsidP="00506CEF">
            <w:pPr>
              <w:jc w:val="center"/>
              <w:rPr>
                <w:b/>
                <w:bCs/>
                <w:sz w:val="22"/>
                <w:szCs w:val="22"/>
              </w:rPr>
            </w:pPr>
            <w:r>
              <w:rPr>
                <w:b/>
                <w:bCs/>
                <w:sz w:val="22"/>
                <w:szCs w:val="22"/>
              </w:rPr>
              <w:t xml:space="preserve">Capital </w:t>
            </w:r>
            <w:r w:rsidRPr="0045016D">
              <w:rPr>
                <w:b/>
                <w:bCs/>
                <w:sz w:val="22"/>
                <w:szCs w:val="22"/>
              </w:rPr>
              <w:t>Expenditures</w:t>
            </w:r>
            <w:r>
              <w:rPr>
                <w:rStyle w:val="FootnoteReference"/>
                <w:b/>
                <w:bCs/>
                <w:sz w:val="22"/>
                <w:szCs w:val="22"/>
              </w:rPr>
              <w:footnoteReference w:id="1"/>
            </w:r>
          </w:p>
        </w:tc>
        <w:tc>
          <w:tcPr>
            <w:tcW w:w="1754" w:type="dxa"/>
            <w:vAlign w:val="center"/>
          </w:tcPr>
          <w:p w:rsidR="003B2EF6" w:rsidRPr="0085256C" w:rsidRDefault="003F5B1F" w:rsidP="00CD3A07">
            <w:pPr>
              <w:jc w:val="center"/>
              <w:rPr>
                <w:bCs/>
                <w:sz w:val="22"/>
                <w:szCs w:val="22"/>
              </w:rPr>
            </w:pPr>
            <w:r>
              <w:rPr>
                <w:bCs/>
                <w:sz w:val="22"/>
                <w:szCs w:val="22"/>
              </w:rPr>
              <w:t>$</w:t>
            </w:r>
            <w:r w:rsidR="00CD3A07">
              <w:rPr>
                <w:bCs/>
                <w:sz w:val="22"/>
                <w:szCs w:val="22"/>
              </w:rPr>
              <w:t>17</w:t>
            </w:r>
            <w:r w:rsidR="00D32706">
              <w:rPr>
                <w:bCs/>
                <w:sz w:val="22"/>
                <w:szCs w:val="22"/>
              </w:rPr>
              <w:t>,100</w:t>
            </w:r>
            <w:r w:rsidR="0085256C" w:rsidRPr="0085256C">
              <w:rPr>
                <w:bCs/>
                <w:sz w:val="22"/>
                <w:szCs w:val="22"/>
              </w:rPr>
              <w:t>,00</w:t>
            </w:r>
          </w:p>
        </w:tc>
        <w:tc>
          <w:tcPr>
            <w:tcW w:w="1754" w:type="dxa"/>
            <w:vAlign w:val="center"/>
          </w:tcPr>
          <w:p w:rsidR="003B2EF6" w:rsidRPr="0085256C" w:rsidRDefault="00D32706" w:rsidP="00506CEF">
            <w:pPr>
              <w:jc w:val="center"/>
              <w:rPr>
                <w:bCs/>
                <w:sz w:val="22"/>
                <w:szCs w:val="22"/>
              </w:rPr>
            </w:pPr>
            <w:r>
              <w:rPr>
                <w:bCs/>
                <w:sz w:val="22"/>
                <w:szCs w:val="22"/>
              </w:rPr>
              <w:t>$17,100</w:t>
            </w:r>
            <w:r w:rsidRPr="0085256C">
              <w:rPr>
                <w:bCs/>
                <w:sz w:val="22"/>
                <w:szCs w:val="22"/>
              </w:rPr>
              <w:t>,00</w:t>
            </w:r>
          </w:p>
        </w:tc>
        <w:tc>
          <w:tcPr>
            <w:tcW w:w="1754" w:type="dxa"/>
            <w:vAlign w:val="center"/>
          </w:tcPr>
          <w:p w:rsidR="003B2EF6" w:rsidRPr="0085256C" w:rsidRDefault="00D32706" w:rsidP="00506CEF">
            <w:pPr>
              <w:jc w:val="center"/>
              <w:rPr>
                <w:bCs/>
                <w:sz w:val="22"/>
                <w:szCs w:val="22"/>
              </w:rPr>
            </w:pPr>
            <w:r>
              <w:rPr>
                <w:bCs/>
                <w:sz w:val="22"/>
                <w:szCs w:val="22"/>
              </w:rPr>
              <w:t>$17,100</w:t>
            </w:r>
            <w:r w:rsidRPr="0085256C">
              <w:rPr>
                <w:bCs/>
                <w:sz w:val="22"/>
                <w:szCs w:val="22"/>
              </w:rPr>
              <w:t>,00</w:t>
            </w:r>
          </w:p>
        </w:tc>
      </w:tr>
    </w:tbl>
    <w:p w:rsidR="003B2EF6" w:rsidRPr="00012730" w:rsidRDefault="003B2EF6" w:rsidP="003B2EF6">
      <w:pPr>
        <w:pStyle w:val="NoSpacing"/>
      </w:pPr>
    </w:p>
    <w:p w:rsidR="003B2EF6" w:rsidRDefault="003B2EF6" w:rsidP="003B2EF6">
      <w:r w:rsidRPr="00012730">
        <w:rPr>
          <w:b/>
          <w:smallCaps/>
        </w:rPr>
        <w:t xml:space="preserve">Impact on Revenues: </w:t>
      </w:r>
      <w:r>
        <w:rPr>
          <w:b/>
          <w:smallCaps/>
        </w:rPr>
        <w:t xml:space="preserve"> </w:t>
      </w:r>
      <w:r w:rsidRPr="006846D2">
        <w:t xml:space="preserve">It is estimated that there would be no impact on revenues resulting from the enactment of this legislation. </w:t>
      </w:r>
    </w:p>
    <w:p w:rsidR="003B2EF6" w:rsidRPr="005C245D" w:rsidRDefault="003B2EF6" w:rsidP="003B2EF6"/>
    <w:p w:rsidR="00DB6C10" w:rsidRDefault="003B2EF6" w:rsidP="00DB6C10">
      <w:r w:rsidRPr="005D3344">
        <w:rPr>
          <w:b/>
          <w:smallCaps/>
        </w:rPr>
        <w:t>Impact on Expenditures:</w:t>
      </w:r>
      <w:r>
        <w:t xml:space="preserve"> It is estimated that the enactment of this legislation</w:t>
      </w:r>
      <w:r w:rsidRPr="00F46D8B">
        <w:t xml:space="preserve"> would </w:t>
      </w:r>
      <w:r>
        <w:t xml:space="preserve">result in additional capital expenditures for residential projects financed by </w:t>
      </w:r>
      <w:r w:rsidR="00B81824">
        <w:t xml:space="preserve">HPD. </w:t>
      </w:r>
      <w:r w:rsidR="00585FE5">
        <w:t>Over the five-year period f</w:t>
      </w:r>
      <w:r w:rsidR="00ED7F75">
        <w:t xml:space="preserve">rom 2014 to 2018, HPD financed the </w:t>
      </w:r>
      <w:r w:rsidR="00585FE5">
        <w:t>construction</w:t>
      </w:r>
      <w:r w:rsidR="00ED7F75">
        <w:t xml:space="preserve"> of </w:t>
      </w:r>
      <w:r w:rsidR="009569BA">
        <w:t xml:space="preserve">1,459 </w:t>
      </w:r>
      <w:r w:rsidR="00585FE5">
        <w:t xml:space="preserve">homeless units, or about </w:t>
      </w:r>
      <w:r w:rsidR="00393263">
        <w:t xml:space="preserve">300 </w:t>
      </w:r>
      <w:r w:rsidR="00DB7CE4">
        <w:t xml:space="preserve">units </w:t>
      </w:r>
      <w:r w:rsidR="00585FE5">
        <w:t>annually</w:t>
      </w:r>
      <w:r w:rsidR="004F338A">
        <w:t>; this accounts for</w:t>
      </w:r>
      <w:r w:rsidR="00657C66">
        <w:t xml:space="preserve"> about </w:t>
      </w:r>
      <w:r w:rsidR="009569BA">
        <w:t>three</w:t>
      </w:r>
      <w:r w:rsidR="00657C66">
        <w:t xml:space="preserve"> percent of </w:t>
      </w:r>
      <w:r w:rsidR="002814EA">
        <w:t>HPD</w:t>
      </w:r>
      <w:r w:rsidR="00657C66">
        <w:t>’</w:t>
      </w:r>
      <w:r w:rsidR="004F338A">
        <w:t>s annual housing production</w:t>
      </w:r>
      <w:r w:rsidR="009569BA">
        <w:t xml:space="preserve"> of newly constructed units</w:t>
      </w:r>
      <w:r w:rsidR="004F338A">
        <w:t xml:space="preserve">. The </w:t>
      </w:r>
      <w:r w:rsidR="00585FE5">
        <w:t xml:space="preserve">cost of financing </w:t>
      </w:r>
      <w:r w:rsidR="00952D3B">
        <w:t>300</w:t>
      </w:r>
      <w:r w:rsidR="00685486">
        <w:t xml:space="preserve"> </w:t>
      </w:r>
      <w:r w:rsidR="004F338A">
        <w:t xml:space="preserve">homeless units annually </w:t>
      </w:r>
      <w:r w:rsidR="002814EA">
        <w:t xml:space="preserve">is </w:t>
      </w:r>
      <w:r w:rsidR="004F338A" w:rsidRPr="004F338A">
        <w:t>already assumed and accounted for in the City’s financial plan</w:t>
      </w:r>
      <w:r w:rsidR="004F338A">
        <w:t xml:space="preserve"> and are thus not included in this cost estimate. </w:t>
      </w:r>
      <w:r>
        <w:t>As</w:t>
      </w:r>
      <w:r w:rsidR="00532F91">
        <w:t xml:space="preserve"> such, </w:t>
      </w:r>
      <w:r w:rsidR="00F57DCE" w:rsidRPr="00F57DCE">
        <w:t xml:space="preserve">it is estimated that the additional </w:t>
      </w:r>
      <w:r w:rsidR="00460862">
        <w:t xml:space="preserve">subsidy </w:t>
      </w:r>
      <w:r w:rsidR="00532F91">
        <w:t xml:space="preserve">necessary to meet the requirements of this legislation </w:t>
      </w:r>
      <w:r w:rsidR="00566BA1">
        <w:t xml:space="preserve">would </w:t>
      </w:r>
      <w:r w:rsidR="00097B77">
        <w:t xml:space="preserve">be </w:t>
      </w:r>
      <w:r w:rsidR="003F4B8E">
        <w:t xml:space="preserve">approximately </w:t>
      </w:r>
      <w:r w:rsidR="00F57DCE" w:rsidRPr="00F57DCE">
        <w:t>$</w:t>
      </w:r>
      <w:r w:rsidR="00D539B6">
        <w:t>17</w:t>
      </w:r>
      <w:r w:rsidR="00D32706">
        <w:t>.1</w:t>
      </w:r>
      <w:r w:rsidR="00B457CF">
        <w:t xml:space="preserve"> million in to</w:t>
      </w:r>
      <w:r w:rsidR="00DB6C10">
        <w:t xml:space="preserve">tal for all covered units. </w:t>
      </w:r>
      <w:r w:rsidR="00DB6C10" w:rsidRPr="009F4607">
        <w:t>Lastl</w:t>
      </w:r>
      <w:r w:rsidR="00DB6C10">
        <w:t>y</w:t>
      </w:r>
      <w:r w:rsidR="00DB6C10" w:rsidRPr="009F4607">
        <w:t>, it is anticipated that the reporting requirements of this legislation would be imple</w:t>
      </w:r>
      <w:r w:rsidR="00DB6C10">
        <w:t>mented using existing</w:t>
      </w:r>
      <w:r w:rsidR="002814EA">
        <w:t xml:space="preserve"> expense budget</w:t>
      </w:r>
      <w:r w:rsidR="00DB6C10">
        <w:t xml:space="preserve"> resources.</w:t>
      </w:r>
    </w:p>
    <w:p w:rsidR="003B2EF6" w:rsidRDefault="003B2EF6" w:rsidP="003B2EF6">
      <w:pPr>
        <w:spacing w:before="240"/>
      </w:pPr>
      <w:r w:rsidRPr="00012730">
        <w:rPr>
          <w:b/>
          <w:smallCaps/>
        </w:rPr>
        <w:t>Source of Funds To Cover Estimated Costs:</w:t>
      </w:r>
      <w:r>
        <w:t xml:space="preserve"> City Capital Budget</w:t>
      </w:r>
    </w:p>
    <w:p w:rsidR="003B2EF6" w:rsidRDefault="003B2EF6" w:rsidP="003B2EF6">
      <w:pPr>
        <w:pStyle w:val="NoSpacing"/>
        <w:rPr>
          <w:b/>
          <w:smallCaps/>
        </w:rPr>
      </w:pPr>
    </w:p>
    <w:p w:rsidR="003B2EF6" w:rsidRDefault="003B2EF6" w:rsidP="003B2EF6">
      <w:pPr>
        <w:pStyle w:val="NoSpacing"/>
      </w:pPr>
      <w:r w:rsidRPr="00E1529F">
        <w:rPr>
          <w:b/>
          <w:smallCaps/>
        </w:rPr>
        <w:t>Source of Information</w:t>
      </w:r>
      <w:r w:rsidRPr="0010744C">
        <w:rPr>
          <w:b/>
          <w:smallCaps/>
        </w:rPr>
        <w:t>:</w:t>
      </w:r>
      <w:r w:rsidRPr="00ED532F">
        <w:t xml:space="preserve">  </w:t>
      </w:r>
      <w:r>
        <w:tab/>
      </w:r>
      <w:r w:rsidRPr="0010744C">
        <w:t>New York City Council Finance Division</w:t>
      </w:r>
    </w:p>
    <w:p w:rsidR="003B2EF6" w:rsidRDefault="003B2EF6" w:rsidP="003B2EF6">
      <w:pPr>
        <w:pStyle w:val="NoSpacing"/>
      </w:pPr>
      <w:r>
        <w:tab/>
      </w:r>
      <w:r>
        <w:tab/>
      </w:r>
      <w:r>
        <w:tab/>
      </w:r>
      <w:r>
        <w:tab/>
        <w:t>New York City Department of Housing Preservation and Development</w:t>
      </w:r>
    </w:p>
    <w:p w:rsidR="00D32706" w:rsidRDefault="00D32706" w:rsidP="00D32706">
      <w:pPr>
        <w:pStyle w:val="NoSpacing"/>
        <w:ind w:left="2880"/>
      </w:pPr>
      <w:r>
        <w:t xml:space="preserve">New York City Department of Social Services </w:t>
      </w:r>
    </w:p>
    <w:p w:rsidR="003A0A71" w:rsidRDefault="003B2EF6" w:rsidP="003B2EF6">
      <w:pPr>
        <w:pStyle w:val="NoSpacing"/>
      </w:pPr>
      <w:r>
        <w:tab/>
      </w:r>
      <w:r>
        <w:tab/>
      </w:r>
      <w:r>
        <w:tab/>
      </w:r>
      <w:r>
        <w:tab/>
        <w:t xml:space="preserve">New York City Open Data (Local Law 44 Data) </w:t>
      </w:r>
      <w:r w:rsidR="003A0A71">
        <w:t xml:space="preserve"> </w:t>
      </w:r>
    </w:p>
    <w:p w:rsidR="003A0A71" w:rsidRDefault="003A0A71" w:rsidP="003B2EF6">
      <w:pPr>
        <w:pStyle w:val="NoSpacing"/>
      </w:pPr>
      <w:r>
        <w:tab/>
      </w:r>
      <w:r>
        <w:tab/>
      </w:r>
      <w:r>
        <w:tab/>
      </w:r>
      <w:r>
        <w:tab/>
      </w:r>
      <w:r w:rsidR="00D32706" w:rsidRPr="006B2B22">
        <w:t>Mayor’s Office of City Legislative Affairs</w:t>
      </w:r>
      <w:r w:rsidR="00D32706" w:rsidRPr="00D32706">
        <w:tab/>
      </w:r>
    </w:p>
    <w:p w:rsidR="003B2EF6" w:rsidRDefault="003B2EF6" w:rsidP="003B2EF6">
      <w:pPr>
        <w:pStyle w:val="NoSpacing"/>
        <w:rPr>
          <w:b/>
          <w:color w:val="FF0000"/>
        </w:rPr>
      </w:pPr>
      <w:r>
        <w:tab/>
      </w:r>
      <w:r>
        <w:tab/>
      </w:r>
      <w:r>
        <w:tab/>
      </w:r>
      <w:r>
        <w:tab/>
      </w:r>
      <w:r>
        <w:tab/>
      </w:r>
      <w:r>
        <w:tab/>
      </w:r>
      <w:r w:rsidRPr="000B41A6">
        <w:rPr>
          <w:b/>
          <w:color w:val="FF0000"/>
        </w:rPr>
        <w:t xml:space="preserve">         </w:t>
      </w:r>
    </w:p>
    <w:p w:rsidR="003B2EF6" w:rsidRPr="00012730" w:rsidRDefault="003B2EF6" w:rsidP="003B2EF6">
      <w:pPr>
        <w:pStyle w:val="NoSpacing"/>
      </w:pPr>
      <w:r w:rsidRPr="00F7695B">
        <w:rPr>
          <w:b/>
          <w:smallCaps/>
        </w:rPr>
        <w:t>Estimate Prepared by:</w:t>
      </w:r>
      <w:r w:rsidRPr="00012730">
        <w:rPr>
          <w:b/>
          <w:smallCaps/>
        </w:rPr>
        <w:tab/>
      </w:r>
      <w:r>
        <w:t xml:space="preserve">Sarah Gastelum, Principal Financial Analyst </w:t>
      </w:r>
    </w:p>
    <w:p w:rsidR="00E21D5F" w:rsidRDefault="003B2EF6" w:rsidP="00E21D5F">
      <w:r w:rsidRPr="00012730">
        <w:rPr>
          <w:b/>
          <w:smallCaps/>
        </w:rPr>
        <w:tab/>
      </w:r>
      <w:r w:rsidRPr="00012730">
        <w:rPr>
          <w:b/>
          <w:smallCaps/>
        </w:rPr>
        <w:tab/>
      </w:r>
      <w:r w:rsidRPr="00012730">
        <w:rPr>
          <w:b/>
          <w:smallCaps/>
        </w:rPr>
        <w:tab/>
      </w:r>
      <w:r w:rsidRPr="00012730">
        <w:rPr>
          <w:b/>
          <w:smallCaps/>
        </w:rPr>
        <w:tab/>
      </w:r>
      <w:r w:rsidRPr="00012730">
        <w:rPr>
          <w:b/>
          <w:smallCaps/>
        </w:rPr>
        <w:tab/>
      </w:r>
    </w:p>
    <w:p w:rsidR="00E21D5F" w:rsidRDefault="003B2EF6" w:rsidP="00E21D5F">
      <w:r w:rsidRPr="00012730">
        <w:rPr>
          <w:b/>
          <w:smallCaps/>
        </w:rPr>
        <w:t xml:space="preserve">Estimated Reviewed </w:t>
      </w:r>
      <w:r>
        <w:rPr>
          <w:b/>
          <w:smallCaps/>
        </w:rPr>
        <w:t>b</w:t>
      </w:r>
      <w:r w:rsidRPr="00012730">
        <w:rPr>
          <w:b/>
          <w:smallCaps/>
        </w:rPr>
        <w:t>y:</w:t>
      </w:r>
      <w:r w:rsidRPr="00012730">
        <w:rPr>
          <w:b/>
          <w:smallCaps/>
        </w:rPr>
        <w:tab/>
      </w:r>
      <w:r w:rsidR="00E21D5F">
        <w:t>Chima Obichere</w:t>
      </w:r>
      <w:r w:rsidR="00E21D5F" w:rsidRPr="00012730">
        <w:t xml:space="preserve">, </w:t>
      </w:r>
      <w:r w:rsidR="00E21D5F">
        <w:t xml:space="preserve">Unit Head  </w:t>
      </w:r>
    </w:p>
    <w:p w:rsidR="003B2EF6" w:rsidRDefault="002814EA" w:rsidP="003B2EF6">
      <w:pPr>
        <w:ind w:left="2160" w:firstLine="720"/>
      </w:pPr>
      <w:r>
        <w:t>Rebecca Chasan, Senior</w:t>
      </w:r>
      <w:r w:rsidR="003B2EF6">
        <w:t xml:space="preserve"> Counsel</w:t>
      </w:r>
    </w:p>
    <w:p w:rsidR="0021497F" w:rsidRPr="002A39A8" w:rsidRDefault="0021497F" w:rsidP="003B2EF6">
      <w:pPr>
        <w:ind w:left="2160" w:firstLine="720"/>
      </w:pPr>
    </w:p>
    <w:p w:rsidR="009C69E0" w:rsidRDefault="003B2EF6" w:rsidP="009C69E0">
      <w:r w:rsidRPr="00012730">
        <w:rPr>
          <w:b/>
          <w:smallCaps/>
        </w:rPr>
        <w:t>Legislative History:</w:t>
      </w:r>
      <w:r>
        <w:t xml:space="preserve"> </w:t>
      </w:r>
      <w:r w:rsidRPr="009C7D2D">
        <w:t xml:space="preserve">This legislation was introduced to the full Council on </w:t>
      </w:r>
      <w:r>
        <w:t>October 31, 2018</w:t>
      </w:r>
      <w:r w:rsidRPr="009C7D2D">
        <w:t xml:space="preserve"> as Intro. No. </w:t>
      </w:r>
      <w:r>
        <w:t>1211</w:t>
      </w:r>
      <w:r w:rsidRPr="009C7D2D">
        <w:t xml:space="preserve"> and was referred to the Committee on </w:t>
      </w:r>
      <w:r>
        <w:t xml:space="preserve">Housing and Buildings </w:t>
      </w:r>
      <w:r w:rsidRPr="009C7D2D">
        <w:t xml:space="preserve">(Committee). </w:t>
      </w:r>
      <w:r w:rsidR="009C69E0">
        <w:t xml:space="preserve">A hearing was held by the Committee </w:t>
      </w:r>
      <w:r w:rsidR="009C69E0" w:rsidRPr="004A6670">
        <w:t xml:space="preserve">on </w:t>
      </w:r>
      <w:r w:rsidR="009C69E0">
        <w:t xml:space="preserve">January 14, 2019 and the legislation was laid over. </w:t>
      </w:r>
      <w:r w:rsidR="009C69E0" w:rsidRPr="00BD56AF">
        <w:t xml:space="preserve">The legislation was </w:t>
      </w:r>
      <w:r w:rsidR="009C69E0">
        <w:t xml:space="preserve">subsequently </w:t>
      </w:r>
      <w:r w:rsidR="009C69E0" w:rsidRPr="00BD56AF">
        <w:t>amended, and the amended version, Proposed Int</w:t>
      </w:r>
      <w:r w:rsidR="002814EA">
        <w:t>ro</w:t>
      </w:r>
      <w:r w:rsidR="009C69E0" w:rsidRPr="00BD56AF">
        <w:t>.</w:t>
      </w:r>
      <w:r w:rsidR="009C69E0">
        <w:t xml:space="preserve"> No.</w:t>
      </w:r>
      <w:r w:rsidR="009C69E0" w:rsidRPr="00BD56AF">
        <w:t xml:space="preserve"> </w:t>
      </w:r>
      <w:r w:rsidR="009C69E0">
        <w:t>1211-A</w:t>
      </w:r>
      <w:r w:rsidR="009C69E0" w:rsidRPr="00BD56AF">
        <w:t xml:space="preserve">, will be considered by the Committee </w:t>
      </w:r>
      <w:r w:rsidR="009C69E0">
        <w:t xml:space="preserve">on </w:t>
      </w:r>
      <w:r w:rsidR="00523144" w:rsidRPr="00523144">
        <w:t>December 18</w:t>
      </w:r>
      <w:r w:rsidR="009C69E0" w:rsidRPr="00523144">
        <w:t>, 2019.</w:t>
      </w:r>
      <w:r w:rsidR="009C69E0" w:rsidRPr="00BD56AF">
        <w:t xml:space="preserve"> </w:t>
      </w:r>
      <w:r w:rsidR="009C69E0">
        <w:t xml:space="preserve">Upon a </w:t>
      </w:r>
      <w:r w:rsidR="009C69E0" w:rsidRPr="00BD56AF">
        <w:t xml:space="preserve">successful </w:t>
      </w:r>
      <w:r w:rsidR="009C69E0">
        <w:t xml:space="preserve">vote by the </w:t>
      </w:r>
      <w:r w:rsidR="009C69E0" w:rsidRPr="00BD56AF">
        <w:t xml:space="preserve">Committee, the </w:t>
      </w:r>
      <w:r w:rsidR="009C69E0">
        <w:t>legislation</w:t>
      </w:r>
      <w:r w:rsidR="009C69E0" w:rsidRPr="00BD56AF">
        <w:t xml:space="preserve"> </w:t>
      </w:r>
      <w:r w:rsidR="009C69E0">
        <w:t>will</w:t>
      </w:r>
      <w:r w:rsidR="009C69E0" w:rsidRPr="00BD56AF">
        <w:t xml:space="preserve"> be submitted to the full </w:t>
      </w:r>
      <w:r w:rsidR="009C69E0">
        <w:t>Council for a vote on December 19, 2019</w:t>
      </w:r>
      <w:r w:rsidR="009C69E0" w:rsidRPr="00BD56AF">
        <w:t>.</w:t>
      </w:r>
    </w:p>
    <w:p w:rsidR="003B2EF6" w:rsidRDefault="003B2EF6" w:rsidP="009C69E0">
      <w:pPr>
        <w:spacing w:before="120" w:after="120"/>
      </w:pPr>
      <w:r w:rsidRPr="000D7CB8">
        <w:rPr>
          <w:b/>
          <w:smallCaps/>
        </w:rPr>
        <w:t>Date Prepared:</w:t>
      </w:r>
      <w:r w:rsidR="003A0A71">
        <w:t xml:space="preserve"> December 17</w:t>
      </w:r>
      <w:r>
        <w:t>, 2019</w:t>
      </w:r>
    </w:p>
    <w:p w:rsidR="003B2EF6" w:rsidRDefault="003B2EF6" w:rsidP="003B2EF6"/>
    <w:p w:rsidR="003B2EF6" w:rsidRDefault="003B2EF6" w:rsidP="003B2EF6"/>
    <w:p w:rsidR="003B2EF6" w:rsidRDefault="003B2EF6" w:rsidP="003B2EF6"/>
    <w:p w:rsidR="006474F4" w:rsidRDefault="00443A2D"/>
    <w:sectPr w:rsidR="006474F4" w:rsidSect="006A0996">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D8" w:rsidRDefault="006F52D8" w:rsidP="003B2EF6">
      <w:r>
        <w:separator/>
      </w:r>
    </w:p>
  </w:endnote>
  <w:endnote w:type="continuationSeparator" w:id="0">
    <w:p w:rsidR="006F52D8" w:rsidRDefault="006F52D8" w:rsidP="003B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5" w:rsidRPr="0080234B" w:rsidRDefault="00836106">
    <w:pPr>
      <w:pStyle w:val="Footer"/>
      <w:pBdr>
        <w:top w:val="thinThickSmallGap" w:sz="24" w:space="1" w:color="823B0B" w:themeColor="accent2" w:themeShade="7F"/>
      </w:pBdr>
      <w:rPr>
        <w:rFonts w:eastAsiaTheme="majorEastAsia"/>
      </w:rPr>
    </w:pPr>
    <w:r>
      <w:t xml:space="preserve">Proposed </w:t>
    </w:r>
    <w:r w:rsidRPr="0080234B">
      <w:t>Intro.</w:t>
    </w:r>
    <w:r>
      <w:t xml:space="preserve"> No.</w:t>
    </w:r>
    <w:r w:rsidRPr="0080234B">
      <w:t xml:space="preserve"> </w:t>
    </w:r>
    <w:r w:rsidR="003B2EF6">
      <w:t>1211-A</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443A2D" w:rsidRPr="00443A2D">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D8" w:rsidRDefault="006F52D8" w:rsidP="003B2EF6">
      <w:r>
        <w:separator/>
      </w:r>
    </w:p>
  </w:footnote>
  <w:footnote w:type="continuationSeparator" w:id="0">
    <w:p w:rsidR="006F52D8" w:rsidRDefault="006F52D8" w:rsidP="003B2EF6">
      <w:r>
        <w:continuationSeparator/>
      </w:r>
    </w:p>
  </w:footnote>
  <w:footnote w:id="1">
    <w:p w:rsidR="003B2EF6" w:rsidRDefault="003B2EF6" w:rsidP="003B2EF6">
      <w:pPr>
        <w:pStyle w:val="FootnoteText"/>
      </w:pPr>
      <w:r>
        <w:rPr>
          <w:rStyle w:val="FootnoteReference"/>
        </w:rPr>
        <w:footnoteRef/>
      </w:r>
      <w:r>
        <w:t xml:space="preserve"> Capital Expenditures as a component of the City’s Capital Budget.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F6"/>
    <w:rsid w:val="000606EE"/>
    <w:rsid w:val="00095809"/>
    <w:rsid w:val="00097B77"/>
    <w:rsid w:val="00174F91"/>
    <w:rsid w:val="00183D65"/>
    <w:rsid w:val="0021497F"/>
    <w:rsid w:val="002410B2"/>
    <w:rsid w:val="002814EA"/>
    <w:rsid w:val="00393263"/>
    <w:rsid w:val="003A0A71"/>
    <w:rsid w:val="003B0A0B"/>
    <w:rsid w:val="003B2EF6"/>
    <w:rsid w:val="003F4B8E"/>
    <w:rsid w:val="003F5B1F"/>
    <w:rsid w:val="00443A2D"/>
    <w:rsid w:val="00460862"/>
    <w:rsid w:val="00490D53"/>
    <w:rsid w:val="004F11FE"/>
    <w:rsid w:val="004F338A"/>
    <w:rsid w:val="004F47D2"/>
    <w:rsid w:val="00523144"/>
    <w:rsid w:val="00532F91"/>
    <w:rsid w:val="005633A0"/>
    <w:rsid w:val="00566BA1"/>
    <w:rsid w:val="00575D32"/>
    <w:rsid w:val="00585FE5"/>
    <w:rsid w:val="005917B3"/>
    <w:rsid w:val="006019B9"/>
    <w:rsid w:val="00657C66"/>
    <w:rsid w:val="00662EFC"/>
    <w:rsid w:val="00685486"/>
    <w:rsid w:val="006B2B22"/>
    <w:rsid w:val="006F52D8"/>
    <w:rsid w:val="007524AA"/>
    <w:rsid w:val="00761CFF"/>
    <w:rsid w:val="00836106"/>
    <w:rsid w:val="0085256C"/>
    <w:rsid w:val="009403ED"/>
    <w:rsid w:val="00952D3B"/>
    <w:rsid w:val="009569BA"/>
    <w:rsid w:val="009643F6"/>
    <w:rsid w:val="009C69E0"/>
    <w:rsid w:val="00A470BA"/>
    <w:rsid w:val="00AE7E5D"/>
    <w:rsid w:val="00B457CF"/>
    <w:rsid w:val="00B62C96"/>
    <w:rsid w:val="00B81824"/>
    <w:rsid w:val="00BF422E"/>
    <w:rsid w:val="00CC53FC"/>
    <w:rsid w:val="00CD3A07"/>
    <w:rsid w:val="00D32706"/>
    <w:rsid w:val="00D539B6"/>
    <w:rsid w:val="00DB6C10"/>
    <w:rsid w:val="00DB7CE4"/>
    <w:rsid w:val="00DE7C81"/>
    <w:rsid w:val="00DF5CB2"/>
    <w:rsid w:val="00E21D5F"/>
    <w:rsid w:val="00EA0F37"/>
    <w:rsid w:val="00ED7F75"/>
    <w:rsid w:val="00EE0803"/>
    <w:rsid w:val="00F5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4F46-F244-4594-8728-06CBBFFF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F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2EF6"/>
    <w:pPr>
      <w:tabs>
        <w:tab w:val="center" w:pos="4680"/>
        <w:tab w:val="right" w:pos="9360"/>
      </w:tabs>
    </w:pPr>
  </w:style>
  <w:style w:type="character" w:customStyle="1" w:styleId="FooterChar">
    <w:name w:val="Footer Char"/>
    <w:basedOn w:val="DefaultParagraphFont"/>
    <w:link w:val="Footer"/>
    <w:uiPriority w:val="99"/>
    <w:rsid w:val="003B2EF6"/>
    <w:rPr>
      <w:rFonts w:ascii="Times New Roman" w:eastAsia="Times New Roman" w:hAnsi="Times New Roman" w:cs="Times New Roman"/>
      <w:sz w:val="24"/>
      <w:szCs w:val="24"/>
    </w:rPr>
  </w:style>
  <w:style w:type="paragraph" w:styleId="NoSpacing">
    <w:name w:val="No Spacing"/>
    <w:uiPriority w:val="1"/>
    <w:qFormat/>
    <w:rsid w:val="003B2EF6"/>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3B2EF6"/>
    <w:pPr>
      <w:suppressAutoHyphens/>
      <w:spacing w:after="240"/>
    </w:pPr>
    <w:rPr>
      <w:szCs w:val="20"/>
    </w:rPr>
  </w:style>
  <w:style w:type="paragraph" w:styleId="FootnoteText">
    <w:name w:val="footnote text"/>
    <w:basedOn w:val="Normal"/>
    <w:link w:val="FootnoteTextChar"/>
    <w:uiPriority w:val="99"/>
    <w:semiHidden/>
    <w:unhideWhenUsed/>
    <w:rsid w:val="003B2EF6"/>
    <w:rPr>
      <w:sz w:val="20"/>
      <w:szCs w:val="20"/>
    </w:rPr>
  </w:style>
  <w:style w:type="character" w:customStyle="1" w:styleId="FootnoteTextChar">
    <w:name w:val="Footnote Text Char"/>
    <w:basedOn w:val="DefaultParagraphFont"/>
    <w:link w:val="FootnoteText"/>
    <w:uiPriority w:val="99"/>
    <w:semiHidden/>
    <w:rsid w:val="003B2E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2EF6"/>
    <w:rPr>
      <w:vertAlign w:val="superscript"/>
    </w:rPr>
  </w:style>
  <w:style w:type="paragraph" w:styleId="Header">
    <w:name w:val="header"/>
    <w:basedOn w:val="Normal"/>
    <w:link w:val="HeaderChar"/>
    <w:uiPriority w:val="99"/>
    <w:unhideWhenUsed/>
    <w:rsid w:val="003B2EF6"/>
    <w:pPr>
      <w:tabs>
        <w:tab w:val="center" w:pos="4680"/>
        <w:tab w:val="right" w:pos="9360"/>
      </w:tabs>
    </w:pPr>
  </w:style>
  <w:style w:type="character" w:customStyle="1" w:styleId="HeaderChar">
    <w:name w:val="Header Char"/>
    <w:basedOn w:val="DefaultParagraphFont"/>
    <w:link w:val="Header"/>
    <w:uiPriority w:val="99"/>
    <w:rsid w:val="003B2E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EE2A-9FCA-4CED-9A24-4B281C39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Gastelum</dc:creator>
  <cp:keywords/>
  <dc:description/>
  <cp:lastModifiedBy>Pagan, Maria</cp:lastModifiedBy>
  <cp:revision>2</cp:revision>
  <cp:lastPrinted>2019-12-19T18:13:00Z</cp:lastPrinted>
  <dcterms:created xsi:type="dcterms:W3CDTF">2019-12-20T18:08:00Z</dcterms:created>
  <dcterms:modified xsi:type="dcterms:W3CDTF">2019-12-20T18:08:00Z</dcterms:modified>
</cp:coreProperties>
</file>