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37" w:rsidRPr="00A02707" w:rsidRDefault="00C05E37" w:rsidP="00C05E37">
      <w:pPr>
        <w:spacing w:after="0" w:line="240" w:lineRule="auto"/>
        <w:rPr>
          <w:rFonts w:ascii="Times New Roman" w:eastAsia="MS Mincho" w:hAnsi="Times New Roman"/>
        </w:rPr>
      </w:pPr>
      <w:bookmarkStart w:id="0" w:name="_GoBack"/>
      <w:bookmarkEnd w:id="0"/>
      <w:r w:rsidRPr="00F844A6">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Pr>
          <w:rFonts w:ascii="Times New Roman" w:eastAsia="MS Mincho" w:hAnsi="Times New Roman"/>
          <w:sz w:val="24"/>
          <w:szCs w:val="24"/>
        </w:rPr>
        <w:t xml:space="preserve">       </w:t>
      </w:r>
      <w:r w:rsidRPr="00A02707">
        <w:rPr>
          <w:rFonts w:ascii="Times New Roman" w:eastAsia="MS Mincho" w:hAnsi="Times New Roman"/>
          <w:u w:val="single"/>
        </w:rPr>
        <w:t xml:space="preserve">Consumer Affairs </w:t>
      </w:r>
      <w:r w:rsidR="00F8448D">
        <w:rPr>
          <w:rFonts w:ascii="Times New Roman" w:eastAsia="MS Mincho" w:hAnsi="Times New Roman"/>
          <w:u w:val="single"/>
        </w:rPr>
        <w:t xml:space="preserve">and Business Licensing </w:t>
      </w:r>
      <w:r w:rsidRPr="00A02707">
        <w:rPr>
          <w:rFonts w:ascii="Times New Roman" w:eastAsia="MS Mincho" w:hAnsi="Times New Roman"/>
          <w:u w:val="single"/>
        </w:rPr>
        <w:t xml:space="preserve">Committee Staff: </w:t>
      </w:r>
    </w:p>
    <w:p w:rsidR="00A03ABE" w:rsidRDefault="00CD45AD" w:rsidP="00294DE7">
      <w:pPr>
        <w:spacing w:after="0" w:line="240" w:lineRule="auto"/>
        <w:ind w:left="3600" w:firstLine="720"/>
        <w:jc w:val="right"/>
        <w:rPr>
          <w:rFonts w:ascii="Times New Roman" w:eastAsia="MS Mincho" w:hAnsi="Times New Roman"/>
        </w:rPr>
      </w:pPr>
      <w:r>
        <w:rPr>
          <w:rFonts w:ascii="Times New Roman" w:eastAsia="MS Mincho" w:hAnsi="Times New Roman"/>
        </w:rPr>
        <w:t>Balqees Mihirig</w:t>
      </w:r>
      <w:r w:rsidR="00C05E37" w:rsidRPr="00A02707">
        <w:rPr>
          <w:rFonts w:ascii="Times New Roman" w:eastAsia="MS Mincho" w:hAnsi="Times New Roman"/>
        </w:rPr>
        <w:t xml:space="preserve">, </w:t>
      </w:r>
      <w:r w:rsidR="00294DE7">
        <w:rPr>
          <w:rFonts w:ascii="Times New Roman" w:eastAsia="MS Mincho" w:hAnsi="Times New Roman"/>
        </w:rPr>
        <w:t xml:space="preserve">Senior </w:t>
      </w:r>
      <w:r w:rsidR="00C05E37" w:rsidRPr="00A02707">
        <w:rPr>
          <w:rFonts w:ascii="Times New Roman" w:eastAsia="MS Mincho" w:hAnsi="Times New Roman"/>
        </w:rPr>
        <w:t>Counsel</w:t>
      </w:r>
    </w:p>
    <w:p w:rsidR="00A03ABE" w:rsidRPr="00A02707" w:rsidRDefault="00A03ABE" w:rsidP="00A03ABE">
      <w:pPr>
        <w:spacing w:after="0" w:line="240" w:lineRule="auto"/>
        <w:ind w:left="6480"/>
        <w:jc w:val="right"/>
        <w:rPr>
          <w:rFonts w:ascii="Times New Roman" w:eastAsia="MS Mincho" w:hAnsi="Times New Roman"/>
        </w:rPr>
      </w:pPr>
      <w:r>
        <w:rPr>
          <w:rFonts w:ascii="Times New Roman" w:eastAsia="MS Mincho" w:hAnsi="Times New Roman"/>
        </w:rPr>
        <w:t>Leah Skrzypiec, Policy Analyst</w:t>
      </w:r>
    </w:p>
    <w:p w:rsidR="00C05E37" w:rsidRDefault="00C05E37" w:rsidP="004C4883">
      <w:pPr>
        <w:spacing w:after="0" w:line="240" w:lineRule="auto"/>
        <w:rPr>
          <w:rFonts w:ascii="Times New Roman" w:eastAsia="MS Mincho" w:hAnsi="Times New Roman"/>
        </w:rPr>
      </w:pP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t xml:space="preserve">          </w:t>
      </w:r>
      <w:r w:rsidRPr="00A02707">
        <w:rPr>
          <w:rFonts w:ascii="Times New Roman" w:eastAsia="MS Mincho" w:hAnsi="Times New Roman"/>
        </w:rPr>
        <w:tab/>
      </w:r>
      <w:r w:rsidR="00F8448D">
        <w:rPr>
          <w:rFonts w:ascii="Times New Roman" w:eastAsia="MS Mincho" w:hAnsi="Times New Roman"/>
        </w:rPr>
        <w:tab/>
      </w:r>
      <w:r w:rsidR="00DD4BDB">
        <w:rPr>
          <w:rFonts w:ascii="Times New Roman" w:eastAsia="MS Mincho" w:hAnsi="Times New Roman"/>
        </w:rPr>
        <w:t xml:space="preserve">          Andrew Wilber</w:t>
      </w:r>
      <w:r w:rsidR="004C4883">
        <w:rPr>
          <w:rFonts w:ascii="Times New Roman" w:eastAsia="MS Mincho" w:hAnsi="Times New Roman"/>
        </w:rPr>
        <w:t>, Financial Analyst</w:t>
      </w:r>
    </w:p>
    <w:p w:rsidR="004C4883" w:rsidRDefault="004C4883" w:rsidP="004C4883">
      <w:pPr>
        <w:spacing w:after="0" w:line="240" w:lineRule="auto"/>
        <w:rPr>
          <w:rFonts w:ascii="Times New Roman" w:eastAsia="MS Mincho" w:hAnsi="Times New Roman"/>
        </w:rPr>
      </w:pPr>
    </w:p>
    <w:p w:rsidR="004C4883" w:rsidRDefault="00193111" w:rsidP="004C4883">
      <w:pPr>
        <w:spacing w:after="0" w:line="240" w:lineRule="auto"/>
        <w:rPr>
          <w:rFonts w:ascii="Times New Roman" w:eastAsia="MS Mincho" w:hAnsi="Times New Roman"/>
        </w:rPr>
      </w:pPr>
      <w:r>
        <w:rPr>
          <w:noProof/>
        </w:rPr>
        <w:drawing>
          <wp:anchor distT="0" distB="0" distL="114300" distR="114300" simplePos="0" relativeHeight="251655680" behindDoc="0" locked="0" layoutInCell="1" allowOverlap="1">
            <wp:simplePos x="0" y="0"/>
            <wp:positionH relativeFrom="page">
              <wp:posOffset>3173095</wp:posOffset>
            </wp:positionH>
            <wp:positionV relativeFrom="margin">
              <wp:posOffset>910590</wp:posOffset>
            </wp:positionV>
            <wp:extent cx="1289050" cy="131318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83" w:rsidRDefault="004C4883" w:rsidP="004C4883">
      <w:pPr>
        <w:spacing w:after="0" w:line="240" w:lineRule="auto"/>
        <w:rPr>
          <w:rFonts w:ascii="Times New Roman" w:eastAsia="MS Mincho" w:hAnsi="Times New Roman"/>
        </w:rPr>
      </w:pPr>
    </w:p>
    <w:p w:rsidR="004C4883" w:rsidRDefault="004C4883" w:rsidP="004C4883">
      <w:pPr>
        <w:spacing w:after="0" w:line="240" w:lineRule="auto"/>
        <w:rPr>
          <w:rFonts w:ascii="Times New Roman" w:eastAsia="MS Mincho" w:hAnsi="Times New Roman"/>
        </w:rPr>
      </w:pPr>
    </w:p>
    <w:p w:rsidR="004C4883" w:rsidRDefault="004C4883" w:rsidP="004C4883">
      <w:pPr>
        <w:spacing w:after="0" w:line="240" w:lineRule="auto"/>
        <w:rPr>
          <w:rFonts w:ascii="Times New Roman" w:eastAsia="MS Mincho" w:hAnsi="Times New Roman"/>
        </w:rPr>
      </w:pPr>
    </w:p>
    <w:p w:rsidR="004C4883" w:rsidRPr="004C4883" w:rsidRDefault="004C4883" w:rsidP="004C4883">
      <w:pPr>
        <w:spacing w:after="0" w:line="240" w:lineRule="auto"/>
        <w:rPr>
          <w:rFonts w:ascii="Times New Roman" w:eastAsia="MS Mincho" w:hAnsi="Times New Roman"/>
        </w:rPr>
      </w:pPr>
    </w:p>
    <w:p w:rsidR="00C05E37" w:rsidRPr="00F844A6" w:rsidRDefault="00C05E37" w:rsidP="00C05E37">
      <w:pPr>
        <w:spacing w:after="0" w:line="240" w:lineRule="auto"/>
        <w:jc w:val="both"/>
        <w:rPr>
          <w:rFonts w:ascii="Times New Roman" w:eastAsia="MS Mincho" w:hAnsi="Times New Roman"/>
          <w:sz w:val="24"/>
          <w:szCs w:val="24"/>
        </w:rPr>
      </w:pPr>
    </w:p>
    <w:p w:rsidR="00C05E37" w:rsidRPr="00F844A6" w:rsidRDefault="00C05E37" w:rsidP="00C05E37">
      <w:pPr>
        <w:tabs>
          <w:tab w:val="left" w:pos="6240"/>
        </w:tabs>
        <w:spacing w:after="0" w:line="240" w:lineRule="auto"/>
        <w:jc w:val="both"/>
        <w:rPr>
          <w:rFonts w:ascii="Times New Roman" w:eastAsia="MS Mincho" w:hAnsi="Times New Roman"/>
          <w:sz w:val="24"/>
          <w:szCs w:val="24"/>
        </w:rPr>
      </w:pPr>
      <w:r w:rsidRPr="00F844A6">
        <w:rPr>
          <w:rFonts w:ascii="Times New Roman" w:eastAsia="MS Mincho" w:hAnsi="Times New Roman"/>
          <w:sz w:val="24"/>
          <w:szCs w:val="24"/>
        </w:rPr>
        <w:tab/>
      </w:r>
    </w:p>
    <w:p w:rsidR="00C05E37" w:rsidRPr="00F844A6" w:rsidRDefault="00C05E37" w:rsidP="00C05E37">
      <w:pPr>
        <w:spacing w:after="0" w:line="240" w:lineRule="auto"/>
        <w:jc w:val="both"/>
        <w:rPr>
          <w:rFonts w:ascii="Times New Roman" w:eastAsia="MS Mincho" w:hAnsi="Times New Roman"/>
          <w:sz w:val="24"/>
          <w:szCs w:val="24"/>
        </w:rPr>
      </w:pPr>
    </w:p>
    <w:p w:rsidR="00C05E37" w:rsidRPr="00F844A6" w:rsidRDefault="00C05E37" w:rsidP="00737377">
      <w:pPr>
        <w:keepNext/>
        <w:suppressAutoHyphens/>
        <w:spacing w:after="0" w:line="240" w:lineRule="auto"/>
        <w:outlineLvl w:val="3"/>
        <w:rPr>
          <w:rFonts w:ascii="Times New Roman" w:eastAsia="MS Mincho" w:hAnsi="Times New Roman"/>
          <w:b/>
          <w:spacing w:val="-3"/>
          <w:sz w:val="28"/>
          <w:szCs w:val="28"/>
          <w:u w:val="single"/>
        </w:rPr>
      </w:pPr>
    </w:p>
    <w:p w:rsidR="00C05E37" w:rsidRPr="00F844A6" w:rsidRDefault="00C05E37" w:rsidP="00C05E37">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C05E37" w:rsidRPr="00F844A6" w:rsidRDefault="00C05E37" w:rsidP="00C05E37">
      <w:pPr>
        <w:tabs>
          <w:tab w:val="center" w:pos="4680"/>
        </w:tabs>
        <w:suppressAutoHyphens/>
        <w:spacing w:after="0" w:line="240" w:lineRule="auto"/>
        <w:jc w:val="center"/>
        <w:rPr>
          <w:rFonts w:ascii="Times New Roman" w:eastAsia="MS Mincho" w:hAnsi="Times New Roman"/>
          <w:spacing w:val="-3"/>
          <w:sz w:val="24"/>
          <w:szCs w:val="24"/>
        </w:rPr>
      </w:pPr>
    </w:p>
    <w:p w:rsidR="00C05E37" w:rsidRPr="00F844A6" w:rsidRDefault="00C05E37" w:rsidP="00C05E37">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sidR="007435E2">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C05E37" w:rsidRPr="00F844A6" w:rsidRDefault="007435E2" w:rsidP="00C05E37">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00C05E37" w:rsidRPr="00F844A6">
        <w:rPr>
          <w:rFonts w:ascii="Times New Roman" w:eastAsia="Times New Roman" w:hAnsi="Times New Roman"/>
          <w:color w:val="000000"/>
          <w:sz w:val="24"/>
          <w:szCs w:val="24"/>
        </w:rPr>
        <w:t>, Legislative Director</w:t>
      </w:r>
    </w:p>
    <w:p w:rsidR="00C05E37" w:rsidRPr="00F844A6" w:rsidRDefault="00C05E37" w:rsidP="007435E2">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C05E37" w:rsidRPr="00F844A6" w:rsidRDefault="00C05E37" w:rsidP="00C05E37">
      <w:pPr>
        <w:keepNext/>
        <w:spacing w:after="0" w:line="240" w:lineRule="auto"/>
        <w:jc w:val="center"/>
        <w:outlineLvl w:val="4"/>
        <w:rPr>
          <w:rFonts w:ascii="Times New Roman" w:eastAsia="MS Mincho" w:hAnsi="Times New Roman"/>
          <w:b/>
          <w:sz w:val="26"/>
          <w:szCs w:val="26"/>
        </w:rPr>
      </w:pPr>
    </w:p>
    <w:p w:rsidR="00C05E37" w:rsidRPr="00F844A6" w:rsidRDefault="00C05E37" w:rsidP="00C05E37">
      <w:pPr>
        <w:keepNext/>
        <w:spacing w:after="0" w:line="240" w:lineRule="auto"/>
        <w:jc w:val="center"/>
        <w:outlineLvl w:val="4"/>
        <w:rPr>
          <w:rFonts w:ascii="Times New Roman" w:eastAsia="MS Mincho" w:hAnsi="Times New Roman"/>
          <w:b/>
          <w:sz w:val="24"/>
          <w:szCs w:val="24"/>
          <w:u w:val="single"/>
        </w:rPr>
      </w:pPr>
      <w:r w:rsidRPr="00F844A6">
        <w:rPr>
          <w:rFonts w:ascii="Times New Roman" w:eastAsia="MS Mincho" w:hAnsi="Times New Roman"/>
          <w:b/>
          <w:sz w:val="24"/>
          <w:szCs w:val="24"/>
          <w:u w:val="single"/>
        </w:rPr>
        <w:t>COMMITTEE ON CONSUMER AFFAIRS</w:t>
      </w:r>
      <w:r w:rsidR="004C4883">
        <w:rPr>
          <w:rFonts w:ascii="Times New Roman" w:eastAsia="MS Mincho" w:hAnsi="Times New Roman"/>
          <w:b/>
          <w:sz w:val="24"/>
          <w:szCs w:val="24"/>
          <w:u w:val="single"/>
        </w:rPr>
        <w:t xml:space="preserve"> AND BUSINESS LICENSING</w:t>
      </w:r>
    </w:p>
    <w:p w:rsidR="00C05E37" w:rsidRPr="00F844A6" w:rsidRDefault="00C05E37" w:rsidP="00C05E37">
      <w:pPr>
        <w:keepNext/>
        <w:spacing w:after="0" w:line="240" w:lineRule="auto"/>
        <w:jc w:val="center"/>
        <w:outlineLvl w:val="3"/>
        <w:rPr>
          <w:rFonts w:ascii="Times New Roman" w:eastAsia="MS Mincho" w:hAnsi="Times New Roman"/>
          <w:noProof/>
          <w:sz w:val="24"/>
          <w:szCs w:val="24"/>
        </w:rPr>
      </w:pPr>
      <w:r w:rsidRPr="00F844A6">
        <w:rPr>
          <w:rFonts w:ascii="Times New Roman" w:eastAsia="MS Mincho" w:hAnsi="Times New Roman"/>
          <w:noProof/>
          <w:sz w:val="24"/>
          <w:szCs w:val="24"/>
        </w:rPr>
        <w:t>Hon. Rafael Espinal, Chair</w:t>
      </w:r>
    </w:p>
    <w:p w:rsidR="00C05E37" w:rsidRPr="00F844A6" w:rsidRDefault="00737377" w:rsidP="00C05E37">
      <w:pPr>
        <w:tabs>
          <w:tab w:val="left" w:pos="2736"/>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rsidR="00C05E37" w:rsidRPr="00F844A6" w:rsidRDefault="00294DE7" w:rsidP="00C05E37">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J</w:t>
      </w:r>
      <w:r w:rsidR="0067707E">
        <w:rPr>
          <w:rFonts w:ascii="Times New Roman" w:eastAsia="MS Mincho" w:hAnsi="Times New Roman"/>
          <w:b/>
          <w:sz w:val="24"/>
          <w:szCs w:val="24"/>
        </w:rPr>
        <w:t>uly 22</w:t>
      </w:r>
      <w:r w:rsidR="00D26941">
        <w:rPr>
          <w:rFonts w:ascii="Times New Roman" w:eastAsia="MS Mincho" w:hAnsi="Times New Roman"/>
          <w:b/>
          <w:sz w:val="24"/>
          <w:szCs w:val="24"/>
        </w:rPr>
        <w:t>, 2019</w:t>
      </w:r>
    </w:p>
    <w:p w:rsidR="00A02707" w:rsidRPr="00F844A6" w:rsidRDefault="00A02707" w:rsidP="007435E2">
      <w:pPr>
        <w:keepNext/>
        <w:spacing w:after="0" w:line="240" w:lineRule="auto"/>
        <w:outlineLvl w:val="4"/>
        <w:rPr>
          <w:rFonts w:ascii="Times New Roman" w:eastAsia="MS Mincho" w:hAnsi="Times New Roman"/>
          <w:b/>
          <w:sz w:val="26"/>
          <w:szCs w:val="26"/>
        </w:rPr>
      </w:pPr>
    </w:p>
    <w:p w:rsidR="00547A27" w:rsidRDefault="00547A27" w:rsidP="000C4DD0">
      <w:pPr>
        <w:spacing w:after="0" w:line="240" w:lineRule="auto"/>
        <w:rPr>
          <w:rFonts w:ascii="Times New Roman" w:eastAsia="MS Mincho" w:hAnsi="Times New Roman"/>
          <w:spacing w:val="-3"/>
          <w:sz w:val="24"/>
          <w:szCs w:val="24"/>
        </w:rPr>
      </w:pPr>
    </w:p>
    <w:p w:rsidR="00F03C27" w:rsidRDefault="00F03C27" w:rsidP="00547A27">
      <w:pPr>
        <w:spacing w:after="0" w:line="240" w:lineRule="auto"/>
        <w:ind w:left="5040" w:hanging="5040"/>
        <w:rPr>
          <w:rFonts w:ascii="Times New Roman" w:eastAsia="MS Mincho" w:hAnsi="Times New Roman"/>
          <w:spacing w:val="-3"/>
          <w:sz w:val="24"/>
          <w:szCs w:val="24"/>
        </w:rPr>
      </w:pPr>
    </w:p>
    <w:p w:rsidR="000C4DD0" w:rsidRPr="000C4DD0" w:rsidRDefault="00C40AFC" w:rsidP="000C4DD0">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 xml:space="preserve">PROPOSED </w:t>
      </w:r>
      <w:r w:rsidR="00F03C27" w:rsidRPr="00411549">
        <w:rPr>
          <w:rFonts w:ascii="Times New Roman" w:eastAsia="MS Mincho" w:hAnsi="Times New Roman"/>
          <w:b/>
          <w:sz w:val="24"/>
          <w:szCs w:val="24"/>
          <w:u w:val="single"/>
        </w:rPr>
        <w:t xml:space="preserve">INT. NO. </w:t>
      </w:r>
      <w:r w:rsidR="00F03C27">
        <w:rPr>
          <w:rFonts w:ascii="Times New Roman" w:eastAsia="MS Mincho" w:hAnsi="Times New Roman"/>
          <w:b/>
          <w:sz w:val="24"/>
          <w:szCs w:val="24"/>
          <w:u w:val="single"/>
        </w:rPr>
        <w:t>12</w:t>
      </w:r>
      <w:r w:rsidR="000C4DD0">
        <w:rPr>
          <w:rFonts w:ascii="Times New Roman" w:eastAsia="MS Mincho" w:hAnsi="Times New Roman"/>
          <w:b/>
          <w:sz w:val="24"/>
          <w:szCs w:val="24"/>
          <w:u w:val="single"/>
        </w:rPr>
        <w:t>81-A</w:t>
      </w:r>
      <w:r w:rsidR="00F03C27" w:rsidRPr="00411549">
        <w:rPr>
          <w:rFonts w:ascii="Times New Roman" w:eastAsia="MS Mincho" w:hAnsi="Times New Roman"/>
          <w:b/>
          <w:sz w:val="24"/>
          <w:szCs w:val="24"/>
          <w:u w:val="single"/>
        </w:rPr>
        <w:t>:</w:t>
      </w:r>
      <w:r w:rsidR="00F03C27" w:rsidRPr="00411549">
        <w:rPr>
          <w:rFonts w:ascii="Times New Roman" w:eastAsia="MS Mincho" w:hAnsi="Times New Roman"/>
          <w:sz w:val="24"/>
          <w:szCs w:val="24"/>
        </w:rPr>
        <w:t xml:space="preserve">                       </w:t>
      </w:r>
      <w:r w:rsidR="00F03C27" w:rsidRPr="00411549">
        <w:rPr>
          <w:rFonts w:ascii="Times New Roman" w:eastAsia="MS Mincho" w:hAnsi="Times New Roman"/>
          <w:sz w:val="24"/>
          <w:szCs w:val="24"/>
        </w:rPr>
        <w:tab/>
      </w:r>
      <w:r w:rsidR="00F03C27">
        <w:rPr>
          <w:rFonts w:ascii="Times New Roman" w:eastAsia="MS Mincho" w:hAnsi="Times New Roman"/>
          <w:sz w:val="24"/>
          <w:szCs w:val="24"/>
        </w:rPr>
        <w:t xml:space="preserve">By Council Members </w:t>
      </w:r>
      <w:r w:rsidR="00A401D6">
        <w:rPr>
          <w:rFonts w:ascii="Times New Roman" w:eastAsia="MS Mincho" w:hAnsi="Times New Roman"/>
          <w:sz w:val="24"/>
          <w:szCs w:val="24"/>
        </w:rPr>
        <w:t xml:space="preserve">Torres, </w:t>
      </w:r>
      <w:r w:rsidR="000C4DD0" w:rsidRPr="000C4DD0">
        <w:rPr>
          <w:rFonts w:ascii="Times New Roman" w:eastAsia="MS Mincho" w:hAnsi="Times New Roman"/>
          <w:sz w:val="24"/>
          <w:szCs w:val="24"/>
        </w:rPr>
        <w:t>Espinal, Powers, Deutsch, Cumbo, Lander, Brannan, Dromm, Reynoso, Rivera, Constantinides, Kallos, Levine, Ayala, Rosenthal, Moya, Rose, Cornegy, Koslowitz and Lancman</w:t>
      </w:r>
    </w:p>
    <w:p w:rsidR="00F03C27" w:rsidRPr="00411549" w:rsidRDefault="00F03C27" w:rsidP="00A401D6">
      <w:pPr>
        <w:spacing w:after="0" w:line="240" w:lineRule="auto"/>
        <w:ind w:left="5040" w:hanging="5040"/>
        <w:jc w:val="both"/>
        <w:rPr>
          <w:rFonts w:ascii="Times New Roman" w:eastAsia="MS Mincho" w:hAnsi="Times New Roman"/>
          <w:sz w:val="24"/>
          <w:szCs w:val="24"/>
        </w:rPr>
      </w:pPr>
    </w:p>
    <w:p w:rsidR="00F03C27" w:rsidRPr="00411549" w:rsidRDefault="00F03C27" w:rsidP="00F03C27">
      <w:pPr>
        <w:spacing w:after="0" w:line="240" w:lineRule="auto"/>
        <w:ind w:left="5040" w:hanging="5040"/>
        <w:jc w:val="both"/>
        <w:rPr>
          <w:rFonts w:ascii="Times New Roman" w:eastAsia="MS Mincho" w:hAnsi="Times New Roman"/>
          <w:sz w:val="24"/>
          <w:szCs w:val="24"/>
        </w:rPr>
      </w:pPr>
    </w:p>
    <w:p w:rsidR="000C4DD0" w:rsidRPr="000C4DD0" w:rsidRDefault="00F03C27" w:rsidP="000C4DD0">
      <w:pPr>
        <w:spacing w:after="0"/>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sidRPr="001C77CB">
        <w:rPr>
          <w:rFonts w:ascii="Times New Roman" w:eastAsia="MS Mincho" w:hAnsi="Times New Roman"/>
          <w:spacing w:val="-3"/>
          <w:sz w:val="24"/>
          <w:szCs w:val="24"/>
        </w:rPr>
        <w:t xml:space="preserve">A </w:t>
      </w:r>
      <w:r w:rsidR="00214928">
        <w:rPr>
          <w:rFonts w:ascii="Times New Roman" w:eastAsia="MS Mincho" w:hAnsi="Times New Roman"/>
          <w:spacing w:val="-3"/>
          <w:sz w:val="24"/>
          <w:szCs w:val="24"/>
        </w:rPr>
        <w:t xml:space="preserve">Local Law to </w:t>
      </w:r>
      <w:r w:rsidR="000C4DD0" w:rsidRPr="000C4DD0">
        <w:rPr>
          <w:rFonts w:ascii="Times New Roman" w:eastAsia="MS Mincho" w:hAnsi="Times New Roman"/>
          <w:spacing w:val="-3"/>
          <w:sz w:val="24"/>
          <w:szCs w:val="24"/>
        </w:rPr>
        <w:t>amend the administrative code of the city of New York, in relation to prohibiting food stores and retail establishments from refusing to accept payment in cash</w:t>
      </w:r>
    </w:p>
    <w:p w:rsidR="00214928" w:rsidRPr="00214928" w:rsidRDefault="000C4DD0" w:rsidP="00214928">
      <w:pPr>
        <w:spacing w:after="0"/>
        <w:ind w:left="5040" w:hanging="5040"/>
        <w:jc w:val="both"/>
        <w:rPr>
          <w:rFonts w:ascii="Times New Roman" w:eastAsia="MS Mincho" w:hAnsi="Times New Roman"/>
          <w:spacing w:val="-3"/>
          <w:sz w:val="24"/>
          <w:szCs w:val="24"/>
        </w:rPr>
      </w:pPr>
      <w:r>
        <w:rPr>
          <w:rFonts w:ascii="Times New Roman" w:eastAsia="MS Mincho" w:hAnsi="Times New Roman"/>
          <w:spacing w:val="-3"/>
          <w:sz w:val="24"/>
          <w:szCs w:val="24"/>
        </w:rPr>
        <w:br w:type="page"/>
      </w:r>
    </w:p>
    <w:p w:rsidR="00CD5373" w:rsidRPr="00547A27" w:rsidRDefault="00CD5373" w:rsidP="00547A27">
      <w:pPr>
        <w:spacing w:after="0" w:line="240" w:lineRule="auto"/>
        <w:jc w:val="both"/>
        <w:rPr>
          <w:rFonts w:ascii="Times New Roman" w:eastAsia="MS Mincho" w:hAnsi="Times New Roman"/>
          <w:spacing w:val="-3"/>
          <w:sz w:val="24"/>
          <w:szCs w:val="24"/>
        </w:rPr>
      </w:pPr>
    </w:p>
    <w:p w:rsidR="00D61405" w:rsidRPr="00411549" w:rsidRDefault="00D61405" w:rsidP="005D61D6">
      <w:pPr>
        <w:numPr>
          <w:ilvl w:val="0"/>
          <w:numId w:val="5"/>
        </w:numPr>
        <w:spacing w:after="0" w:line="480" w:lineRule="auto"/>
        <w:rPr>
          <w:rFonts w:ascii="Times New Roman" w:eastAsia="MS Mincho" w:hAnsi="Times New Roman"/>
          <w:b/>
          <w:sz w:val="24"/>
          <w:szCs w:val="24"/>
        </w:rPr>
      </w:pPr>
      <w:r w:rsidRPr="00411549">
        <w:rPr>
          <w:rFonts w:ascii="Times New Roman" w:eastAsia="MS Mincho" w:hAnsi="Times New Roman"/>
          <w:b/>
          <w:sz w:val="24"/>
          <w:szCs w:val="24"/>
          <w:u w:val="single"/>
        </w:rPr>
        <w:t>INTRODUCTION</w:t>
      </w:r>
      <w:r w:rsidRPr="00411549">
        <w:rPr>
          <w:rFonts w:ascii="Times New Roman" w:eastAsia="MS Mincho" w:hAnsi="Times New Roman"/>
          <w:b/>
          <w:sz w:val="24"/>
          <w:szCs w:val="24"/>
        </w:rPr>
        <w:tab/>
      </w:r>
    </w:p>
    <w:p w:rsidR="00C86C22" w:rsidRPr="00411549" w:rsidRDefault="00D61405" w:rsidP="00DC5848">
      <w:pPr>
        <w:spacing w:after="0" w:line="480" w:lineRule="auto"/>
        <w:ind w:firstLine="720"/>
        <w:jc w:val="both"/>
        <w:rPr>
          <w:rFonts w:ascii="Times New Roman" w:eastAsia="MS Mincho" w:hAnsi="Times New Roman"/>
          <w:sz w:val="24"/>
          <w:szCs w:val="24"/>
        </w:rPr>
      </w:pPr>
      <w:r w:rsidRPr="00547A27">
        <w:rPr>
          <w:rFonts w:ascii="Times New Roman" w:eastAsia="MS Mincho" w:hAnsi="Times New Roman"/>
          <w:sz w:val="24"/>
          <w:szCs w:val="24"/>
        </w:rPr>
        <w:t xml:space="preserve">On </w:t>
      </w:r>
      <w:r w:rsidR="0067707E">
        <w:rPr>
          <w:rFonts w:ascii="Times New Roman" w:eastAsia="MS Mincho" w:hAnsi="Times New Roman"/>
          <w:sz w:val="24"/>
          <w:szCs w:val="24"/>
        </w:rPr>
        <w:t>July 22</w:t>
      </w:r>
      <w:r w:rsidR="008B6C8F">
        <w:rPr>
          <w:rFonts w:ascii="Times New Roman" w:eastAsia="MS Mincho" w:hAnsi="Times New Roman"/>
          <w:sz w:val="24"/>
          <w:szCs w:val="24"/>
        </w:rPr>
        <w:t>, 2019</w:t>
      </w:r>
      <w:r w:rsidR="00287428" w:rsidRPr="00547A27">
        <w:rPr>
          <w:rFonts w:ascii="Times New Roman" w:eastAsia="MS Mincho" w:hAnsi="Times New Roman"/>
          <w:sz w:val="24"/>
          <w:szCs w:val="24"/>
        </w:rPr>
        <w:t>,</w:t>
      </w:r>
      <w:r w:rsidR="00287428" w:rsidRPr="00411549">
        <w:rPr>
          <w:rFonts w:ascii="Times New Roman" w:eastAsia="MS Mincho" w:hAnsi="Times New Roman"/>
          <w:sz w:val="24"/>
          <w:szCs w:val="24"/>
        </w:rPr>
        <w:t xml:space="preserve"> the Committee on Consumer Affairs</w:t>
      </w:r>
      <w:r w:rsidR="00025B72" w:rsidRPr="00411549">
        <w:rPr>
          <w:rFonts w:ascii="Times New Roman" w:eastAsia="MS Mincho" w:hAnsi="Times New Roman"/>
          <w:sz w:val="24"/>
          <w:szCs w:val="24"/>
        </w:rPr>
        <w:t xml:space="preserve"> and Business Licensing</w:t>
      </w:r>
      <w:r w:rsidR="00287428" w:rsidRPr="00411549">
        <w:rPr>
          <w:rFonts w:ascii="Times New Roman" w:eastAsia="MS Mincho" w:hAnsi="Times New Roman"/>
          <w:sz w:val="24"/>
          <w:szCs w:val="24"/>
        </w:rPr>
        <w:t>, chaired by Council Member Rafael Espinal</w:t>
      </w:r>
      <w:r w:rsidR="00025B72" w:rsidRPr="00411549">
        <w:rPr>
          <w:rFonts w:ascii="Times New Roman" w:eastAsia="MS Mincho" w:hAnsi="Times New Roman"/>
          <w:sz w:val="24"/>
          <w:szCs w:val="24"/>
        </w:rPr>
        <w:t xml:space="preserve">, </w:t>
      </w:r>
      <w:r w:rsidR="00287428" w:rsidRPr="00411549">
        <w:rPr>
          <w:rFonts w:ascii="Times New Roman" w:eastAsia="MS Mincho" w:hAnsi="Times New Roman"/>
          <w:sz w:val="24"/>
          <w:szCs w:val="24"/>
        </w:rPr>
        <w:t xml:space="preserve">will </w:t>
      </w:r>
      <w:r w:rsidR="00025B72" w:rsidRPr="00411549">
        <w:rPr>
          <w:rFonts w:ascii="Times New Roman" w:eastAsia="MS Mincho" w:hAnsi="Times New Roman"/>
          <w:sz w:val="24"/>
          <w:szCs w:val="24"/>
        </w:rPr>
        <w:t>hold a</w:t>
      </w:r>
      <w:r w:rsidR="000C4DD0">
        <w:rPr>
          <w:rFonts w:ascii="Times New Roman" w:eastAsia="MS Mincho" w:hAnsi="Times New Roman"/>
          <w:sz w:val="24"/>
          <w:szCs w:val="24"/>
        </w:rPr>
        <w:t xml:space="preserve"> vote on</w:t>
      </w:r>
      <w:r w:rsidR="00C17E11">
        <w:rPr>
          <w:rFonts w:ascii="Times New Roman" w:eastAsia="MS Mincho" w:hAnsi="Times New Roman"/>
          <w:sz w:val="24"/>
          <w:szCs w:val="24"/>
        </w:rPr>
        <w:t xml:space="preserve"> Proposed</w:t>
      </w:r>
      <w:r w:rsidR="00FF7722" w:rsidRPr="00411549">
        <w:rPr>
          <w:rFonts w:ascii="Times New Roman" w:eastAsia="MS Mincho" w:hAnsi="Times New Roman"/>
          <w:sz w:val="24"/>
          <w:szCs w:val="24"/>
        </w:rPr>
        <w:t xml:space="preserve"> </w:t>
      </w:r>
      <w:r w:rsidR="00DC5848" w:rsidRPr="00411549">
        <w:rPr>
          <w:rFonts w:ascii="Times New Roman" w:eastAsia="MS Mincho" w:hAnsi="Times New Roman"/>
          <w:sz w:val="24"/>
          <w:szCs w:val="24"/>
        </w:rPr>
        <w:t xml:space="preserve">Introductory Bill Number </w:t>
      </w:r>
      <w:r w:rsidR="000C4DD0">
        <w:rPr>
          <w:rFonts w:ascii="Times New Roman" w:eastAsia="MS Mincho" w:hAnsi="Times New Roman"/>
          <w:sz w:val="24"/>
          <w:szCs w:val="24"/>
        </w:rPr>
        <w:t>1281-A (Int. 1281-A</w:t>
      </w:r>
      <w:r w:rsidR="00DC5848">
        <w:rPr>
          <w:rFonts w:ascii="Times New Roman" w:eastAsia="MS Mincho" w:hAnsi="Times New Roman"/>
          <w:sz w:val="24"/>
          <w:szCs w:val="24"/>
        </w:rPr>
        <w:t xml:space="preserve">), </w:t>
      </w:r>
      <w:r w:rsidR="00DC5848" w:rsidRPr="00DC5848">
        <w:rPr>
          <w:rFonts w:ascii="Times New Roman" w:eastAsia="MS Mincho" w:hAnsi="Times New Roman"/>
          <w:sz w:val="24"/>
          <w:szCs w:val="24"/>
        </w:rPr>
        <w:t>in relation to prohibiting retail establishments from refusing to accept payment in cash</w:t>
      </w:r>
      <w:r w:rsidR="00DC5848">
        <w:rPr>
          <w:rFonts w:ascii="Times New Roman" w:eastAsia="MS Mincho" w:hAnsi="Times New Roman"/>
          <w:sz w:val="24"/>
          <w:szCs w:val="24"/>
        </w:rPr>
        <w:t xml:space="preserve">. </w:t>
      </w:r>
      <w:r w:rsidRPr="00411549">
        <w:rPr>
          <w:rFonts w:ascii="Times New Roman" w:eastAsia="MS Mincho" w:hAnsi="Times New Roman"/>
          <w:sz w:val="24"/>
          <w:szCs w:val="24"/>
        </w:rPr>
        <w:t xml:space="preserve">The </w:t>
      </w:r>
      <w:r w:rsidR="00025B72" w:rsidRPr="00411549">
        <w:rPr>
          <w:rFonts w:ascii="Times New Roman" w:eastAsia="MS Mincho" w:hAnsi="Times New Roman"/>
          <w:sz w:val="24"/>
          <w:szCs w:val="24"/>
        </w:rPr>
        <w:t xml:space="preserve">Committee </w:t>
      </w:r>
      <w:r w:rsidR="000C4DD0">
        <w:rPr>
          <w:rFonts w:ascii="Times New Roman" w:eastAsia="MS Mincho" w:hAnsi="Times New Roman"/>
          <w:sz w:val="24"/>
          <w:szCs w:val="24"/>
        </w:rPr>
        <w:t xml:space="preserve">previously heard testimony on this bill from </w:t>
      </w:r>
      <w:r w:rsidRPr="00411549">
        <w:rPr>
          <w:rFonts w:ascii="Times New Roman" w:eastAsia="MS Mincho" w:hAnsi="Times New Roman"/>
          <w:sz w:val="24"/>
          <w:szCs w:val="24"/>
        </w:rPr>
        <w:t>the Department of Consumer Affairs (DCA)</w:t>
      </w:r>
      <w:r w:rsidR="006A442E">
        <w:rPr>
          <w:rFonts w:ascii="Times New Roman" w:eastAsia="MS Mincho" w:hAnsi="Times New Roman"/>
          <w:sz w:val="24"/>
          <w:szCs w:val="24"/>
        </w:rPr>
        <w:t xml:space="preserve">, </w:t>
      </w:r>
      <w:r w:rsidR="006A442E" w:rsidRPr="006A442E">
        <w:rPr>
          <w:rFonts w:ascii="Times New Roman" w:eastAsia="MS Mincho" w:hAnsi="Times New Roman"/>
          <w:sz w:val="24"/>
          <w:szCs w:val="24"/>
        </w:rPr>
        <w:t xml:space="preserve">business </w:t>
      </w:r>
      <w:r w:rsidR="00A26E46" w:rsidRPr="006A442E">
        <w:rPr>
          <w:rFonts w:ascii="Times New Roman" w:eastAsia="MS Mincho" w:hAnsi="Times New Roman"/>
          <w:sz w:val="24"/>
          <w:szCs w:val="24"/>
        </w:rPr>
        <w:t>groups</w:t>
      </w:r>
      <w:r w:rsidR="006A442E" w:rsidRPr="006A442E">
        <w:rPr>
          <w:rFonts w:ascii="Times New Roman" w:eastAsia="MS Mincho" w:hAnsi="Times New Roman"/>
          <w:sz w:val="24"/>
          <w:szCs w:val="24"/>
        </w:rPr>
        <w:t>,</w:t>
      </w:r>
      <w:r w:rsidR="00A26E46">
        <w:rPr>
          <w:rFonts w:ascii="Times New Roman" w:eastAsia="MS Mincho" w:hAnsi="Times New Roman"/>
          <w:sz w:val="24"/>
          <w:szCs w:val="24"/>
        </w:rPr>
        <w:t xml:space="preserve"> </w:t>
      </w:r>
      <w:r w:rsidR="00DC5848">
        <w:rPr>
          <w:rFonts w:ascii="Times New Roman" w:eastAsia="MS Mincho" w:hAnsi="Times New Roman"/>
          <w:sz w:val="24"/>
          <w:szCs w:val="24"/>
        </w:rPr>
        <w:t xml:space="preserve">advocates </w:t>
      </w:r>
      <w:r w:rsidR="00A87C47" w:rsidRPr="00A26E46">
        <w:rPr>
          <w:rFonts w:ascii="Times New Roman" w:eastAsia="MS Mincho" w:hAnsi="Times New Roman"/>
          <w:sz w:val="24"/>
          <w:szCs w:val="24"/>
        </w:rPr>
        <w:t xml:space="preserve">and </w:t>
      </w:r>
      <w:r w:rsidRPr="00A26E46">
        <w:rPr>
          <w:rFonts w:ascii="Times New Roman" w:eastAsia="MS Mincho" w:hAnsi="Times New Roman"/>
          <w:sz w:val="24"/>
          <w:szCs w:val="24"/>
        </w:rPr>
        <w:t>other</w:t>
      </w:r>
      <w:r w:rsidRPr="00411549">
        <w:rPr>
          <w:rFonts w:ascii="Times New Roman" w:eastAsia="MS Mincho" w:hAnsi="Times New Roman"/>
          <w:sz w:val="24"/>
          <w:szCs w:val="24"/>
        </w:rPr>
        <w:t xml:space="preserve"> interested stakeholders</w:t>
      </w:r>
      <w:r w:rsidR="000C4DD0">
        <w:rPr>
          <w:rFonts w:ascii="Times New Roman" w:eastAsia="MS Mincho" w:hAnsi="Times New Roman"/>
          <w:sz w:val="24"/>
          <w:szCs w:val="24"/>
        </w:rPr>
        <w:t xml:space="preserve">, and their feedback informed various amendments. </w:t>
      </w:r>
    </w:p>
    <w:p w:rsidR="00411549" w:rsidRDefault="00411549" w:rsidP="00CA6EB8">
      <w:pPr>
        <w:spacing w:after="0" w:line="480" w:lineRule="auto"/>
        <w:jc w:val="both"/>
        <w:rPr>
          <w:rFonts w:ascii="Times New Roman" w:eastAsia="MS Mincho" w:hAnsi="Times New Roman"/>
          <w:b/>
          <w:sz w:val="24"/>
          <w:szCs w:val="24"/>
          <w:u w:val="single"/>
        </w:rPr>
      </w:pPr>
    </w:p>
    <w:p w:rsidR="00CA6EB8" w:rsidRDefault="00CA6EB8" w:rsidP="005D61D6">
      <w:pPr>
        <w:numPr>
          <w:ilvl w:val="0"/>
          <w:numId w:val="5"/>
        </w:numPr>
        <w:spacing w:after="0" w:line="480" w:lineRule="auto"/>
        <w:jc w:val="both"/>
        <w:rPr>
          <w:rFonts w:ascii="Times New Roman" w:eastAsia="MS Mincho" w:hAnsi="Times New Roman"/>
          <w:b/>
          <w:sz w:val="24"/>
          <w:szCs w:val="24"/>
          <w:u w:val="single"/>
        </w:rPr>
      </w:pPr>
      <w:r w:rsidRPr="00411549">
        <w:rPr>
          <w:rFonts w:ascii="Times New Roman" w:eastAsia="MS Mincho" w:hAnsi="Times New Roman"/>
          <w:b/>
          <w:sz w:val="24"/>
          <w:szCs w:val="24"/>
          <w:u w:val="single"/>
        </w:rPr>
        <w:t>BACKGROUND</w:t>
      </w:r>
    </w:p>
    <w:p w:rsidR="00F30434" w:rsidRDefault="00BF43CF" w:rsidP="00FA7EC1">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For businesses embracing new technologies and faster tra</w:t>
      </w:r>
      <w:r w:rsidR="001B7CCD">
        <w:rPr>
          <w:rFonts w:ascii="Times New Roman" w:eastAsia="MS Mincho" w:hAnsi="Times New Roman"/>
          <w:sz w:val="24"/>
          <w:szCs w:val="24"/>
        </w:rPr>
        <w:t>nsactions, cashless purchases</w:t>
      </w:r>
      <w:r>
        <w:rPr>
          <w:rFonts w:ascii="Times New Roman" w:eastAsia="MS Mincho" w:hAnsi="Times New Roman"/>
          <w:sz w:val="24"/>
          <w:szCs w:val="24"/>
        </w:rPr>
        <w:t xml:space="preserve"> are a convenient option. </w:t>
      </w:r>
      <w:r w:rsidR="00FA7EC1">
        <w:rPr>
          <w:rFonts w:ascii="Times New Roman" w:eastAsia="MS Mincho" w:hAnsi="Times New Roman"/>
          <w:sz w:val="24"/>
          <w:szCs w:val="24"/>
        </w:rPr>
        <w:t>Business owners from establishments that only accept cashless transactions have</w:t>
      </w:r>
      <w:r w:rsidR="009B22A9">
        <w:rPr>
          <w:rFonts w:ascii="Times New Roman" w:eastAsia="MS Mincho" w:hAnsi="Times New Roman"/>
          <w:sz w:val="24"/>
          <w:szCs w:val="24"/>
        </w:rPr>
        <w:t xml:space="preserve"> reported shorter lines and wait times for their customers, and relief that they no longer feel vulnerable to </w:t>
      </w:r>
      <w:r w:rsidR="009B22A9" w:rsidRPr="00BD49CC">
        <w:rPr>
          <w:rFonts w:ascii="Times New Roman" w:eastAsia="MS Mincho" w:hAnsi="Times New Roman"/>
          <w:sz w:val="24"/>
          <w:szCs w:val="24"/>
        </w:rPr>
        <w:t>robbery.</w:t>
      </w:r>
      <w:r w:rsidR="006F5337" w:rsidRPr="00BD49CC">
        <w:rPr>
          <w:rStyle w:val="FootnoteReference"/>
          <w:rFonts w:ascii="Times New Roman" w:eastAsia="MS Mincho" w:hAnsi="Times New Roman"/>
          <w:sz w:val="24"/>
          <w:szCs w:val="24"/>
        </w:rPr>
        <w:footnoteReference w:id="1"/>
      </w:r>
      <w:r w:rsidR="001B7CCD">
        <w:rPr>
          <w:rFonts w:ascii="Times New Roman" w:eastAsia="MS Mincho" w:hAnsi="Times New Roman"/>
          <w:sz w:val="24"/>
          <w:szCs w:val="24"/>
        </w:rPr>
        <w:t xml:space="preserve"> </w:t>
      </w:r>
      <w:r w:rsidR="00FA7EC1">
        <w:rPr>
          <w:rFonts w:ascii="Times New Roman" w:eastAsia="MS Mincho" w:hAnsi="Times New Roman"/>
          <w:sz w:val="24"/>
          <w:szCs w:val="24"/>
        </w:rPr>
        <w:t xml:space="preserve">While this technology clearly makes transactions swift and efficient, the </w:t>
      </w:r>
      <w:r w:rsidR="005D6292">
        <w:rPr>
          <w:rFonts w:ascii="Times New Roman" w:eastAsia="MS Mincho" w:hAnsi="Times New Roman"/>
          <w:sz w:val="24"/>
          <w:szCs w:val="24"/>
        </w:rPr>
        <w:t xml:space="preserve">overarching </w:t>
      </w:r>
      <w:r w:rsidR="00FA7EC1">
        <w:rPr>
          <w:rFonts w:ascii="Times New Roman" w:eastAsia="MS Mincho" w:hAnsi="Times New Roman"/>
          <w:sz w:val="24"/>
          <w:szCs w:val="24"/>
        </w:rPr>
        <w:t xml:space="preserve">effects are not so benign. Rather, there </w:t>
      </w:r>
      <w:r w:rsidR="00130A26">
        <w:rPr>
          <w:rFonts w:ascii="Times New Roman" w:eastAsia="MS Mincho" w:hAnsi="Times New Roman"/>
          <w:sz w:val="24"/>
          <w:szCs w:val="24"/>
        </w:rPr>
        <w:t xml:space="preserve">are a range of negative consequences caused by prohibiting </w:t>
      </w:r>
      <w:r w:rsidR="009B22A9">
        <w:rPr>
          <w:rFonts w:ascii="Times New Roman" w:eastAsia="MS Mincho" w:hAnsi="Times New Roman"/>
          <w:sz w:val="24"/>
          <w:szCs w:val="24"/>
        </w:rPr>
        <w:t xml:space="preserve">the use of cash </w:t>
      </w:r>
      <w:r w:rsidR="001B7CCD">
        <w:rPr>
          <w:rFonts w:ascii="Times New Roman" w:eastAsia="MS Mincho" w:hAnsi="Times New Roman"/>
          <w:sz w:val="24"/>
          <w:szCs w:val="24"/>
        </w:rPr>
        <w:t>fo</w:t>
      </w:r>
      <w:r w:rsidR="00FA7EC1">
        <w:rPr>
          <w:rFonts w:ascii="Times New Roman" w:eastAsia="MS Mincho" w:hAnsi="Times New Roman"/>
          <w:sz w:val="24"/>
          <w:szCs w:val="24"/>
        </w:rPr>
        <w:t xml:space="preserve">r payment and marginalized communities tend to be disproportionally impacted. </w:t>
      </w:r>
    </w:p>
    <w:p w:rsidR="00826CAC" w:rsidRPr="00826CAC" w:rsidRDefault="00826CAC" w:rsidP="00DB1F3D">
      <w:pPr>
        <w:spacing w:after="0" w:line="480" w:lineRule="auto"/>
        <w:ind w:firstLine="720"/>
        <w:jc w:val="both"/>
        <w:rPr>
          <w:rFonts w:ascii="Times New Roman" w:eastAsia="MS Mincho" w:hAnsi="Times New Roman"/>
          <w:sz w:val="24"/>
          <w:szCs w:val="24"/>
          <w:u w:val="single"/>
        </w:rPr>
      </w:pPr>
      <w:r>
        <w:rPr>
          <w:rFonts w:ascii="Times New Roman" w:eastAsia="MS Mincho" w:hAnsi="Times New Roman"/>
          <w:sz w:val="24"/>
          <w:szCs w:val="24"/>
          <w:u w:val="single"/>
        </w:rPr>
        <w:t>Unbanked and Underbanked Populations</w:t>
      </w:r>
    </w:p>
    <w:p w:rsidR="00BF43CF" w:rsidRDefault="00DB1F3D" w:rsidP="00DB1F3D">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By relying exclusively on cashless payments, these establishments </w:t>
      </w:r>
      <w:r w:rsidR="00884E25">
        <w:rPr>
          <w:rFonts w:ascii="Times New Roman" w:eastAsia="MS Mincho" w:hAnsi="Times New Roman"/>
          <w:sz w:val="24"/>
          <w:szCs w:val="24"/>
        </w:rPr>
        <w:t xml:space="preserve">largely </w:t>
      </w:r>
      <w:r>
        <w:rPr>
          <w:rFonts w:ascii="Times New Roman" w:eastAsia="MS Mincho" w:hAnsi="Times New Roman"/>
          <w:sz w:val="24"/>
          <w:szCs w:val="24"/>
        </w:rPr>
        <w:t xml:space="preserve">prevent unbanked customers from </w:t>
      </w:r>
      <w:r w:rsidR="00F05751">
        <w:rPr>
          <w:rFonts w:ascii="Times New Roman" w:eastAsia="MS Mincho" w:hAnsi="Times New Roman"/>
          <w:sz w:val="24"/>
          <w:szCs w:val="24"/>
        </w:rPr>
        <w:t xml:space="preserve">purchasing items or services from </w:t>
      </w:r>
      <w:r>
        <w:rPr>
          <w:rFonts w:ascii="Times New Roman" w:eastAsia="MS Mincho" w:hAnsi="Times New Roman"/>
          <w:sz w:val="24"/>
          <w:szCs w:val="24"/>
        </w:rPr>
        <w:t>their stores. In an era of online shopping and payments made through apps on smart phone</w:t>
      </w:r>
      <w:r w:rsidR="001B7CCD">
        <w:rPr>
          <w:rFonts w:ascii="Times New Roman" w:eastAsia="MS Mincho" w:hAnsi="Times New Roman"/>
          <w:sz w:val="24"/>
          <w:szCs w:val="24"/>
        </w:rPr>
        <w:t>s</w:t>
      </w:r>
      <w:r>
        <w:rPr>
          <w:rFonts w:ascii="Times New Roman" w:eastAsia="MS Mincho" w:hAnsi="Times New Roman"/>
          <w:sz w:val="24"/>
          <w:szCs w:val="24"/>
        </w:rPr>
        <w:t xml:space="preserve">, </w:t>
      </w:r>
      <w:r w:rsidR="00884E25">
        <w:rPr>
          <w:rFonts w:ascii="Times New Roman" w:eastAsia="MS Mincho" w:hAnsi="Times New Roman"/>
          <w:sz w:val="24"/>
          <w:szCs w:val="24"/>
        </w:rPr>
        <w:t xml:space="preserve">one </w:t>
      </w:r>
      <w:r w:rsidR="00FA7EC1">
        <w:rPr>
          <w:rFonts w:ascii="Times New Roman" w:eastAsia="MS Mincho" w:hAnsi="Times New Roman"/>
          <w:sz w:val="24"/>
          <w:szCs w:val="24"/>
        </w:rPr>
        <w:t xml:space="preserve">could assume </w:t>
      </w:r>
      <w:r>
        <w:rPr>
          <w:rFonts w:ascii="Times New Roman" w:eastAsia="MS Mincho" w:hAnsi="Times New Roman"/>
          <w:sz w:val="24"/>
          <w:szCs w:val="24"/>
        </w:rPr>
        <w:t xml:space="preserve">that everyone is </w:t>
      </w:r>
      <w:r>
        <w:rPr>
          <w:rFonts w:ascii="Times New Roman" w:eastAsia="MS Mincho" w:hAnsi="Times New Roman"/>
          <w:sz w:val="24"/>
          <w:szCs w:val="24"/>
        </w:rPr>
        <w:lastRenderedPageBreak/>
        <w:t>connected to a bank account</w:t>
      </w:r>
      <w:r w:rsidR="00884E25">
        <w:rPr>
          <w:rFonts w:ascii="Times New Roman" w:eastAsia="MS Mincho" w:hAnsi="Times New Roman"/>
          <w:sz w:val="24"/>
          <w:szCs w:val="24"/>
        </w:rPr>
        <w:t xml:space="preserve"> and the technology that makes funds so readily available</w:t>
      </w:r>
      <w:r>
        <w:rPr>
          <w:rFonts w:ascii="Times New Roman" w:eastAsia="MS Mincho" w:hAnsi="Times New Roman"/>
          <w:sz w:val="24"/>
          <w:szCs w:val="24"/>
        </w:rPr>
        <w:t>.</w:t>
      </w:r>
      <w:r w:rsidR="00FA7EC1">
        <w:rPr>
          <w:rFonts w:ascii="Times New Roman" w:eastAsia="MS Mincho" w:hAnsi="Times New Roman"/>
          <w:sz w:val="24"/>
          <w:szCs w:val="24"/>
        </w:rPr>
        <w:t xml:space="preserve"> In a financial hub like New York City, this </w:t>
      </w:r>
      <w:r w:rsidR="00884E25">
        <w:rPr>
          <w:rFonts w:ascii="Times New Roman" w:eastAsia="MS Mincho" w:hAnsi="Times New Roman"/>
          <w:sz w:val="24"/>
          <w:szCs w:val="24"/>
        </w:rPr>
        <w:t xml:space="preserve">ease in accessing cash </w:t>
      </w:r>
      <w:r w:rsidR="00FA7EC1">
        <w:rPr>
          <w:rFonts w:ascii="Times New Roman" w:eastAsia="MS Mincho" w:hAnsi="Times New Roman"/>
          <w:sz w:val="24"/>
          <w:szCs w:val="24"/>
        </w:rPr>
        <w:t>may be expected.</w:t>
      </w:r>
      <w:r>
        <w:rPr>
          <w:rFonts w:ascii="Times New Roman" w:eastAsia="MS Mincho" w:hAnsi="Times New Roman"/>
          <w:sz w:val="24"/>
          <w:szCs w:val="24"/>
        </w:rPr>
        <w:t xml:space="preserve"> However, according to a </w:t>
      </w:r>
      <w:r w:rsidR="00F30434">
        <w:rPr>
          <w:rFonts w:ascii="Times New Roman" w:eastAsia="MS Mincho" w:hAnsi="Times New Roman"/>
          <w:sz w:val="24"/>
          <w:szCs w:val="24"/>
        </w:rPr>
        <w:t xml:space="preserve">report by the Urban Institute, commissioned by the Department of Consumer Affairs, there were 360,000 households in New York City (11.7% of the population) that had no bank accounts in 2013. This was </w:t>
      </w:r>
      <w:r>
        <w:rPr>
          <w:rFonts w:ascii="Times New Roman" w:eastAsia="MS Mincho" w:hAnsi="Times New Roman"/>
          <w:sz w:val="24"/>
          <w:szCs w:val="24"/>
        </w:rPr>
        <w:t xml:space="preserve">well </w:t>
      </w:r>
      <w:r w:rsidR="00F30434">
        <w:rPr>
          <w:rFonts w:ascii="Times New Roman" w:eastAsia="MS Mincho" w:hAnsi="Times New Roman"/>
          <w:sz w:val="24"/>
          <w:szCs w:val="24"/>
        </w:rPr>
        <w:t>abo</w:t>
      </w:r>
      <w:r w:rsidR="00D26742">
        <w:rPr>
          <w:rFonts w:ascii="Times New Roman" w:eastAsia="MS Mincho" w:hAnsi="Times New Roman"/>
          <w:sz w:val="24"/>
          <w:szCs w:val="24"/>
        </w:rPr>
        <w:t>ve the national average of 7.7% and the New York State average of 8.5%.</w:t>
      </w:r>
      <w:r w:rsidR="00D26742">
        <w:rPr>
          <w:rStyle w:val="FootnoteReference"/>
          <w:rFonts w:ascii="Times New Roman" w:eastAsia="MS Mincho" w:hAnsi="Times New Roman"/>
          <w:sz w:val="24"/>
          <w:szCs w:val="24"/>
        </w:rPr>
        <w:footnoteReference w:id="2"/>
      </w:r>
      <w:r w:rsidR="00F30434">
        <w:rPr>
          <w:rFonts w:ascii="Times New Roman" w:eastAsia="MS Mincho" w:hAnsi="Times New Roman"/>
          <w:sz w:val="24"/>
          <w:szCs w:val="24"/>
        </w:rPr>
        <w:t xml:space="preserve"> The </w:t>
      </w:r>
      <w:r w:rsidR="008E2516">
        <w:rPr>
          <w:rFonts w:ascii="Times New Roman" w:eastAsia="MS Mincho" w:hAnsi="Times New Roman"/>
          <w:sz w:val="24"/>
          <w:szCs w:val="24"/>
        </w:rPr>
        <w:t xml:space="preserve">Urban Institute </w:t>
      </w:r>
      <w:r w:rsidR="00F30434">
        <w:rPr>
          <w:rFonts w:ascii="Times New Roman" w:eastAsia="MS Mincho" w:hAnsi="Times New Roman"/>
          <w:sz w:val="24"/>
          <w:szCs w:val="24"/>
        </w:rPr>
        <w:t>report measured the frequency of households that were ‘underbanked</w:t>
      </w:r>
      <w:r w:rsidR="00884E25">
        <w:rPr>
          <w:rFonts w:ascii="Times New Roman" w:eastAsia="MS Mincho" w:hAnsi="Times New Roman"/>
          <w:sz w:val="24"/>
          <w:szCs w:val="24"/>
        </w:rPr>
        <w:t>,</w:t>
      </w:r>
      <w:r w:rsidR="00F30434">
        <w:rPr>
          <w:rFonts w:ascii="Times New Roman" w:eastAsia="MS Mincho" w:hAnsi="Times New Roman"/>
          <w:sz w:val="24"/>
          <w:szCs w:val="24"/>
        </w:rPr>
        <w:t>’ meaning that, while they may have a bank account, they still rely on other financial services to cash checks, transfer money or access a loan.</w:t>
      </w:r>
      <w:r w:rsidR="00F30434">
        <w:rPr>
          <w:rStyle w:val="FootnoteReference"/>
          <w:rFonts w:ascii="Times New Roman" w:eastAsia="MS Mincho" w:hAnsi="Times New Roman"/>
          <w:sz w:val="24"/>
          <w:szCs w:val="24"/>
        </w:rPr>
        <w:footnoteReference w:id="3"/>
      </w:r>
      <w:r w:rsidR="00D26742">
        <w:rPr>
          <w:rFonts w:ascii="Times New Roman" w:eastAsia="MS Mincho" w:hAnsi="Times New Roman"/>
          <w:sz w:val="24"/>
          <w:szCs w:val="24"/>
        </w:rPr>
        <w:t xml:space="preserve"> In 2013</w:t>
      </w:r>
      <w:r w:rsidR="00384BA9">
        <w:rPr>
          <w:rFonts w:ascii="Times New Roman" w:eastAsia="MS Mincho" w:hAnsi="Times New Roman"/>
          <w:sz w:val="24"/>
          <w:szCs w:val="24"/>
        </w:rPr>
        <w:t>,</w:t>
      </w:r>
      <w:r w:rsidR="00D26742">
        <w:rPr>
          <w:rFonts w:ascii="Times New Roman" w:eastAsia="MS Mincho" w:hAnsi="Times New Roman"/>
          <w:sz w:val="24"/>
          <w:szCs w:val="24"/>
        </w:rPr>
        <w:t xml:space="preserve"> 780,000 households (25.1%) in New York City were underbanked, compared to the national average of 20%.</w:t>
      </w:r>
      <w:r w:rsidR="00D26742">
        <w:rPr>
          <w:rStyle w:val="FootnoteReference"/>
          <w:rFonts w:ascii="Times New Roman" w:eastAsia="MS Mincho" w:hAnsi="Times New Roman"/>
          <w:sz w:val="24"/>
          <w:szCs w:val="24"/>
        </w:rPr>
        <w:footnoteReference w:id="4"/>
      </w:r>
      <w:r w:rsidR="005C30D4">
        <w:rPr>
          <w:rFonts w:ascii="Times New Roman" w:eastAsia="MS Mincho" w:hAnsi="Times New Roman"/>
          <w:sz w:val="24"/>
          <w:szCs w:val="24"/>
        </w:rPr>
        <w:t xml:space="preserve"> For some underbanked households, the fees or overdraft fines means that a bank account stays active but the</w:t>
      </w:r>
      <w:r w:rsidR="008E2516">
        <w:rPr>
          <w:rFonts w:ascii="Times New Roman" w:eastAsia="MS Mincho" w:hAnsi="Times New Roman"/>
          <w:sz w:val="24"/>
          <w:szCs w:val="24"/>
        </w:rPr>
        <w:t xml:space="preserve"> account holder cannot afford</w:t>
      </w:r>
      <w:r w:rsidR="005C30D4">
        <w:rPr>
          <w:rFonts w:ascii="Times New Roman" w:eastAsia="MS Mincho" w:hAnsi="Times New Roman"/>
          <w:sz w:val="24"/>
          <w:szCs w:val="24"/>
        </w:rPr>
        <w:t xml:space="preserve"> to make regular use of it.</w:t>
      </w:r>
      <w:r w:rsidR="005C30D4">
        <w:rPr>
          <w:rStyle w:val="FootnoteReference"/>
          <w:rFonts w:ascii="Times New Roman" w:eastAsia="MS Mincho" w:hAnsi="Times New Roman"/>
          <w:sz w:val="24"/>
          <w:szCs w:val="24"/>
        </w:rPr>
        <w:footnoteReference w:id="5"/>
      </w:r>
    </w:p>
    <w:p w:rsidR="003121C8" w:rsidRPr="003121C8" w:rsidRDefault="00F05751" w:rsidP="00F05751">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Across the City</w:t>
      </w:r>
      <w:r w:rsidR="00A35A51">
        <w:rPr>
          <w:rFonts w:ascii="Times New Roman" w:eastAsia="MS Mincho" w:hAnsi="Times New Roman"/>
          <w:sz w:val="24"/>
          <w:szCs w:val="24"/>
        </w:rPr>
        <w:t>,</w:t>
      </w:r>
      <w:r>
        <w:rPr>
          <w:rFonts w:ascii="Times New Roman" w:eastAsia="MS Mincho" w:hAnsi="Times New Roman"/>
          <w:sz w:val="24"/>
          <w:szCs w:val="24"/>
        </w:rPr>
        <w:t xml:space="preserve"> the division of unbanked and underbank</w:t>
      </w:r>
      <w:r w:rsidR="00FA7EC1">
        <w:rPr>
          <w:rFonts w:ascii="Times New Roman" w:eastAsia="MS Mincho" w:hAnsi="Times New Roman"/>
          <w:sz w:val="24"/>
          <w:szCs w:val="24"/>
        </w:rPr>
        <w:t>ed households varies by borough. A</w:t>
      </w:r>
      <w:r>
        <w:rPr>
          <w:rFonts w:ascii="Times New Roman" w:eastAsia="MS Mincho" w:hAnsi="Times New Roman"/>
          <w:sz w:val="24"/>
          <w:szCs w:val="24"/>
        </w:rPr>
        <w:t>s i</w:t>
      </w:r>
      <w:r w:rsidR="00FA7EC1">
        <w:rPr>
          <w:rFonts w:ascii="Times New Roman" w:eastAsia="MS Mincho" w:hAnsi="Times New Roman"/>
          <w:sz w:val="24"/>
          <w:szCs w:val="24"/>
        </w:rPr>
        <w:t>llustrated in the graphs below, the Bronx has the highest percent of unbanked and underbanked households</w:t>
      </w:r>
      <w:r w:rsidR="00A35A51">
        <w:rPr>
          <w:rFonts w:ascii="Times New Roman" w:eastAsia="MS Mincho" w:hAnsi="Times New Roman"/>
          <w:sz w:val="24"/>
          <w:szCs w:val="24"/>
        </w:rPr>
        <w:t>,</w:t>
      </w:r>
      <w:r w:rsidR="00FA7EC1">
        <w:rPr>
          <w:rFonts w:ascii="Times New Roman" w:eastAsia="MS Mincho" w:hAnsi="Times New Roman"/>
          <w:sz w:val="24"/>
          <w:szCs w:val="24"/>
        </w:rPr>
        <w:t xml:space="preserve"> and both the Bronx and Brooklyn have rates w</w:t>
      </w:r>
      <w:r w:rsidR="00A35A51">
        <w:rPr>
          <w:rFonts w:ascii="Times New Roman" w:eastAsia="MS Mincho" w:hAnsi="Times New Roman"/>
          <w:sz w:val="24"/>
          <w:szCs w:val="24"/>
        </w:rPr>
        <w:t>ell</w:t>
      </w:r>
      <w:r w:rsidR="00FA7EC1">
        <w:rPr>
          <w:rFonts w:ascii="Times New Roman" w:eastAsia="MS Mincho" w:hAnsi="Times New Roman"/>
          <w:sz w:val="24"/>
          <w:szCs w:val="24"/>
        </w:rPr>
        <w:t xml:space="preserve"> above the national, </w:t>
      </w:r>
      <w:r w:rsidR="00884E25">
        <w:rPr>
          <w:rFonts w:ascii="Times New Roman" w:eastAsia="MS Mincho" w:hAnsi="Times New Roman"/>
          <w:sz w:val="24"/>
          <w:szCs w:val="24"/>
        </w:rPr>
        <w:t>S</w:t>
      </w:r>
      <w:r w:rsidR="00FA7EC1">
        <w:rPr>
          <w:rFonts w:ascii="Times New Roman" w:eastAsia="MS Mincho" w:hAnsi="Times New Roman"/>
          <w:sz w:val="24"/>
          <w:szCs w:val="24"/>
        </w:rPr>
        <w:t xml:space="preserve">tate and </w:t>
      </w:r>
      <w:r w:rsidR="00884E25">
        <w:rPr>
          <w:rFonts w:ascii="Times New Roman" w:eastAsia="MS Mincho" w:hAnsi="Times New Roman"/>
          <w:sz w:val="24"/>
          <w:szCs w:val="24"/>
        </w:rPr>
        <w:t>C</w:t>
      </w:r>
      <w:r w:rsidR="00FA7EC1">
        <w:rPr>
          <w:rFonts w:ascii="Times New Roman" w:eastAsia="MS Mincho" w:hAnsi="Times New Roman"/>
          <w:sz w:val="24"/>
          <w:szCs w:val="24"/>
        </w:rPr>
        <w:t xml:space="preserve">ity levels. </w:t>
      </w:r>
    </w:p>
    <w:p w:rsidR="00BD49CC" w:rsidRDefault="00F05751" w:rsidP="00F05751">
      <w:pPr>
        <w:spacing w:after="0" w:line="480" w:lineRule="auto"/>
        <w:rPr>
          <w:rFonts w:ascii="Times New Roman" w:eastAsia="MS Mincho" w:hAnsi="Times New Roman"/>
          <w:b/>
          <w:sz w:val="20"/>
          <w:szCs w:val="20"/>
        </w:rPr>
      </w:pPr>
      <w:r>
        <w:rPr>
          <w:rFonts w:ascii="Times New Roman" w:eastAsia="MS Mincho" w:hAnsi="Times New Roman"/>
          <w:b/>
          <w:sz w:val="20"/>
          <w:szCs w:val="20"/>
        </w:rPr>
        <w:t xml:space="preserve">     </w:t>
      </w:r>
    </w:p>
    <w:p w:rsidR="007163D2" w:rsidRDefault="007163D2" w:rsidP="00F05751">
      <w:pPr>
        <w:spacing w:after="0" w:line="480" w:lineRule="auto"/>
        <w:rPr>
          <w:rFonts w:ascii="Times New Roman" w:eastAsia="MS Mincho" w:hAnsi="Times New Roman"/>
          <w:b/>
          <w:sz w:val="20"/>
          <w:szCs w:val="20"/>
        </w:rPr>
      </w:pPr>
    </w:p>
    <w:p w:rsidR="007163D2" w:rsidRDefault="007163D2" w:rsidP="00F05751">
      <w:pPr>
        <w:spacing w:after="0" w:line="480" w:lineRule="auto"/>
        <w:rPr>
          <w:rFonts w:ascii="Times New Roman" w:eastAsia="MS Mincho" w:hAnsi="Times New Roman"/>
          <w:b/>
          <w:sz w:val="20"/>
          <w:szCs w:val="20"/>
        </w:rPr>
      </w:pPr>
    </w:p>
    <w:p w:rsidR="007163D2" w:rsidRDefault="007163D2" w:rsidP="00F05751">
      <w:pPr>
        <w:spacing w:after="0" w:line="480" w:lineRule="auto"/>
        <w:rPr>
          <w:rFonts w:ascii="Times New Roman" w:eastAsia="MS Mincho" w:hAnsi="Times New Roman"/>
          <w:b/>
          <w:sz w:val="20"/>
          <w:szCs w:val="20"/>
        </w:rPr>
      </w:pPr>
    </w:p>
    <w:p w:rsidR="003121C8" w:rsidRPr="00F05751" w:rsidRDefault="00193111" w:rsidP="00F05751">
      <w:pPr>
        <w:spacing w:after="0" w:line="480" w:lineRule="auto"/>
        <w:rPr>
          <w:rFonts w:ascii="Times New Roman" w:eastAsia="MS Mincho" w:hAnsi="Times New Roman"/>
          <w:sz w:val="20"/>
          <w:szCs w:val="20"/>
        </w:rPr>
      </w:pPr>
      <w:r w:rsidRPr="00F05751">
        <w:rPr>
          <w:noProof/>
          <w:sz w:val="20"/>
          <w:szCs w:val="20"/>
        </w:rPr>
        <w:lastRenderedPageBreak/>
        <w:drawing>
          <wp:anchor distT="0" distB="0" distL="114300" distR="114300" simplePos="0" relativeHeight="251658752" behindDoc="1" locked="0" layoutInCell="1" allowOverlap="1">
            <wp:simplePos x="0" y="0"/>
            <wp:positionH relativeFrom="column">
              <wp:posOffset>3156585</wp:posOffset>
            </wp:positionH>
            <wp:positionV relativeFrom="paragraph">
              <wp:posOffset>71755</wp:posOffset>
            </wp:positionV>
            <wp:extent cx="3307080" cy="2049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l="1524"/>
                    <a:stretch>
                      <a:fillRect/>
                    </a:stretch>
                  </pic:blipFill>
                  <pic:spPr bwMode="auto">
                    <a:xfrm>
                      <a:off x="0" y="0"/>
                      <a:ext cx="330708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751">
        <w:rPr>
          <w:noProof/>
          <w:sz w:val="20"/>
          <w:szCs w:val="20"/>
        </w:rPr>
        <w:drawing>
          <wp:anchor distT="0" distB="0" distL="114300" distR="114300" simplePos="0" relativeHeight="251656704" behindDoc="1" locked="0" layoutInCell="1" allowOverlap="1">
            <wp:simplePos x="0" y="0"/>
            <wp:positionH relativeFrom="margin">
              <wp:posOffset>-206375</wp:posOffset>
            </wp:positionH>
            <wp:positionV relativeFrom="paragraph">
              <wp:posOffset>187960</wp:posOffset>
            </wp:positionV>
            <wp:extent cx="3169920" cy="1840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extLst>
                        <a:ext uri="{28A0092B-C50C-407E-A947-70E740481C1C}">
                          <a14:useLocalDpi xmlns:a14="http://schemas.microsoft.com/office/drawing/2010/main" val="0"/>
                        </a:ext>
                      </a:extLst>
                    </a:blip>
                    <a:srcRect t="5946"/>
                    <a:stretch>
                      <a:fillRect/>
                    </a:stretch>
                  </pic:blipFill>
                  <pic:spPr bwMode="auto">
                    <a:xfrm>
                      <a:off x="0" y="0"/>
                      <a:ext cx="316992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751">
        <w:rPr>
          <w:rFonts w:ascii="Times New Roman" w:eastAsia="MS Mincho" w:hAnsi="Times New Roman"/>
          <w:b/>
          <w:sz w:val="20"/>
          <w:szCs w:val="20"/>
        </w:rPr>
        <w:t xml:space="preserve"> Unbanked households</w:t>
      </w:r>
      <w:r w:rsidR="003121C8" w:rsidRPr="00F05751">
        <w:rPr>
          <w:rFonts w:ascii="Times New Roman" w:eastAsia="MS Mincho" w:hAnsi="Times New Roman"/>
          <w:b/>
          <w:sz w:val="20"/>
          <w:szCs w:val="20"/>
        </w:rPr>
        <w:t>, 2013</w:t>
      </w:r>
      <w:r w:rsidR="003121C8" w:rsidRPr="00F05751">
        <w:rPr>
          <w:rStyle w:val="FootnoteReference"/>
          <w:rFonts w:ascii="Times New Roman" w:eastAsia="MS Mincho" w:hAnsi="Times New Roman"/>
          <w:b/>
          <w:sz w:val="20"/>
          <w:szCs w:val="20"/>
        </w:rPr>
        <w:footnoteReference w:id="6"/>
      </w:r>
      <w:r w:rsidR="00F05751">
        <w:rPr>
          <w:rFonts w:ascii="Times New Roman" w:eastAsia="MS Mincho" w:hAnsi="Times New Roman"/>
          <w:b/>
          <w:sz w:val="20"/>
          <w:szCs w:val="20"/>
        </w:rPr>
        <w:tab/>
      </w:r>
      <w:r w:rsidR="00F05751">
        <w:rPr>
          <w:rFonts w:ascii="Times New Roman" w:eastAsia="MS Mincho" w:hAnsi="Times New Roman"/>
          <w:b/>
          <w:sz w:val="20"/>
          <w:szCs w:val="20"/>
        </w:rPr>
        <w:tab/>
      </w:r>
      <w:r w:rsidR="00F05751">
        <w:rPr>
          <w:rFonts w:ascii="Times New Roman" w:eastAsia="MS Mincho" w:hAnsi="Times New Roman"/>
          <w:b/>
          <w:sz w:val="20"/>
          <w:szCs w:val="20"/>
        </w:rPr>
        <w:tab/>
      </w:r>
      <w:r w:rsidR="00F05751">
        <w:rPr>
          <w:rFonts w:ascii="Times New Roman" w:eastAsia="MS Mincho" w:hAnsi="Times New Roman"/>
          <w:b/>
          <w:sz w:val="20"/>
          <w:szCs w:val="20"/>
        </w:rPr>
        <w:tab/>
      </w:r>
      <w:r w:rsidR="00F05751">
        <w:rPr>
          <w:rFonts w:ascii="Times New Roman" w:eastAsia="MS Mincho" w:hAnsi="Times New Roman"/>
          <w:b/>
          <w:sz w:val="20"/>
          <w:szCs w:val="20"/>
        </w:rPr>
        <w:tab/>
        <w:t xml:space="preserve">      Underbanked households</w:t>
      </w:r>
      <w:r w:rsidR="00F05751" w:rsidRPr="00F05751">
        <w:rPr>
          <w:rFonts w:ascii="Times New Roman" w:eastAsia="MS Mincho" w:hAnsi="Times New Roman"/>
          <w:b/>
          <w:sz w:val="20"/>
          <w:szCs w:val="20"/>
        </w:rPr>
        <w:t>, 2013</w:t>
      </w:r>
      <w:r w:rsidR="00F05751" w:rsidRPr="00F05751">
        <w:rPr>
          <w:rStyle w:val="FootnoteReference"/>
          <w:rFonts w:ascii="Times New Roman" w:eastAsia="MS Mincho" w:hAnsi="Times New Roman"/>
          <w:b/>
          <w:sz w:val="20"/>
          <w:szCs w:val="20"/>
        </w:rPr>
        <w:footnoteReference w:id="7"/>
      </w:r>
    </w:p>
    <w:p w:rsidR="003121C8" w:rsidRDefault="003121C8" w:rsidP="00BF43CF">
      <w:pPr>
        <w:spacing w:after="0" w:line="480" w:lineRule="auto"/>
        <w:ind w:firstLine="720"/>
        <w:jc w:val="both"/>
        <w:rPr>
          <w:rFonts w:ascii="Times New Roman" w:eastAsia="MS Mincho" w:hAnsi="Times New Roman"/>
          <w:sz w:val="24"/>
          <w:szCs w:val="24"/>
        </w:rPr>
      </w:pPr>
    </w:p>
    <w:p w:rsidR="003121C8" w:rsidRPr="00BF43CF" w:rsidRDefault="003121C8" w:rsidP="00BF43CF">
      <w:pPr>
        <w:spacing w:after="0" w:line="480" w:lineRule="auto"/>
        <w:ind w:firstLine="720"/>
        <w:jc w:val="both"/>
        <w:rPr>
          <w:rFonts w:ascii="Times New Roman" w:eastAsia="MS Mincho" w:hAnsi="Times New Roman"/>
          <w:sz w:val="24"/>
          <w:szCs w:val="24"/>
        </w:rPr>
      </w:pPr>
    </w:p>
    <w:p w:rsidR="003121C8" w:rsidRDefault="003121C8" w:rsidP="003121C8">
      <w:pPr>
        <w:spacing w:after="0" w:line="480" w:lineRule="auto"/>
        <w:rPr>
          <w:rFonts w:ascii="Times New Roman" w:hAnsi="Times New Roman"/>
          <w:b/>
          <w:sz w:val="24"/>
          <w:szCs w:val="24"/>
          <w:u w:val="single"/>
        </w:rPr>
      </w:pPr>
    </w:p>
    <w:p w:rsidR="00BD49CC" w:rsidRDefault="004E4BCD" w:rsidP="004E4BCD">
      <w:pPr>
        <w:spacing w:after="0" w:line="480" w:lineRule="auto"/>
        <w:rPr>
          <w:rFonts w:ascii="Times New Roman" w:hAnsi="Times New Roman"/>
          <w:sz w:val="24"/>
          <w:szCs w:val="24"/>
        </w:rPr>
      </w:pPr>
      <w:r>
        <w:rPr>
          <w:rFonts w:ascii="Times New Roman" w:hAnsi="Times New Roman"/>
          <w:sz w:val="24"/>
          <w:szCs w:val="24"/>
        </w:rPr>
        <w:tab/>
      </w:r>
    </w:p>
    <w:p w:rsidR="00BD49CC" w:rsidRDefault="00BD49CC" w:rsidP="004E4BCD">
      <w:pPr>
        <w:spacing w:after="0" w:line="480" w:lineRule="auto"/>
        <w:rPr>
          <w:rFonts w:ascii="Times New Roman" w:hAnsi="Times New Roman"/>
          <w:sz w:val="24"/>
          <w:szCs w:val="24"/>
        </w:rPr>
      </w:pPr>
    </w:p>
    <w:p w:rsidR="00BD49CC" w:rsidRDefault="00BD49CC" w:rsidP="00BD49CC">
      <w:pPr>
        <w:spacing w:after="0" w:line="480" w:lineRule="auto"/>
        <w:jc w:val="both"/>
        <w:rPr>
          <w:rFonts w:ascii="Times New Roman" w:hAnsi="Times New Roman"/>
          <w:sz w:val="24"/>
          <w:szCs w:val="24"/>
        </w:rPr>
      </w:pPr>
    </w:p>
    <w:p w:rsidR="00732788" w:rsidRPr="004E4BCD" w:rsidRDefault="004E4BCD" w:rsidP="00BD49CC">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addition to illustrating </w:t>
      </w:r>
      <w:r w:rsidR="00A35A51">
        <w:rPr>
          <w:rFonts w:ascii="Times New Roman" w:hAnsi="Times New Roman"/>
          <w:sz w:val="24"/>
          <w:szCs w:val="24"/>
        </w:rPr>
        <w:t xml:space="preserve">how </w:t>
      </w:r>
      <w:r w:rsidR="00C15213">
        <w:rPr>
          <w:rFonts w:ascii="Times New Roman" w:hAnsi="Times New Roman"/>
          <w:sz w:val="24"/>
          <w:szCs w:val="24"/>
        </w:rPr>
        <w:t>different geographies</w:t>
      </w:r>
      <w:r>
        <w:rPr>
          <w:rFonts w:ascii="Times New Roman" w:hAnsi="Times New Roman"/>
          <w:sz w:val="24"/>
          <w:szCs w:val="24"/>
        </w:rPr>
        <w:t xml:space="preserve"> are impacted, the figures on unbanked and underbanked households also highlight a link between poverty and unemployment rates. As seen in the graph below, the boroughs with the highest rates of family poverty also </w:t>
      </w:r>
      <w:r w:rsidR="00A35A51">
        <w:rPr>
          <w:rFonts w:ascii="Times New Roman" w:hAnsi="Times New Roman"/>
          <w:sz w:val="24"/>
          <w:szCs w:val="24"/>
        </w:rPr>
        <w:t xml:space="preserve">represented </w:t>
      </w:r>
      <w:r>
        <w:rPr>
          <w:rFonts w:ascii="Times New Roman" w:hAnsi="Times New Roman"/>
          <w:sz w:val="24"/>
          <w:szCs w:val="24"/>
        </w:rPr>
        <w:t xml:space="preserve">the greatest number of unbanked and underbanked households.  </w:t>
      </w:r>
    </w:p>
    <w:p w:rsidR="00732788" w:rsidRDefault="00732788" w:rsidP="0079047C">
      <w:pPr>
        <w:pStyle w:val="Body"/>
        <w:suppressLineNumbers/>
        <w:jc w:val="both"/>
        <w:rPr>
          <w:rFonts w:eastAsia="MS Mincho"/>
        </w:rPr>
      </w:pPr>
    </w:p>
    <w:p w:rsidR="0079047C" w:rsidRPr="0079047C" w:rsidRDefault="00193111" w:rsidP="005513F5">
      <w:pPr>
        <w:pStyle w:val="Body"/>
        <w:suppressLineNumbers/>
        <w:jc w:val="center"/>
        <w:rPr>
          <w:rFonts w:eastAsia="MS Mincho"/>
          <w:b/>
          <w:sz w:val="22"/>
          <w:szCs w:val="22"/>
        </w:rPr>
      </w:pPr>
      <w:r>
        <w:rPr>
          <w:rFonts w:eastAsia="MS Mincho"/>
          <w:noProof/>
        </w:rPr>
        <w:drawing>
          <wp:anchor distT="0" distB="0" distL="114300" distR="114300" simplePos="0" relativeHeight="251657728" behindDoc="1" locked="0" layoutInCell="1" allowOverlap="1">
            <wp:simplePos x="0" y="0"/>
            <wp:positionH relativeFrom="column">
              <wp:posOffset>-78105</wp:posOffset>
            </wp:positionH>
            <wp:positionV relativeFrom="paragraph">
              <wp:posOffset>57785</wp:posOffset>
            </wp:positionV>
            <wp:extent cx="5900420" cy="2038985"/>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DF6613">
        <w:rPr>
          <w:rFonts w:eastAsia="MS Mincho"/>
          <w:b/>
          <w:sz w:val="22"/>
          <w:szCs w:val="22"/>
        </w:rPr>
        <w:t xml:space="preserve">       </w:t>
      </w:r>
      <w:r w:rsidR="00732788">
        <w:rPr>
          <w:rFonts w:eastAsia="MS Mincho"/>
          <w:b/>
          <w:sz w:val="22"/>
          <w:szCs w:val="22"/>
        </w:rPr>
        <w:t>Characteristics and banking rates New York City and the five boroughs, 2013</w:t>
      </w:r>
      <w:r w:rsidR="004E4BCD">
        <w:rPr>
          <w:rStyle w:val="FootnoteReference"/>
          <w:rFonts w:eastAsia="MS Mincho"/>
          <w:b/>
          <w:sz w:val="22"/>
          <w:szCs w:val="22"/>
        </w:rPr>
        <w:footnoteReference w:id="8"/>
      </w:r>
    </w:p>
    <w:p w:rsidR="0079047C" w:rsidRDefault="0079047C" w:rsidP="00E923AB">
      <w:pPr>
        <w:pStyle w:val="Body"/>
        <w:suppressLineNumbers/>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D64373" w:rsidP="00D64373">
      <w:pPr>
        <w:pStyle w:val="Body"/>
        <w:suppressLineNumbers/>
        <w:tabs>
          <w:tab w:val="left" w:pos="4015"/>
        </w:tabs>
        <w:rPr>
          <w:rFonts w:eastAsia="MS Mincho"/>
        </w:rPr>
      </w:pPr>
      <w:r>
        <w:rPr>
          <w:rFonts w:eastAsia="MS Mincho"/>
        </w:rPr>
        <w:tab/>
      </w: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C80040">
      <w:pPr>
        <w:pStyle w:val="Body"/>
        <w:suppressLineNumbers/>
        <w:rPr>
          <w:rFonts w:eastAsia="MS Mincho"/>
        </w:rPr>
      </w:pPr>
    </w:p>
    <w:p w:rsidR="0079047C" w:rsidRDefault="0079047C" w:rsidP="005513F5">
      <w:pPr>
        <w:pStyle w:val="Body"/>
        <w:suppressLineNumbers/>
        <w:jc w:val="center"/>
        <w:rPr>
          <w:rFonts w:eastAsia="MS Mincho"/>
        </w:rPr>
      </w:pPr>
    </w:p>
    <w:p w:rsidR="007163D2" w:rsidRDefault="007163D2" w:rsidP="00826CAC">
      <w:pPr>
        <w:pStyle w:val="Body"/>
        <w:suppressLineNumbers/>
        <w:spacing w:line="480" w:lineRule="auto"/>
        <w:jc w:val="both"/>
        <w:rPr>
          <w:rFonts w:eastAsia="MS Mincho"/>
        </w:rPr>
      </w:pPr>
    </w:p>
    <w:p w:rsidR="00D64373" w:rsidRDefault="004E4BCD" w:rsidP="00826CAC">
      <w:pPr>
        <w:pStyle w:val="Body"/>
        <w:suppressLineNumbers/>
        <w:spacing w:line="480" w:lineRule="auto"/>
        <w:jc w:val="both"/>
        <w:rPr>
          <w:rFonts w:eastAsia="MS Mincho"/>
        </w:rPr>
      </w:pPr>
      <w:r>
        <w:rPr>
          <w:rFonts w:eastAsia="MS Mincho"/>
        </w:rPr>
        <w:t xml:space="preserve">A deeper </w:t>
      </w:r>
      <w:r w:rsidR="00A35A51">
        <w:rPr>
          <w:rFonts w:eastAsia="MS Mincho"/>
        </w:rPr>
        <w:t xml:space="preserve">evaluation of </w:t>
      </w:r>
      <w:r>
        <w:rPr>
          <w:rFonts w:eastAsia="MS Mincho"/>
        </w:rPr>
        <w:t>the statistics shows this link at a neighborhood level</w:t>
      </w:r>
      <w:r w:rsidR="00A35A51">
        <w:rPr>
          <w:rFonts w:eastAsia="MS Mincho"/>
        </w:rPr>
        <w:t xml:space="preserve"> as well</w:t>
      </w:r>
      <w:r>
        <w:rPr>
          <w:rFonts w:eastAsia="MS Mincho"/>
        </w:rPr>
        <w:t>. Those are</w:t>
      </w:r>
      <w:r w:rsidR="001B7CCD">
        <w:rPr>
          <w:rFonts w:eastAsia="MS Mincho"/>
        </w:rPr>
        <w:t>as with a high share of poverty</w:t>
      </w:r>
      <w:r>
        <w:rPr>
          <w:rFonts w:eastAsia="MS Mincho"/>
        </w:rPr>
        <w:t xml:space="preserve"> also have high rates of unbanked households. This is clearly illustrated in the graph below. </w:t>
      </w:r>
    </w:p>
    <w:p w:rsidR="00D64373" w:rsidRPr="00745DF4" w:rsidRDefault="00745DF4" w:rsidP="005513F5">
      <w:pPr>
        <w:pStyle w:val="Body"/>
        <w:suppressLineNumbers/>
        <w:jc w:val="center"/>
        <w:rPr>
          <w:rFonts w:eastAsia="MS Mincho"/>
          <w:b/>
          <w:sz w:val="22"/>
          <w:szCs w:val="22"/>
        </w:rPr>
      </w:pPr>
      <w:r>
        <w:rPr>
          <w:rFonts w:eastAsia="MS Mincho"/>
          <w:b/>
          <w:sz w:val="22"/>
          <w:szCs w:val="22"/>
        </w:rPr>
        <w:lastRenderedPageBreak/>
        <w:t>Neighborhoods with the highest shares of households without a bank account and corresponding share in poverty, 2013</w:t>
      </w:r>
      <w:r>
        <w:rPr>
          <w:rStyle w:val="FootnoteReference"/>
          <w:rFonts w:eastAsia="MS Mincho"/>
          <w:b/>
          <w:sz w:val="22"/>
          <w:szCs w:val="22"/>
        </w:rPr>
        <w:footnoteReference w:id="9"/>
      </w:r>
    </w:p>
    <w:p w:rsidR="00D64373" w:rsidRDefault="00193111" w:rsidP="005513F5">
      <w:pPr>
        <w:pStyle w:val="Body"/>
        <w:suppressLineNumbers/>
        <w:jc w:val="center"/>
        <w:rPr>
          <w:rFonts w:eastAsia="MS Mincho"/>
        </w:rPr>
      </w:pPr>
      <w:r>
        <w:rPr>
          <w:noProof/>
        </w:rPr>
        <w:drawing>
          <wp:anchor distT="0" distB="0" distL="114300" distR="114300" simplePos="0" relativeHeight="251659776" behindDoc="1" locked="0" layoutInCell="1" allowOverlap="1">
            <wp:simplePos x="0" y="0"/>
            <wp:positionH relativeFrom="column">
              <wp:posOffset>-30480</wp:posOffset>
            </wp:positionH>
            <wp:positionV relativeFrom="paragraph">
              <wp:posOffset>81915</wp:posOffset>
            </wp:positionV>
            <wp:extent cx="5526405" cy="4060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526405" cy="406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373" w:rsidRDefault="00D64373" w:rsidP="005513F5">
      <w:pPr>
        <w:pStyle w:val="Body"/>
        <w:suppressLineNumbers/>
        <w:jc w:val="center"/>
        <w:rPr>
          <w:rFonts w:eastAsia="MS Mincho"/>
        </w:rPr>
      </w:pPr>
    </w:p>
    <w:p w:rsidR="00D64373" w:rsidRDefault="00D64373"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745DF4">
      <w:pPr>
        <w:pStyle w:val="Body"/>
        <w:suppressLineNumbers/>
        <w:spacing w:line="480" w:lineRule="auto"/>
        <w:jc w:val="both"/>
      </w:pPr>
    </w:p>
    <w:p w:rsidR="00C009AB" w:rsidRDefault="00C15213" w:rsidP="00DB488F">
      <w:pPr>
        <w:pStyle w:val="Body"/>
        <w:suppressLineNumbers/>
        <w:spacing w:line="480" w:lineRule="auto"/>
        <w:ind w:firstLine="720"/>
        <w:jc w:val="both"/>
      </w:pPr>
      <w:r>
        <w:t>As these statistics show</w:t>
      </w:r>
      <w:r w:rsidR="00745DF4">
        <w:t xml:space="preserve">, not all communities </w:t>
      </w:r>
      <w:r w:rsidR="00A35A51">
        <w:t>would be</w:t>
      </w:r>
      <w:r w:rsidR="00745DF4">
        <w:t xml:space="preserve"> affected in the same way by businesses that only accept cashless payments and poor communities</w:t>
      </w:r>
      <w:r w:rsidR="00A35A51">
        <w:t xml:space="preserve"> are most likely impacted</w:t>
      </w:r>
      <w:r w:rsidR="00745DF4">
        <w:t xml:space="preserve">. </w:t>
      </w:r>
      <w:r w:rsidR="00D63E64">
        <w:t>Nationally</w:t>
      </w:r>
      <w:r w:rsidR="00D6449B">
        <w:t>,</w:t>
      </w:r>
      <w:r w:rsidR="00D63E64">
        <w:t xml:space="preserve"> the data show a similar pattern. According to federal data from the same year</w:t>
      </w:r>
      <w:r w:rsidR="00DB488F">
        <w:t xml:space="preserve"> (2013)</w:t>
      </w:r>
      <w:r w:rsidR="00D63E64">
        <w:t xml:space="preserve">, </w:t>
      </w:r>
      <w:r w:rsidR="008520E2">
        <w:t>“</w:t>
      </w:r>
      <w:r w:rsidR="00D63E64" w:rsidRPr="00D63E64">
        <w:t>half of all Latino and African American households are disconnected from the financial system, compared to only about one in five white households.</w:t>
      </w:r>
      <w:r w:rsidR="00D63E64">
        <w:t>”</w:t>
      </w:r>
      <w:r w:rsidR="00D63E64">
        <w:rPr>
          <w:rStyle w:val="FootnoteReference"/>
        </w:rPr>
        <w:footnoteReference w:id="10"/>
      </w:r>
      <w:r w:rsidR="00D63E64">
        <w:t xml:space="preserve"> This equated to 17.9% of Latino households being unbanked and 28.5% underbanked, and 21.4% of African American unbanked </w:t>
      </w:r>
      <w:r w:rsidR="00D63E64">
        <w:lastRenderedPageBreak/>
        <w:t>households and 33.1% underbanked.</w:t>
      </w:r>
      <w:r w:rsidR="00D63E64">
        <w:rPr>
          <w:rStyle w:val="FootnoteReference"/>
        </w:rPr>
        <w:footnoteReference w:id="11"/>
      </w:r>
      <w:r w:rsidR="00D63E64">
        <w:t xml:space="preserve"> Young people were also frequently unbanked with one in every four Americans under 35 either unbanked or underbanked.</w:t>
      </w:r>
      <w:r w:rsidR="00D63E64">
        <w:rPr>
          <w:rStyle w:val="FootnoteReference"/>
        </w:rPr>
        <w:footnoteReference w:id="12"/>
      </w:r>
      <w:r w:rsidR="00D63E64">
        <w:t xml:space="preserve"> </w:t>
      </w:r>
    </w:p>
    <w:p w:rsidR="00725495" w:rsidRDefault="00D63E64" w:rsidP="00725495">
      <w:pPr>
        <w:pStyle w:val="Body"/>
        <w:suppressLineNumbers/>
        <w:spacing w:line="480" w:lineRule="auto"/>
        <w:ind w:firstLine="720"/>
        <w:jc w:val="both"/>
      </w:pPr>
      <w:r>
        <w:t xml:space="preserve">An exclusively cashless policy also </w:t>
      </w:r>
      <w:r w:rsidR="00EE18E6">
        <w:t>potentially harm</w:t>
      </w:r>
      <w:r>
        <w:t>s</w:t>
      </w:r>
      <w:r w:rsidR="00EE18E6">
        <w:t xml:space="preserve"> large numbers of immigrant</w:t>
      </w:r>
      <w:r w:rsidR="00C15213">
        <w:t>s</w:t>
      </w:r>
      <w:r w:rsidR="00C009AB">
        <w:t xml:space="preserve"> and victims of domestic </w:t>
      </w:r>
      <w:r w:rsidR="001B7CCD" w:rsidRPr="001B7CCD">
        <w:t xml:space="preserve">violence who </w:t>
      </w:r>
      <w:r w:rsidR="001B7CCD">
        <w:t>face their own barriers to accessing bank account</w:t>
      </w:r>
      <w:r>
        <w:t>s</w:t>
      </w:r>
      <w:r w:rsidR="001B7CCD">
        <w:t xml:space="preserve">. </w:t>
      </w:r>
      <w:r w:rsidR="00C967F5">
        <w:t xml:space="preserve">In New York City, </w:t>
      </w:r>
      <w:r w:rsidR="00725495">
        <w:t>domestic violence survivors</w:t>
      </w:r>
      <w:r w:rsidR="00C967F5">
        <w:t xml:space="preserve"> who live in confidential shelters are prohibited from disclosing the</w:t>
      </w:r>
      <w:r w:rsidR="004258A9">
        <w:t>ir</w:t>
      </w:r>
      <w:r w:rsidR="00C967F5">
        <w:t xml:space="preserve"> address. However, open</w:t>
      </w:r>
      <w:r w:rsidR="004258A9">
        <w:t>ing</w:t>
      </w:r>
      <w:r w:rsidR="00C967F5">
        <w:t xml:space="preserve"> a bank account require</w:t>
      </w:r>
      <w:r w:rsidR="004258A9">
        <w:t>s</w:t>
      </w:r>
      <w:r w:rsidR="00C967F5">
        <w:t xml:space="preserve"> a physical and mailing address. This means that, in New York City, “</w:t>
      </w:r>
      <w:r w:rsidR="00C967F5" w:rsidRPr="00C967F5">
        <w:t>90 percent of domestic violence shelter residents are unable to open safe an</w:t>
      </w:r>
      <w:r w:rsidR="00C967F5">
        <w:t>d new accounts because they can</w:t>
      </w:r>
      <w:r w:rsidR="00C967F5" w:rsidRPr="00C967F5">
        <w:t>not provide a physical address.</w:t>
      </w:r>
      <w:r w:rsidR="00C967F5">
        <w:t>”</w:t>
      </w:r>
      <w:r w:rsidR="00C967F5">
        <w:rPr>
          <w:rStyle w:val="FootnoteReference"/>
        </w:rPr>
        <w:footnoteReference w:id="13"/>
      </w:r>
      <w:r w:rsidR="00C967F5">
        <w:t xml:space="preserve"> </w:t>
      </w:r>
    </w:p>
    <w:p w:rsidR="00C009AB" w:rsidRDefault="00C967F5" w:rsidP="00E45833">
      <w:pPr>
        <w:pStyle w:val="Body"/>
        <w:suppressLineNumbers/>
        <w:spacing w:line="480" w:lineRule="auto"/>
        <w:ind w:firstLine="720"/>
        <w:jc w:val="both"/>
      </w:pPr>
      <w:r>
        <w:t>Victims of domestic violence also face challenges when trying to close a joint account t</w:t>
      </w:r>
      <w:r w:rsidR="004258A9">
        <w:t xml:space="preserve">o which </w:t>
      </w:r>
      <w:r>
        <w:t xml:space="preserve">their abuser has access, and </w:t>
      </w:r>
      <w:r w:rsidR="00725495">
        <w:t>this</w:t>
      </w:r>
      <w:r>
        <w:t xml:space="preserve"> impacts the victim’</w:t>
      </w:r>
      <w:r w:rsidR="00725495">
        <w:t xml:space="preserve">s ability to open a new account. Of the approximately 35,000 survivors of domestic violence in New York City who </w:t>
      </w:r>
      <w:r w:rsidR="004258A9">
        <w:t xml:space="preserve">seek </w:t>
      </w:r>
      <w:r w:rsidR="00725495">
        <w:t>legal, financial and other support services, 14,000 (40%) do not have access to safe and reliable bank accounts. Meanwhile, 4,000 (13%) of these survivors have no bank account,</w:t>
      </w:r>
      <w:r w:rsidR="00826CAC">
        <w:t xml:space="preserve"> </w:t>
      </w:r>
      <w:r w:rsidR="00725495">
        <w:t xml:space="preserve">and for 9,450 (27%) of the survivors, the bank accounts they </w:t>
      </w:r>
      <w:r w:rsidR="004258A9">
        <w:t xml:space="preserve">may </w:t>
      </w:r>
      <w:r w:rsidR="00725495">
        <w:t>access are considered unsa</w:t>
      </w:r>
      <w:r w:rsidR="00DB488F">
        <w:t xml:space="preserve">fe because their abusers </w:t>
      </w:r>
      <w:r w:rsidR="004258A9">
        <w:t xml:space="preserve">also </w:t>
      </w:r>
      <w:r w:rsidR="00DB488F">
        <w:t>have</w:t>
      </w:r>
      <w:r w:rsidR="00725495">
        <w:t xml:space="preserve"> access.</w:t>
      </w:r>
      <w:r w:rsidR="00725495">
        <w:rPr>
          <w:rStyle w:val="FootnoteReference"/>
        </w:rPr>
        <w:footnoteReference w:id="14"/>
      </w:r>
      <w:r w:rsidR="00725495">
        <w:t xml:space="preserve"> </w:t>
      </w:r>
    </w:p>
    <w:p w:rsidR="00C009AB" w:rsidRDefault="00725495" w:rsidP="008E2052">
      <w:pPr>
        <w:pStyle w:val="Body"/>
        <w:suppressLineNumbers/>
        <w:spacing w:line="480" w:lineRule="auto"/>
        <w:ind w:firstLine="720"/>
        <w:jc w:val="both"/>
      </w:pPr>
      <w:r>
        <w:t xml:space="preserve">Newly arrived or undocumented immigrants face similar challenges. </w:t>
      </w:r>
      <w:r w:rsidR="008D356E">
        <w:t>They either do not have adequate paperwork and identification, face language barriers, or they are fearful of participating with official</w:t>
      </w:r>
      <w:r w:rsidR="004258A9">
        <w:t>/quasi-government</w:t>
      </w:r>
      <w:r w:rsidR="008D356E">
        <w:t xml:space="preserve"> institutions. </w:t>
      </w:r>
      <w:r w:rsidR="004F6DEF">
        <w:t>Immigrants also tend to be from lower socio-economic households</w:t>
      </w:r>
      <w:r w:rsidR="004258A9">
        <w:t xml:space="preserve"> and therefore fall under some of the categories illustrated above </w:t>
      </w:r>
      <w:r w:rsidR="00495F9B">
        <w:t xml:space="preserve">as </w:t>
      </w:r>
      <w:r w:rsidR="00495F9B">
        <w:lastRenderedPageBreak/>
        <w:t>minimum</w:t>
      </w:r>
      <w:r w:rsidR="004F6DEF">
        <w:t xml:space="preserve"> deposit requirements and fees pose financial barriers.</w:t>
      </w:r>
      <w:r w:rsidR="004F6DEF">
        <w:rPr>
          <w:rStyle w:val="FootnoteReference"/>
        </w:rPr>
        <w:footnoteReference w:id="15"/>
      </w:r>
      <w:r w:rsidR="004F6DEF">
        <w:t xml:space="preserve"> </w:t>
      </w:r>
      <w:r w:rsidR="00BC25DE">
        <w:t xml:space="preserve">According to national data, </w:t>
      </w:r>
      <w:r w:rsidR="00FA0C3C">
        <w:t>compared to U.S. citizens, noncitizens are three times as likely to be unbanked.</w:t>
      </w:r>
      <w:r w:rsidR="00FA0C3C">
        <w:rPr>
          <w:rStyle w:val="FootnoteReference"/>
        </w:rPr>
        <w:footnoteReference w:id="16"/>
      </w:r>
      <w:r w:rsidR="00FA0C3C">
        <w:t xml:space="preserve"> </w:t>
      </w:r>
    </w:p>
    <w:p w:rsidR="00826CAC" w:rsidRDefault="00826CAC" w:rsidP="00224A99">
      <w:pPr>
        <w:pStyle w:val="Body"/>
        <w:suppressLineNumbers/>
        <w:spacing w:line="480" w:lineRule="auto"/>
        <w:ind w:firstLine="720"/>
        <w:jc w:val="both"/>
      </w:pPr>
      <w:r>
        <w:rPr>
          <w:u w:val="single"/>
        </w:rPr>
        <w:t>Other Jurisdictions</w:t>
      </w:r>
      <w:r w:rsidR="008E2052">
        <w:t xml:space="preserve">  </w:t>
      </w:r>
    </w:p>
    <w:p w:rsidR="00A85E2E" w:rsidRDefault="00E02557" w:rsidP="000C4DD0">
      <w:pPr>
        <w:pStyle w:val="Body"/>
        <w:suppressLineNumbers/>
        <w:spacing w:line="480" w:lineRule="auto"/>
        <w:ind w:firstLine="720"/>
        <w:jc w:val="both"/>
      </w:pPr>
      <w:r>
        <w:t xml:space="preserve">Federal </w:t>
      </w:r>
      <w:r w:rsidR="00826CAC">
        <w:t xml:space="preserve">law </w:t>
      </w:r>
      <w:r>
        <w:t xml:space="preserve">does not mandate that businesses accept cash payments and rather </w:t>
      </w:r>
      <w:r w:rsidR="004258A9">
        <w:t xml:space="preserve">permits </w:t>
      </w:r>
      <w:r>
        <w:t xml:space="preserve">states to </w:t>
      </w:r>
      <w:r w:rsidR="004258A9">
        <w:t xml:space="preserve">regulate </w:t>
      </w:r>
      <w:r>
        <w:t>the issue</w:t>
      </w:r>
      <w:r w:rsidR="004258A9">
        <w:t xml:space="preserve"> by jurisdiction</w:t>
      </w:r>
      <w:r>
        <w:t>.</w:t>
      </w:r>
      <w:r>
        <w:rPr>
          <w:rStyle w:val="FootnoteReference"/>
        </w:rPr>
        <w:footnoteReference w:id="17"/>
      </w:r>
      <w:r w:rsidR="000C4DD0">
        <w:t xml:space="preserve"> Massachusetts was</w:t>
      </w:r>
      <w:r w:rsidR="00440AE4">
        <w:t xml:space="preserve"> </w:t>
      </w:r>
      <w:r>
        <w:t xml:space="preserve">the </w:t>
      </w:r>
      <w:r w:rsidR="000C4DD0">
        <w:t>first state to prohibit</w:t>
      </w:r>
      <w:r w:rsidR="004258A9">
        <w:t xml:space="preserve"> businesses from rejecting </w:t>
      </w:r>
      <w:r w:rsidR="00AE52B7">
        <w:t xml:space="preserve">cash payments. The 1978 law frames the issue around discrimination and states that “[n]o </w:t>
      </w:r>
      <w:r w:rsidR="00AE52B7" w:rsidRPr="00AE52B7">
        <w:t>establishment offering goods and services for sale shall discriminate against a cash buyer by requiring the use of credit by a buyer in order to purchase such goods and services. All such retail establishments must accept legal tender when offered as payment by the buyer.</w:t>
      </w:r>
      <w:r w:rsidR="00AE52B7">
        <w:t>”</w:t>
      </w:r>
      <w:r w:rsidR="00AE52B7">
        <w:rPr>
          <w:rStyle w:val="FootnoteReference"/>
        </w:rPr>
        <w:footnoteReference w:id="18"/>
      </w:r>
      <w:r>
        <w:t xml:space="preserve"> In New Jersey</w:t>
      </w:r>
      <w:r w:rsidR="004258A9">
        <w:t>,</w:t>
      </w:r>
      <w:r>
        <w:t xml:space="preserve"> the s</w:t>
      </w:r>
      <w:r w:rsidR="000C4DD0">
        <w:t>tate legislature recently enacted</w:t>
      </w:r>
      <w:r>
        <w:t xml:space="preserve"> a bill that would make it illegal for point-of-sale retail stores to refuse cash payments and violators could face fines of up to $2,500 for a first offence.</w:t>
      </w:r>
      <w:r w:rsidR="000C4DD0">
        <w:rPr>
          <w:rStyle w:val="FootnoteReference"/>
        </w:rPr>
        <w:footnoteReference w:id="19"/>
      </w:r>
      <w:r w:rsidR="000C4DD0">
        <w:t xml:space="preserve"> </w:t>
      </w:r>
      <w:r w:rsidR="000F28DB">
        <w:t>Similar bills have</w:t>
      </w:r>
      <w:r w:rsidR="000C4DD0">
        <w:t xml:space="preserve"> passed </w:t>
      </w:r>
      <w:r w:rsidR="00164FA5">
        <w:t>in Philadelphia</w:t>
      </w:r>
      <w:r w:rsidR="000C4DD0">
        <w:rPr>
          <w:rStyle w:val="FootnoteReference"/>
        </w:rPr>
        <w:footnoteReference w:id="20"/>
      </w:r>
      <w:r w:rsidR="00164FA5">
        <w:t xml:space="preserve"> </w:t>
      </w:r>
      <w:r w:rsidR="000F28DB">
        <w:t>and San Francisco.</w:t>
      </w:r>
      <w:r w:rsidR="000F28DB">
        <w:rPr>
          <w:rStyle w:val="FootnoteReference"/>
        </w:rPr>
        <w:footnoteReference w:id="21"/>
      </w:r>
      <w:r w:rsidR="00164FA5">
        <w:t xml:space="preserve">  In Chicago, Alderman Ed Burke has introduced an ordinance to prohibit retail and food establishments from refusing to accept cash, stating that “a ‘no cash</w:t>
      </w:r>
      <w:r w:rsidR="005B6358">
        <w:t>’</w:t>
      </w:r>
      <w:r w:rsidR="00164FA5">
        <w:t xml:space="preserve"> sign is a ‘not welcome’ </w:t>
      </w:r>
      <w:r w:rsidR="00273884">
        <w:t xml:space="preserve">sign </w:t>
      </w:r>
      <w:r w:rsidR="005B6358">
        <w:t xml:space="preserve">for many without </w:t>
      </w:r>
      <w:r w:rsidR="005B6358">
        <w:lastRenderedPageBreak/>
        <w:t>ready access to credit including those who are low or fixed income, homeless, undocumented, young, or victims of identity theft”.</w:t>
      </w:r>
      <w:r w:rsidR="005B6358">
        <w:rPr>
          <w:rStyle w:val="FootnoteReference"/>
        </w:rPr>
        <w:footnoteReference w:id="22"/>
      </w:r>
      <w:r w:rsidR="005B6358">
        <w:t xml:space="preserve"> </w:t>
      </w:r>
    </w:p>
    <w:p w:rsidR="00826CAC" w:rsidRPr="00826CAC" w:rsidRDefault="00826CAC" w:rsidP="00826CAC">
      <w:pPr>
        <w:pStyle w:val="Body"/>
        <w:suppressLineNumbers/>
        <w:spacing w:line="480" w:lineRule="auto"/>
        <w:ind w:firstLine="720"/>
        <w:jc w:val="both"/>
        <w:rPr>
          <w:u w:val="single"/>
        </w:rPr>
      </w:pPr>
      <w:r>
        <w:rPr>
          <w:u w:val="single"/>
        </w:rPr>
        <w:t>Other Issue</w:t>
      </w:r>
      <w:r w:rsidR="00CC58BA">
        <w:rPr>
          <w:u w:val="single"/>
        </w:rPr>
        <w:t>s</w:t>
      </w:r>
      <w:r>
        <w:rPr>
          <w:u w:val="single"/>
        </w:rPr>
        <w:t xml:space="preserve"> and Concerns</w:t>
      </w:r>
    </w:p>
    <w:p w:rsidR="00826CAC" w:rsidRDefault="00826CAC" w:rsidP="00826CAC">
      <w:pPr>
        <w:pStyle w:val="Body"/>
        <w:suppressLineNumbers/>
        <w:spacing w:line="480" w:lineRule="auto"/>
        <w:ind w:firstLine="720"/>
        <w:jc w:val="both"/>
      </w:pPr>
      <w:r>
        <w:t xml:space="preserve">By solely permitting cashless transactions, businesses </w:t>
      </w:r>
      <w:r w:rsidR="004B0425">
        <w:t xml:space="preserve">may </w:t>
      </w:r>
      <w:r>
        <w:t>inadvertently construct a two-tiered purchasing system that stigmatizes cash purchases. Although i</w:t>
      </w:r>
      <w:r w:rsidR="00495F9B">
        <w:t>t is legal tender, cash may become viewed</w:t>
      </w:r>
      <w:r>
        <w:t xml:space="preserve"> as antiquated or dirty an</w:t>
      </w:r>
      <w:r w:rsidR="006A3832">
        <w:t>d thus those that rely on it could</w:t>
      </w:r>
      <w:r>
        <w:t xml:space="preserve"> also </w:t>
      </w:r>
      <w:r w:rsidR="006A3832">
        <w:t xml:space="preserve">be </w:t>
      </w:r>
      <w:r>
        <w:t>seen as inferior. While these views may be unintentional side-effects of an e</w:t>
      </w:r>
      <w:r w:rsidR="00495F9B">
        <w:t>xclusively cashless policy, a small number of</w:t>
      </w:r>
      <w:r>
        <w:t xml:space="preserve"> business owners have implemented cashless purchasing for precisely this reason. </w:t>
      </w:r>
      <w:r w:rsidR="00495F9B">
        <w:t>For example, i</w:t>
      </w:r>
      <w:r>
        <w:t>n a widely reported quote from the co-owner of the now closed Commerce restaurant, Tony Zazula stated that “</w:t>
      </w:r>
      <w:r w:rsidRPr="00D21C6E">
        <w:t>If you don't have a credit card, you can use a debit card. If you don't have a debit card, you probably don't have a checking account. And if you don't have a checking account, you probably shouldn't be eating at Commerce to begin with.</w:t>
      </w:r>
      <w:r>
        <w:t>”</w:t>
      </w:r>
      <w:r>
        <w:rPr>
          <w:rStyle w:val="FootnoteReference"/>
        </w:rPr>
        <w:footnoteReference w:id="23"/>
      </w:r>
      <w:r w:rsidR="00495F9B">
        <w:t xml:space="preserve"> Although this view does not necessarily represent the business community as a whole, it does highlight the way that an exclusively cashless policy privileges some customers over others. </w:t>
      </w:r>
    </w:p>
    <w:p w:rsidR="00826CAC" w:rsidRDefault="00826CAC" w:rsidP="00826CAC">
      <w:pPr>
        <w:pStyle w:val="Body"/>
        <w:suppressLineNumbers/>
        <w:spacing w:line="480" w:lineRule="auto"/>
        <w:ind w:firstLine="720"/>
        <w:jc w:val="both"/>
      </w:pPr>
      <w:r>
        <w:t>There are also flow-on effects from cash not being readily on hand by customers. As one writer articulates, “</w:t>
      </w:r>
      <w:r>
        <w:rPr>
          <w:lang w:val="en"/>
        </w:rPr>
        <w:t>[w]</w:t>
      </w:r>
      <w:r w:rsidRPr="00785B31">
        <w:rPr>
          <w:lang w:val="en"/>
        </w:rPr>
        <w:t xml:space="preserve">hen cash is renounced you carry less of it, or maybe even none of it. And so you are not as prone to certain spontaneous acts of generosity — to put a few dollars in a tip jar where workers are underpaid or give money to a homeless person on a cold night on your </w:t>
      </w:r>
      <w:r w:rsidRPr="00785B31">
        <w:rPr>
          <w:lang w:val="en"/>
        </w:rPr>
        <w:lastRenderedPageBreak/>
        <w:t>way home from work.</w:t>
      </w:r>
      <w:r>
        <w:rPr>
          <w:lang w:val="en"/>
        </w:rPr>
        <w:t>”</w:t>
      </w:r>
      <w:r>
        <w:rPr>
          <w:rStyle w:val="FootnoteReference"/>
          <w:lang w:val="en"/>
        </w:rPr>
        <w:footnoteReference w:id="24"/>
      </w:r>
      <w:r>
        <w:rPr>
          <w:lang w:val="en"/>
        </w:rPr>
        <w:t xml:space="preserve"> Studies also show that when people pay for items with cash, they feel the reality of the transaction more acutely. This means that more value is assigned to the purchase.</w:t>
      </w:r>
      <w:r>
        <w:rPr>
          <w:rStyle w:val="FootnoteReference"/>
          <w:lang w:val="en"/>
        </w:rPr>
        <w:footnoteReference w:id="25"/>
      </w:r>
      <w:r>
        <w:rPr>
          <w:lang w:val="en"/>
        </w:rPr>
        <w:t xml:space="preserve"> Switching to cash-only purchasing is also a common approach advocated by financial advisors when assisting people with budgeting as research consistently shows that people spend more when they pay with credit cards.</w:t>
      </w:r>
      <w:r>
        <w:rPr>
          <w:rStyle w:val="FootnoteReference"/>
          <w:lang w:val="en"/>
        </w:rPr>
        <w:footnoteReference w:id="26"/>
      </w:r>
      <w:r w:rsidR="00AB4DED">
        <w:rPr>
          <w:lang w:val="en"/>
        </w:rPr>
        <w:t xml:space="preserve"> Paying with cash helps people budget more effectively and track their purchases more accurately</w:t>
      </w:r>
      <w:r w:rsidR="00774915">
        <w:rPr>
          <w:lang w:val="en"/>
        </w:rPr>
        <w:t>,</w:t>
      </w:r>
      <w:r w:rsidR="00AB4DED">
        <w:rPr>
          <w:rStyle w:val="FootnoteReference"/>
          <w:lang w:val="en"/>
        </w:rPr>
        <w:footnoteReference w:id="27"/>
      </w:r>
      <w:r w:rsidR="00774915">
        <w:rPr>
          <w:lang w:val="en"/>
        </w:rPr>
        <w:t xml:space="preserve"> and can therefore be a vital tool when managing one’s finances. </w:t>
      </w:r>
    </w:p>
    <w:p w:rsidR="00826CAC" w:rsidRDefault="00826CAC" w:rsidP="00826CAC">
      <w:pPr>
        <w:pStyle w:val="Body"/>
        <w:suppressLineNumbers/>
        <w:spacing w:line="480" w:lineRule="auto"/>
        <w:ind w:firstLine="720"/>
        <w:jc w:val="both"/>
      </w:pPr>
      <w:r>
        <w:t>Given that they charge a fee for every electronic purchase, which can equate to between two and five percent of net sales,</w:t>
      </w:r>
      <w:r>
        <w:rPr>
          <w:rStyle w:val="FootnoteReference"/>
        </w:rPr>
        <w:footnoteReference w:id="28"/>
      </w:r>
      <w:r>
        <w:t xml:space="preserve"> it is clearly in the interest of credit card companies to encourage cashless transactions</w:t>
      </w:r>
      <w:r w:rsidRPr="00A85E2E">
        <w:t xml:space="preserve">. In fact, in 2017, Visa declared </w:t>
      </w:r>
      <w:r>
        <w:t>a “war on cash” and offered up to 50 small food establishments $10,000 if they moved to a completely cashless system.</w:t>
      </w:r>
      <w:r>
        <w:rPr>
          <w:rStyle w:val="FootnoteReference"/>
        </w:rPr>
        <w:footnoteReference w:id="29"/>
      </w:r>
      <w:r>
        <w:t xml:space="preserve"> According to Visa Chief Executive Al Kelly, Visa is “focused on putting cash out of business.”</w:t>
      </w:r>
      <w:r>
        <w:rPr>
          <w:rStyle w:val="FootnoteReference"/>
        </w:rPr>
        <w:footnoteReference w:id="30"/>
      </w:r>
      <w:r>
        <w:t xml:space="preserve"> However, cashless transactions also force consumers to forgo their privacy. Like most online activities, cashless purchases allow tracking of consumer behavior. Such material is big business for data brokers. It enables them </w:t>
      </w:r>
      <w:r w:rsidR="001B68C5">
        <w:t xml:space="preserve">to </w:t>
      </w:r>
      <w:r>
        <w:t>collate, analyze and sell this information to companies, giving them an advantage by targeting their goods, services or even political message</w:t>
      </w:r>
      <w:r w:rsidR="001B68C5">
        <w:t>s</w:t>
      </w:r>
      <w:r>
        <w:t xml:space="preserve"> to an </w:t>
      </w:r>
      <w:r>
        <w:lastRenderedPageBreak/>
        <w:t xml:space="preserve">identified and receptive audience. Cashless transactions also make customers vulnerable to having their account information hacked or their personal information stolen. </w:t>
      </w:r>
    </w:p>
    <w:p w:rsidR="00C009AB" w:rsidRDefault="00C009AB" w:rsidP="00C009AB">
      <w:pPr>
        <w:pStyle w:val="Body"/>
        <w:suppressLineNumbers/>
        <w:spacing w:line="480" w:lineRule="auto"/>
        <w:ind w:firstLine="720"/>
        <w:jc w:val="both"/>
      </w:pPr>
      <w:r>
        <w:t xml:space="preserve">The unequal impact of cashless policies is cause for concern. While the technology provides a range of benefits for business owners, </w:t>
      </w:r>
      <w:r w:rsidR="00A85E2E">
        <w:t xml:space="preserve">relying solely on cashless payments generates a segregated purchasing system. </w:t>
      </w:r>
      <w:r w:rsidR="00183A4B">
        <w:t>This policy poses great harm for certain parts of the populations</w:t>
      </w:r>
      <w:r w:rsidR="001B68C5">
        <w:t>,</w:t>
      </w:r>
      <w:r w:rsidR="00183A4B">
        <w:t xml:space="preserve"> and statistics show that this is disproportionally felt by poor, marginalized and vulnerable communities. </w:t>
      </w:r>
    </w:p>
    <w:p w:rsidR="00C009AB" w:rsidRDefault="00C009AB" w:rsidP="00224A99">
      <w:pPr>
        <w:pStyle w:val="Body"/>
        <w:suppressLineNumbers/>
        <w:spacing w:line="480" w:lineRule="auto"/>
        <w:jc w:val="both"/>
      </w:pPr>
    </w:p>
    <w:p w:rsidR="00224A99" w:rsidRDefault="00224A99" w:rsidP="00224A99">
      <w:pPr>
        <w:numPr>
          <w:ilvl w:val="0"/>
          <w:numId w:val="5"/>
        </w:numPr>
        <w:spacing w:after="0" w:line="480" w:lineRule="auto"/>
        <w:jc w:val="both"/>
        <w:rPr>
          <w:rFonts w:ascii="Times New Roman" w:eastAsia="MS Mincho" w:hAnsi="Times New Roman"/>
          <w:b/>
          <w:sz w:val="24"/>
          <w:szCs w:val="24"/>
          <w:u w:val="single"/>
        </w:rPr>
      </w:pPr>
      <w:r>
        <w:rPr>
          <w:rFonts w:ascii="Times New Roman" w:eastAsia="MS Mincho" w:hAnsi="Times New Roman"/>
          <w:b/>
          <w:sz w:val="24"/>
          <w:szCs w:val="24"/>
          <w:u w:val="single"/>
        </w:rPr>
        <w:t>BILL ANALYSIS</w:t>
      </w:r>
    </w:p>
    <w:p w:rsidR="00826CAC" w:rsidRDefault="00AD1BDE" w:rsidP="006C73C7">
      <w:pPr>
        <w:pStyle w:val="Body"/>
        <w:suppressLineNumbers/>
        <w:spacing w:line="480" w:lineRule="auto"/>
        <w:ind w:firstLine="720"/>
        <w:jc w:val="both"/>
      </w:pPr>
      <w:r>
        <w:t>Proposed</w:t>
      </w:r>
      <w:r w:rsidR="00701825">
        <w:t xml:space="preserve"> </w:t>
      </w:r>
      <w:r w:rsidR="00224A99">
        <w:t xml:space="preserve">Int. </w:t>
      </w:r>
      <w:r w:rsidR="006C73C7">
        <w:t>1281-A</w:t>
      </w:r>
      <w:r w:rsidR="00C40AFC">
        <w:t xml:space="preserve"> prohibits food and retail establishments</w:t>
      </w:r>
      <w:r w:rsidR="00224A99">
        <w:t xml:space="preserve"> from refus</w:t>
      </w:r>
      <w:r w:rsidR="00701825">
        <w:t>ing</w:t>
      </w:r>
      <w:r w:rsidR="00224A99">
        <w:t xml:space="preserve"> to accept cash as a form of payment. </w:t>
      </w:r>
      <w:r w:rsidR="00C40AFC">
        <w:t xml:space="preserve">Section 1 of the bill creates a new subchapter 21 in chapter 5 of Title 20 of the Administrative code, titled “CASHLESS ESTABLISHMENTS PROHIBITED.” Subdivision a of new section 20-840 sets out the definitions. Subdivision b prohibits food and retail establishments from refusing to accept payment in cash, except that they may refuse cash if bills in denominations over $20 are provided by a consumer. </w:t>
      </w:r>
      <w:r>
        <w:t xml:space="preserve">The exception for denominations over $20 was made after feedback regarding the circulation of fraudulent bills and the need for businesses to protect themselves. </w:t>
      </w:r>
      <w:r w:rsidR="00C40AFC">
        <w:t xml:space="preserve">Online, phone and mail transactions are </w:t>
      </w:r>
      <w:r>
        <w:t>now also</w:t>
      </w:r>
      <w:r w:rsidR="00C40AFC">
        <w:t xml:space="preserve"> exempted unless the payment for such </w:t>
      </w:r>
      <w:r>
        <w:t>transaction occurs</w:t>
      </w:r>
      <w:r w:rsidR="00C40AFC">
        <w:t xml:space="preserve"> on the establishment’s premises. </w:t>
      </w:r>
      <w:r>
        <w:t xml:space="preserve">To alleviate any potential negative impacts of this bill, subdivision c was added to prohibit food and retail establishments from charging consumers who choose to pay in cash a higher price than cashless consumers. Pursuant to subdivision d, </w:t>
      </w:r>
      <w:r w:rsidR="00384BA9">
        <w:t>v</w:t>
      </w:r>
      <w:r w:rsidR="00224A99">
        <w:t xml:space="preserve">iolators </w:t>
      </w:r>
      <w:r w:rsidR="00701825">
        <w:t>w</w:t>
      </w:r>
      <w:r w:rsidR="00224A99">
        <w:t>ould face a fine</w:t>
      </w:r>
      <w:r w:rsidR="00826CAC">
        <w:t xml:space="preserve"> </w:t>
      </w:r>
      <w:r w:rsidR="006C73C7">
        <w:t>of up to $1000</w:t>
      </w:r>
      <w:r w:rsidR="00224A99">
        <w:t xml:space="preserve"> for a first offence and up to $</w:t>
      </w:r>
      <w:r w:rsidR="00862297">
        <w:t>1</w:t>
      </w:r>
      <w:r w:rsidR="00224A99">
        <w:t xml:space="preserve">500 for subsequent offences. </w:t>
      </w:r>
      <w:r>
        <w:t>Subdivision e creates an exception in the bill for membership-based businesses</w:t>
      </w:r>
      <w:r w:rsidR="00384BA9">
        <w:t xml:space="preserve"> that do not sell food</w:t>
      </w:r>
      <w:r>
        <w:t xml:space="preserve">, such as gyms and workout studios, who </w:t>
      </w:r>
      <w:r>
        <w:lastRenderedPageBreak/>
        <w:t xml:space="preserve">keep member credit card information on file, unless they offer walk-in or day services to nonmembers, then they must accept cash from such non-members. The bill takes effect 180 days after it becomes law.  </w:t>
      </w:r>
    </w:p>
    <w:p w:rsidR="00701825" w:rsidRDefault="00701825" w:rsidP="00826CAC">
      <w:pPr>
        <w:pStyle w:val="Body"/>
        <w:suppressLineNumbers/>
        <w:spacing w:line="480" w:lineRule="auto"/>
        <w:ind w:firstLine="720"/>
        <w:jc w:val="both"/>
      </w:pPr>
    </w:p>
    <w:p w:rsidR="00701825" w:rsidRDefault="00701825" w:rsidP="00826CAC">
      <w:pPr>
        <w:pStyle w:val="Body"/>
        <w:suppressLineNumbers/>
        <w:spacing w:line="480" w:lineRule="auto"/>
        <w:ind w:firstLine="720"/>
        <w:jc w:val="both"/>
      </w:pPr>
    </w:p>
    <w:p w:rsidR="00442ABF" w:rsidRPr="00442ABF" w:rsidRDefault="00CD37F2" w:rsidP="00442ABF">
      <w:pPr>
        <w:jc w:val="center"/>
        <w:rPr>
          <w:rFonts w:ascii="Times New Roman" w:eastAsia="Times New Roman" w:hAnsi="Times New Roman"/>
          <w:sz w:val="24"/>
          <w:szCs w:val="24"/>
        </w:rPr>
      </w:pPr>
      <w:r>
        <w:br w:type="page"/>
      </w:r>
      <w:r w:rsidR="00442ABF" w:rsidRPr="00442ABF">
        <w:rPr>
          <w:rFonts w:ascii="Times New Roman" w:eastAsia="Times New Roman" w:hAnsi="Times New Roman"/>
          <w:sz w:val="24"/>
          <w:szCs w:val="24"/>
        </w:rPr>
        <w:lastRenderedPageBreak/>
        <w:t>Proposed Int. No. 1281-A</w:t>
      </w:r>
    </w:p>
    <w:p w:rsidR="00442ABF" w:rsidRPr="00442ABF" w:rsidRDefault="00442ABF" w:rsidP="00442ABF">
      <w:pPr>
        <w:spacing w:after="0" w:line="240" w:lineRule="auto"/>
        <w:jc w:val="center"/>
        <w:rPr>
          <w:rFonts w:ascii="Times New Roman" w:eastAsia="Times New Roman" w:hAnsi="Times New Roman"/>
          <w:sz w:val="24"/>
          <w:szCs w:val="24"/>
        </w:rPr>
      </w:pPr>
    </w:p>
    <w:p w:rsidR="00442ABF" w:rsidRPr="00442ABF" w:rsidRDefault="00442ABF" w:rsidP="00442ABF">
      <w:pPr>
        <w:spacing w:after="0" w:line="240" w:lineRule="auto"/>
        <w:jc w:val="both"/>
        <w:rPr>
          <w:rFonts w:ascii="Times New Roman" w:eastAsia="Times New Roman" w:hAnsi="Times New Roman"/>
          <w:sz w:val="24"/>
          <w:szCs w:val="24"/>
        </w:rPr>
      </w:pPr>
      <w:r w:rsidRPr="00442ABF">
        <w:rPr>
          <w:rFonts w:ascii="Times New Roman" w:eastAsia="Times New Roman" w:hAnsi="Times New Roman"/>
          <w:sz w:val="24"/>
          <w:szCs w:val="24"/>
        </w:rPr>
        <w:t>By Council Members Torres, Espinal, Powers, Deutsch, Cumbo, Lander, Brannan, Dromm, Reynoso, Rivera, Constantinides, Kallos, Levine, Ayala, Rosenthal, Moya, Rose, Cornegy, Koslowitz and Lancman</w:t>
      </w:r>
    </w:p>
    <w:p w:rsidR="00442ABF" w:rsidRPr="00442ABF" w:rsidRDefault="00442ABF" w:rsidP="00442ABF">
      <w:pPr>
        <w:spacing w:after="0" w:line="240" w:lineRule="auto"/>
        <w:jc w:val="both"/>
        <w:rPr>
          <w:rFonts w:ascii="Times New Roman" w:eastAsia="Times New Roman" w:hAnsi="Times New Roman"/>
          <w:sz w:val="24"/>
          <w:szCs w:val="24"/>
        </w:rPr>
      </w:pPr>
    </w:p>
    <w:p w:rsidR="00442ABF" w:rsidRPr="00442ABF" w:rsidRDefault="00442ABF" w:rsidP="00442ABF">
      <w:pPr>
        <w:spacing w:after="0" w:line="240" w:lineRule="auto"/>
        <w:jc w:val="both"/>
        <w:rPr>
          <w:rFonts w:ascii="Times New Roman" w:eastAsia="Times New Roman" w:hAnsi="Times New Roman"/>
          <w:vanish/>
          <w:sz w:val="24"/>
          <w:szCs w:val="24"/>
        </w:rPr>
      </w:pPr>
      <w:r w:rsidRPr="00442ABF">
        <w:rPr>
          <w:rFonts w:ascii="Times New Roman" w:eastAsia="Times New Roman" w:hAnsi="Times New Roman"/>
          <w:vanish/>
          <w:sz w:val="24"/>
          <w:szCs w:val="24"/>
        </w:rPr>
        <w:t>..Title</w:t>
      </w:r>
    </w:p>
    <w:p w:rsidR="00442ABF" w:rsidRPr="00442ABF" w:rsidRDefault="00442ABF" w:rsidP="00442ABF">
      <w:pPr>
        <w:spacing w:after="0" w:line="240" w:lineRule="auto"/>
        <w:jc w:val="both"/>
        <w:rPr>
          <w:rFonts w:ascii="Times New Roman" w:eastAsia="Times New Roman" w:hAnsi="Times New Roman"/>
          <w:sz w:val="24"/>
          <w:szCs w:val="24"/>
        </w:rPr>
      </w:pPr>
      <w:r w:rsidRPr="00442ABF">
        <w:rPr>
          <w:rFonts w:ascii="Times New Roman" w:eastAsia="Times New Roman" w:hAnsi="Times New Roman"/>
          <w:sz w:val="24"/>
          <w:szCs w:val="24"/>
        </w:rPr>
        <w:t>A Local Law to amend the administrative code of the city of New York, in relation to prohibiting food stores and retail establishments from refusing to accept payment in cash</w:t>
      </w:r>
    </w:p>
    <w:p w:rsidR="00442ABF" w:rsidRPr="00442ABF" w:rsidRDefault="00442ABF" w:rsidP="00442ABF">
      <w:pPr>
        <w:spacing w:after="0" w:line="240" w:lineRule="auto"/>
        <w:jc w:val="both"/>
        <w:rPr>
          <w:rFonts w:ascii="Times New Roman" w:eastAsia="Times New Roman" w:hAnsi="Times New Roman"/>
          <w:vanish/>
          <w:sz w:val="24"/>
          <w:szCs w:val="24"/>
        </w:rPr>
      </w:pPr>
      <w:r w:rsidRPr="00442ABF">
        <w:rPr>
          <w:rFonts w:ascii="Times New Roman" w:eastAsia="Times New Roman" w:hAnsi="Times New Roman"/>
          <w:vanish/>
          <w:sz w:val="24"/>
          <w:szCs w:val="24"/>
        </w:rPr>
        <w:t>..Body</w:t>
      </w:r>
    </w:p>
    <w:p w:rsidR="00442ABF" w:rsidRPr="00442ABF" w:rsidRDefault="00442ABF" w:rsidP="00442ABF">
      <w:pPr>
        <w:spacing w:after="0" w:line="240" w:lineRule="auto"/>
        <w:jc w:val="both"/>
        <w:rPr>
          <w:rFonts w:ascii="Times New Roman" w:eastAsia="Times New Roman" w:hAnsi="Times New Roman"/>
          <w:sz w:val="24"/>
          <w:szCs w:val="24"/>
          <w:u w:val="single"/>
        </w:rPr>
      </w:pPr>
    </w:p>
    <w:p w:rsidR="00442ABF" w:rsidRPr="00442ABF" w:rsidRDefault="00442ABF" w:rsidP="00442ABF">
      <w:pPr>
        <w:spacing w:after="0" w:line="240" w:lineRule="auto"/>
        <w:jc w:val="both"/>
        <w:rPr>
          <w:rFonts w:ascii="Times New Roman" w:eastAsia="Times New Roman" w:hAnsi="Times New Roman"/>
          <w:sz w:val="24"/>
          <w:szCs w:val="24"/>
        </w:rPr>
      </w:pPr>
      <w:r w:rsidRPr="00442ABF">
        <w:rPr>
          <w:rFonts w:ascii="Times New Roman" w:eastAsia="Times New Roman" w:hAnsi="Times New Roman"/>
          <w:sz w:val="24"/>
          <w:szCs w:val="24"/>
          <w:u w:val="single"/>
        </w:rPr>
        <w:t>Be it enacted by the Council as follows:</w:t>
      </w:r>
    </w:p>
    <w:p w:rsidR="00442ABF" w:rsidRPr="00442ABF" w:rsidRDefault="00442ABF" w:rsidP="00442ABF">
      <w:pPr>
        <w:spacing w:after="0" w:line="240" w:lineRule="auto"/>
        <w:ind w:firstLine="720"/>
        <w:jc w:val="both"/>
        <w:rPr>
          <w:rFonts w:ascii="Times New Roman" w:eastAsia="Times New Roman" w:hAnsi="Times New Roman"/>
          <w:sz w:val="24"/>
          <w:szCs w:val="24"/>
        </w:rPr>
      </w:pPr>
    </w:p>
    <w:p w:rsidR="00442ABF" w:rsidRPr="00442ABF" w:rsidRDefault="00442ABF" w:rsidP="00442ABF">
      <w:pPr>
        <w:spacing w:after="0" w:line="480" w:lineRule="auto"/>
        <w:ind w:firstLine="720"/>
        <w:jc w:val="both"/>
        <w:rPr>
          <w:rFonts w:ascii="Times New Roman" w:eastAsia="Times New Roman" w:hAnsi="Times New Roman"/>
          <w:sz w:val="24"/>
          <w:szCs w:val="24"/>
        </w:rPr>
      </w:pPr>
      <w:r w:rsidRPr="00442ABF">
        <w:rPr>
          <w:rFonts w:ascii="Times New Roman" w:eastAsia="Times New Roman" w:hAnsi="Times New Roman"/>
          <w:sz w:val="24"/>
          <w:szCs w:val="24"/>
        </w:rPr>
        <w:t>Section 1. Chapter 5 of title 20 of the administrative code of the city of New York is amended by adding a new subchapter 21 to read as follows:</w:t>
      </w:r>
    </w:p>
    <w:p w:rsidR="00442ABF" w:rsidRPr="00442ABF" w:rsidRDefault="00442ABF" w:rsidP="00442ABF">
      <w:pPr>
        <w:pBdr>
          <w:top w:val="nil"/>
          <w:left w:val="nil"/>
          <w:bottom w:val="nil"/>
          <w:right w:val="nil"/>
          <w:between w:val="nil"/>
          <w:bar w:val="nil"/>
        </w:pBdr>
        <w:suppressAutoHyphens/>
        <w:spacing w:after="0" w:line="480" w:lineRule="auto"/>
        <w:jc w:val="center"/>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t xml:space="preserve">SUBCHAPTER 21 </w:t>
      </w:r>
    </w:p>
    <w:p w:rsidR="00442ABF" w:rsidRPr="00442ABF" w:rsidRDefault="00442ABF" w:rsidP="00442ABF">
      <w:pPr>
        <w:pBdr>
          <w:top w:val="nil"/>
          <w:left w:val="nil"/>
          <w:bottom w:val="nil"/>
          <w:right w:val="nil"/>
          <w:between w:val="nil"/>
          <w:bar w:val="nil"/>
        </w:pBdr>
        <w:suppressAutoHyphens/>
        <w:spacing w:after="0" w:line="480" w:lineRule="auto"/>
        <w:jc w:val="center"/>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t>CASHLESS ESTABLISHMENTS PROHIBITED</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t xml:space="preserve">§ 20-840 Cashless establishments prohibited. a. Definitions. For purposes of this subchapter, the following terms have the following meanings: </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bdr w:val="nil"/>
        </w:rPr>
      </w:pPr>
      <w:r w:rsidRPr="00442ABF">
        <w:rPr>
          <w:rFonts w:ascii="Times New Roman" w:eastAsia="Arial Unicode MS" w:hAnsi="Times New Roman" w:cs="Arial Unicode MS"/>
          <w:color w:val="000000"/>
          <w:sz w:val="24"/>
          <w:szCs w:val="24"/>
          <w:u w:val="single"/>
          <w:bdr w:val="nil"/>
        </w:rPr>
        <w:t>Cash. The term “cash” means United States coins and currency, including federal reserve notes. Cash does not include foreign currency; any paper instrument other than a federal reserve note, including, but not limited to, any check, bond, or promissory note; or any foreign metal coin.</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t xml:space="preserve">Consumer commodity.  The term “consumer commodity” means any article, good, merchandise, product or commodity of any kind or class produced, distributed or offered for retail sale for consumption by individuals, or for personal, household or family purposes. </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t xml:space="preserve">Food store. </w:t>
      </w:r>
      <w:r w:rsidRPr="00442ABF">
        <w:rPr>
          <w:rFonts w:ascii="Times New Roman" w:eastAsia="Arial Unicode MS" w:hAnsi="Times New Roman" w:cs="Arial Unicode MS"/>
          <w:color w:val="000000"/>
          <w:sz w:val="24"/>
          <w:szCs w:val="24"/>
          <w:u w:val="single" w:color="000000"/>
          <w:bdr w:val="nil"/>
          <w:shd w:val="clear" w:color="auto" w:fill="FFFFFF"/>
        </w:rPr>
        <w:t xml:space="preserve">The term “food store” means an establishment which gives or offers for sale food or beverages to the public for consumption or use on or off the premises, </w:t>
      </w:r>
      <w:r w:rsidRPr="00442ABF">
        <w:rPr>
          <w:rFonts w:ascii="Times New Roman" w:eastAsia="Arial Unicode MS" w:hAnsi="Times New Roman" w:cs="Arial Unicode MS"/>
          <w:color w:val="000000"/>
          <w:sz w:val="24"/>
          <w:szCs w:val="24"/>
          <w:u w:val="single" w:color="000000"/>
          <w:bdr w:val="nil"/>
        </w:rPr>
        <w:t>or on or off a pushcart, stand or vehicle</w:t>
      </w:r>
      <w:r w:rsidRPr="00442ABF">
        <w:rPr>
          <w:rFonts w:ascii="Times New Roman" w:eastAsia="Arial Unicode MS" w:hAnsi="Times New Roman" w:cs="Arial Unicode MS"/>
          <w:color w:val="000000"/>
          <w:sz w:val="24"/>
          <w:szCs w:val="24"/>
          <w:u w:val="single" w:color="000000"/>
          <w:bdr w:val="nil"/>
          <w:shd w:val="clear" w:color="auto" w:fill="FFFFFF"/>
        </w:rPr>
        <w:t xml:space="preserve">. </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lastRenderedPageBreak/>
        <w:t xml:space="preserve">Membership-based business. The term “membership-based business” means an establishment that is not a food store that enrolls consumers as members through a contractual agreement and charges such members a recurring weekly, monthly or annual membership fee for the purpose of utilizing such business’ services or facilities. </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t>Retail establishment. The term “retail establishment” means an establishment wherein consumer commodities are sold, displayed or offered for sale, or where services are provided to consumers at retail. This definition does not include banks or trust companies as those terms are defined in section 2 of article 1 of the banking law.</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t>b. It shall be unlawful for a food store or a retail establishment to refuse to accept payment in cash from consumers, provided that such food store or retail establishment may refuse to accept payment:</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t xml:space="preserve">1. In cash bills denominated above $20; or  </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bdr w:val="nil"/>
        </w:rPr>
      </w:pPr>
      <w:r w:rsidRPr="00442ABF">
        <w:rPr>
          <w:rFonts w:ascii="Times New Roman" w:eastAsia="Arial Unicode MS" w:hAnsi="Times New Roman" w:cs="Arial Unicode MS"/>
          <w:color w:val="000000"/>
          <w:sz w:val="24"/>
          <w:szCs w:val="24"/>
          <w:u w:val="single" w:color="000000"/>
          <w:bdr w:val="nil"/>
        </w:rPr>
        <w:t>2. In cash for any telephone, mail, or internet-based transaction, unless the payment for such transaction takes place on the premises of such food store or retail establishment.</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t>c. No food store or retail establishment shall charge a higher price for the same consumer commodity to a consumer who pays in cash than to a consumer who pays for such commodity through a cash-less transaction.</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t>d. A food store or retail establishment that violates this section is liable for a civil penalty of not more than $1000 for the first violation and a civil penalty of not more than $1500 for each subsequent violation.</w:t>
      </w:r>
    </w:p>
    <w:p w:rsidR="00442ABF" w:rsidRP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val="single" w:color="000000"/>
          <w:bdr w:val="nil"/>
        </w:rPr>
      </w:pPr>
      <w:r w:rsidRPr="00442ABF">
        <w:rPr>
          <w:rFonts w:ascii="Times New Roman" w:eastAsia="Arial Unicode MS" w:hAnsi="Times New Roman" w:cs="Arial Unicode MS"/>
          <w:color w:val="000000"/>
          <w:sz w:val="24"/>
          <w:szCs w:val="24"/>
          <w:u w:val="single" w:color="000000"/>
          <w:bdr w:val="nil"/>
        </w:rPr>
        <w:t>e. This subchapter shall not apply to membership-based businesses except that it shall apply to fees charged by such businesses to non-members for day or drop-in access to such businesses’ services or facilities.</w:t>
      </w:r>
    </w:p>
    <w:p w:rsidR="00442ABF" w:rsidRDefault="00442ABF" w:rsidP="00442ABF">
      <w:pPr>
        <w:pBdr>
          <w:top w:val="nil"/>
          <w:left w:val="nil"/>
          <w:bottom w:val="nil"/>
          <w:right w:val="nil"/>
          <w:between w:val="nil"/>
          <w:bar w:val="nil"/>
        </w:pBdr>
        <w:suppressAutoHyphens/>
        <w:spacing w:after="0" w:line="480" w:lineRule="auto"/>
        <w:ind w:firstLine="720"/>
        <w:jc w:val="both"/>
        <w:rPr>
          <w:rFonts w:ascii="Times New Roman" w:eastAsia="Arial Unicode MS" w:hAnsi="Times New Roman" w:cs="Arial Unicode MS"/>
          <w:color w:val="000000"/>
          <w:sz w:val="24"/>
          <w:szCs w:val="24"/>
          <w:u w:color="000000"/>
          <w:bdr w:val="nil"/>
        </w:rPr>
      </w:pPr>
      <w:r w:rsidRPr="00442ABF">
        <w:rPr>
          <w:rFonts w:ascii="Times New Roman" w:eastAsia="Arial Unicode MS" w:hAnsi="Times New Roman" w:cs="Arial Unicode MS"/>
          <w:color w:val="000000"/>
          <w:sz w:val="24"/>
          <w:szCs w:val="24"/>
          <w:u w:color="000000"/>
          <w:bdr w:val="nil"/>
        </w:rPr>
        <w:lastRenderedPageBreak/>
        <w:t>§ 2. This local law takes effect 180 days after it becomes law</w:t>
      </w:r>
      <w:r w:rsidRPr="00442ABF">
        <w:rPr>
          <w:rFonts w:ascii="Times New Roman" w:eastAsia="Arial Unicode MS" w:hAnsi="Times New Roman" w:cs="Arial Unicode MS"/>
          <w:color w:val="000000"/>
          <w:spacing w:val="-3"/>
          <w:sz w:val="24"/>
          <w:szCs w:val="24"/>
          <w:u w:color="000000"/>
          <w:bdr w:val="nil"/>
        </w:rPr>
        <w:t xml:space="preserve">, </w:t>
      </w:r>
      <w:r w:rsidRPr="00442ABF">
        <w:rPr>
          <w:rFonts w:ascii="Times New Roman" w:eastAsia="Arial Unicode MS" w:hAnsi="Times New Roman" w:cs="Arial Unicode MS"/>
          <w:color w:val="000000"/>
          <w:sz w:val="24"/>
          <w:szCs w:val="24"/>
          <w:u w:color="000000"/>
          <w:bdr w:val="nil"/>
          <w:lang w:val="x-none"/>
        </w:rPr>
        <w:t>except that</w:t>
      </w:r>
      <w:r w:rsidRPr="00442ABF">
        <w:rPr>
          <w:rFonts w:ascii="Times New Roman" w:eastAsia="Arial Unicode MS" w:hAnsi="Times New Roman" w:cs="Arial Unicode MS"/>
          <w:color w:val="000000"/>
          <w:sz w:val="24"/>
          <w:szCs w:val="24"/>
          <w:u w:color="000000"/>
          <w:bdr w:val="nil"/>
        </w:rPr>
        <w:t xml:space="preserve"> </w:t>
      </w:r>
      <w:r w:rsidRPr="00442ABF">
        <w:rPr>
          <w:rFonts w:ascii="Times New Roman" w:eastAsia="Arial Unicode MS" w:hAnsi="Times New Roman" w:cs="Arial Unicode MS"/>
          <w:color w:val="000000"/>
          <w:sz w:val="24"/>
          <w:szCs w:val="24"/>
          <w:u w:color="000000"/>
          <w:bdr w:val="nil"/>
          <w:lang w:val="x-none"/>
        </w:rPr>
        <w:t xml:space="preserve">the </w:t>
      </w:r>
      <w:r w:rsidRPr="00442ABF">
        <w:rPr>
          <w:rFonts w:ascii="Times New Roman" w:eastAsia="Arial Unicode MS" w:hAnsi="Times New Roman" w:cs="Arial Unicode MS"/>
          <w:color w:val="000000"/>
          <w:sz w:val="24"/>
          <w:szCs w:val="24"/>
          <w:u w:color="000000"/>
          <w:bdr w:val="nil"/>
        </w:rPr>
        <w:t>department</w:t>
      </w:r>
      <w:r w:rsidRPr="00442ABF">
        <w:rPr>
          <w:rFonts w:ascii="Times New Roman" w:eastAsia="Arial Unicode MS" w:hAnsi="Times New Roman" w:cs="Arial Unicode MS"/>
          <w:color w:val="000000"/>
          <w:sz w:val="24"/>
          <w:szCs w:val="24"/>
          <w:u w:color="000000"/>
          <w:bdr w:val="nil"/>
          <w:lang w:val="x-none"/>
        </w:rPr>
        <w:t xml:space="preserve"> </w:t>
      </w:r>
      <w:r w:rsidRPr="00442ABF">
        <w:rPr>
          <w:rFonts w:ascii="Times New Roman" w:eastAsia="Arial Unicode MS" w:hAnsi="Times New Roman" w:cs="Arial Unicode MS"/>
          <w:color w:val="000000"/>
          <w:sz w:val="24"/>
          <w:szCs w:val="24"/>
          <w:u w:color="000000"/>
          <w:bdr w:val="nil"/>
        </w:rPr>
        <w:t xml:space="preserve">of consumer affairs may </w:t>
      </w:r>
      <w:r w:rsidRPr="00442ABF">
        <w:rPr>
          <w:rFonts w:ascii="Times New Roman" w:eastAsia="Arial Unicode MS" w:hAnsi="Times New Roman" w:cs="Arial Unicode MS"/>
          <w:color w:val="000000"/>
          <w:sz w:val="24"/>
          <w:szCs w:val="24"/>
          <w:u w:color="000000"/>
          <w:bdr w:val="nil"/>
          <w:lang w:val="x-none"/>
        </w:rPr>
        <w:t>take such measures as are necessary for the implementation of this local law,</w:t>
      </w:r>
      <w:r w:rsidRPr="00442ABF">
        <w:rPr>
          <w:rFonts w:ascii="Times New Roman" w:eastAsia="Arial Unicode MS" w:hAnsi="Times New Roman" w:cs="Arial Unicode MS"/>
          <w:color w:val="000000"/>
          <w:sz w:val="24"/>
          <w:szCs w:val="24"/>
          <w:u w:color="000000"/>
          <w:bdr w:val="nil"/>
        </w:rPr>
        <w:t xml:space="preserve"> </w:t>
      </w:r>
      <w:r w:rsidRPr="00442ABF">
        <w:rPr>
          <w:rFonts w:ascii="Times New Roman" w:eastAsia="Arial Unicode MS" w:hAnsi="Times New Roman" w:cs="Arial Unicode MS"/>
          <w:color w:val="000000"/>
          <w:sz w:val="24"/>
          <w:szCs w:val="24"/>
          <w:u w:color="000000"/>
          <w:bdr w:val="nil"/>
          <w:lang w:val="x-none"/>
        </w:rPr>
        <w:t>including the promulgation of rules, before such date</w:t>
      </w:r>
      <w:r>
        <w:rPr>
          <w:rFonts w:ascii="Times New Roman" w:eastAsia="Arial Unicode MS" w:hAnsi="Times New Roman" w:cs="Arial Unicode MS"/>
          <w:color w:val="000000"/>
          <w:sz w:val="24"/>
          <w:szCs w:val="24"/>
          <w:u w:color="000000"/>
          <w:bdr w:val="nil"/>
        </w:rPr>
        <w:t>.</w:t>
      </w:r>
    </w:p>
    <w:p w:rsidR="00442ABF" w:rsidRPr="00442ABF" w:rsidRDefault="00442ABF" w:rsidP="00442ABF">
      <w:pPr>
        <w:spacing w:after="0" w:line="240" w:lineRule="auto"/>
        <w:jc w:val="both"/>
        <w:rPr>
          <w:rFonts w:ascii="Times New Roman" w:eastAsia="Times New Roman" w:hAnsi="Times New Roman"/>
          <w:sz w:val="18"/>
          <w:szCs w:val="18"/>
        </w:rPr>
      </w:pPr>
    </w:p>
    <w:p w:rsidR="00442ABF" w:rsidRPr="00442ABF" w:rsidRDefault="00442ABF" w:rsidP="00442ABF">
      <w:pPr>
        <w:spacing w:after="0" w:line="240" w:lineRule="auto"/>
        <w:jc w:val="both"/>
        <w:rPr>
          <w:rFonts w:ascii="Times New Roman" w:eastAsia="Times New Roman" w:hAnsi="Times New Roman"/>
          <w:sz w:val="18"/>
          <w:szCs w:val="18"/>
        </w:rPr>
      </w:pPr>
    </w:p>
    <w:p w:rsidR="00442ABF" w:rsidRPr="00442ABF" w:rsidRDefault="00442ABF" w:rsidP="00442ABF">
      <w:pPr>
        <w:spacing w:after="0" w:line="240" w:lineRule="auto"/>
        <w:jc w:val="both"/>
        <w:rPr>
          <w:rFonts w:ascii="Times New Roman" w:eastAsia="Times New Roman" w:hAnsi="Times New Roman"/>
          <w:sz w:val="18"/>
          <w:szCs w:val="18"/>
        </w:rPr>
      </w:pPr>
      <w:r w:rsidRPr="00442ABF">
        <w:rPr>
          <w:rFonts w:ascii="Times New Roman" w:eastAsia="Times New Roman" w:hAnsi="Times New Roman"/>
          <w:sz w:val="18"/>
          <w:szCs w:val="18"/>
        </w:rPr>
        <w:t>DFC/BAM</w:t>
      </w:r>
    </w:p>
    <w:p w:rsidR="00442ABF" w:rsidRPr="00442ABF" w:rsidRDefault="00442ABF" w:rsidP="00442ABF">
      <w:pPr>
        <w:spacing w:after="0" w:line="240" w:lineRule="auto"/>
        <w:jc w:val="both"/>
        <w:rPr>
          <w:rFonts w:ascii="Times New Roman" w:eastAsia="Times New Roman" w:hAnsi="Times New Roman"/>
          <w:sz w:val="18"/>
          <w:szCs w:val="18"/>
        </w:rPr>
      </w:pPr>
      <w:r w:rsidRPr="00442ABF">
        <w:rPr>
          <w:rFonts w:ascii="Times New Roman" w:eastAsia="Times New Roman" w:hAnsi="Times New Roman"/>
          <w:sz w:val="18"/>
          <w:szCs w:val="18"/>
        </w:rPr>
        <w:t>LS #5240</w:t>
      </w:r>
    </w:p>
    <w:p w:rsidR="00442ABF" w:rsidRPr="00442ABF" w:rsidRDefault="00442ABF" w:rsidP="00442ABF">
      <w:pPr>
        <w:spacing w:after="0" w:line="240" w:lineRule="auto"/>
        <w:rPr>
          <w:rFonts w:ascii="Times New Roman" w:eastAsia="Times New Roman" w:hAnsi="Times New Roman"/>
          <w:sz w:val="18"/>
          <w:szCs w:val="18"/>
        </w:rPr>
      </w:pPr>
      <w:r w:rsidRPr="00442ABF">
        <w:rPr>
          <w:rFonts w:ascii="Times New Roman" w:eastAsia="Times New Roman" w:hAnsi="Times New Roman"/>
          <w:sz w:val="18"/>
          <w:szCs w:val="18"/>
        </w:rPr>
        <w:t>6/27/2019</w:t>
      </w:r>
    </w:p>
    <w:p w:rsidR="00701825" w:rsidRDefault="00701825" w:rsidP="00826CAC">
      <w:pPr>
        <w:pStyle w:val="Body"/>
        <w:suppressLineNumbers/>
        <w:spacing w:line="480" w:lineRule="auto"/>
        <w:ind w:firstLine="720"/>
        <w:jc w:val="both"/>
      </w:pPr>
    </w:p>
    <w:sectPr w:rsidR="00701825" w:rsidSect="00F844A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98" w:rsidRDefault="000F5D98" w:rsidP="008432E0">
      <w:pPr>
        <w:spacing w:after="0" w:line="240" w:lineRule="auto"/>
      </w:pPr>
      <w:r>
        <w:separator/>
      </w:r>
    </w:p>
  </w:endnote>
  <w:endnote w:type="continuationSeparator" w:id="0">
    <w:p w:rsidR="000F5D98" w:rsidRDefault="000F5D98" w:rsidP="008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0D" w:rsidRDefault="00D71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05" w:rsidRPr="00BF4DD5" w:rsidRDefault="00797E05">
    <w:pPr>
      <w:pStyle w:val="Footer"/>
      <w:jc w:val="center"/>
      <w:rPr>
        <w:rFonts w:ascii="Times New Roman" w:hAnsi="Times New Roman"/>
        <w:sz w:val="20"/>
        <w:szCs w:val="20"/>
      </w:rPr>
    </w:pPr>
    <w:r w:rsidRPr="00BF4DD5">
      <w:rPr>
        <w:rFonts w:ascii="Times New Roman" w:hAnsi="Times New Roman"/>
        <w:sz w:val="20"/>
        <w:szCs w:val="20"/>
      </w:rPr>
      <w:t>-</w:t>
    </w:r>
    <w:r w:rsidRPr="00BF4DD5">
      <w:rPr>
        <w:rFonts w:ascii="Times New Roman" w:hAnsi="Times New Roman"/>
        <w:sz w:val="20"/>
        <w:szCs w:val="20"/>
      </w:rPr>
      <w:fldChar w:fldCharType="begin"/>
    </w:r>
    <w:r w:rsidRPr="00BF4DD5">
      <w:rPr>
        <w:rFonts w:ascii="Times New Roman" w:hAnsi="Times New Roman"/>
        <w:sz w:val="20"/>
        <w:szCs w:val="20"/>
      </w:rPr>
      <w:instrText xml:space="preserve"> PAGE   \* MERGEFORMAT </w:instrText>
    </w:r>
    <w:r w:rsidRPr="00BF4DD5">
      <w:rPr>
        <w:rFonts w:ascii="Times New Roman" w:hAnsi="Times New Roman"/>
        <w:sz w:val="20"/>
        <w:szCs w:val="20"/>
      </w:rPr>
      <w:fldChar w:fldCharType="separate"/>
    </w:r>
    <w:r w:rsidR="00193111">
      <w:rPr>
        <w:rFonts w:ascii="Times New Roman" w:hAnsi="Times New Roman"/>
        <w:noProof/>
        <w:sz w:val="20"/>
        <w:szCs w:val="20"/>
      </w:rPr>
      <w:t>14</w:t>
    </w:r>
    <w:r w:rsidRPr="00BF4DD5">
      <w:rPr>
        <w:rFonts w:ascii="Times New Roman" w:hAnsi="Times New Roman"/>
        <w:noProof/>
        <w:sz w:val="20"/>
        <w:szCs w:val="20"/>
      </w:rPr>
      <w:fldChar w:fldCharType="end"/>
    </w:r>
    <w:r w:rsidRPr="00BF4DD5">
      <w:rPr>
        <w:rFonts w:ascii="Times New Roman" w:hAnsi="Times New Roman"/>
        <w:noProof/>
        <w:sz w:val="20"/>
        <w:szCs w:val="20"/>
      </w:rPr>
      <w:t>-</w:t>
    </w:r>
  </w:p>
  <w:p w:rsidR="00797E05" w:rsidRDefault="00797E05">
    <w:pPr>
      <w:pStyle w:val="Footer"/>
    </w:pPr>
  </w:p>
  <w:p w:rsidR="0032211A" w:rsidRDefault="0032211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21" w:rsidRPr="00CE6B21" w:rsidRDefault="00CE6B21">
    <w:pPr>
      <w:pStyle w:val="Footer"/>
      <w:jc w:val="center"/>
      <w:rPr>
        <w:rFonts w:ascii="Times New Roman" w:hAnsi="Times New Roman"/>
        <w:sz w:val="20"/>
        <w:szCs w:val="20"/>
      </w:rPr>
    </w:pPr>
    <w:r w:rsidRPr="00CE6B21">
      <w:rPr>
        <w:rFonts w:ascii="Times New Roman" w:hAnsi="Times New Roman"/>
        <w:sz w:val="20"/>
        <w:szCs w:val="20"/>
      </w:rPr>
      <w:fldChar w:fldCharType="begin"/>
    </w:r>
    <w:r w:rsidRPr="00CE6B21">
      <w:rPr>
        <w:rFonts w:ascii="Times New Roman" w:hAnsi="Times New Roman"/>
        <w:sz w:val="20"/>
        <w:szCs w:val="20"/>
      </w:rPr>
      <w:instrText xml:space="preserve"> PAGE   \* MERGEFORMAT </w:instrText>
    </w:r>
    <w:r w:rsidRPr="00CE6B21">
      <w:rPr>
        <w:rFonts w:ascii="Times New Roman" w:hAnsi="Times New Roman"/>
        <w:sz w:val="20"/>
        <w:szCs w:val="20"/>
      </w:rPr>
      <w:fldChar w:fldCharType="separate"/>
    </w:r>
    <w:r w:rsidR="00193111">
      <w:rPr>
        <w:rFonts w:ascii="Times New Roman" w:hAnsi="Times New Roman"/>
        <w:noProof/>
        <w:sz w:val="20"/>
        <w:szCs w:val="20"/>
      </w:rPr>
      <w:t>1</w:t>
    </w:r>
    <w:r w:rsidRPr="00CE6B21">
      <w:rPr>
        <w:rFonts w:ascii="Times New Roman" w:hAnsi="Times New Roman"/>
        <w:noProof/>
        <w:sz w:val="20"/>
        <w:szCs w:val="20"/>
      </w:rPr>
      <w:fldChar w:fldCharType="end"/>
    </w:r>
  </w:p>
  <w:p w:rsidR="00CE6B21" w:rsidRDefault="00CE6B21">
    <w:pPr>
      <w:pStyle w:val="Footer"/>
    </w:pPr>
  </w:p>
  <w:p w:rsidR="00306316" w:rsidRDefault="00306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98" w:rsidRDefault="000F5D98" w:rsidP="008432E0">
      <w:pPr>
        <w:spacing w:after="0" w:line="240" w:lineRule="auto"/>
      </w:pPr>
      <w:r>
        <w:separator/>
      </w:r>
    </w:p>
  </w:footnote>
  <w:footnote w:type="continuationSeparator" w:id="0">
    <w:p w:rsidR="000F5D98" w:rsidRDefault="000F5D98" w:rsidP="008432E0">
      <w:pPr>
        <w:spacing w:after="0" w:line="240" w:lineRule="auto"/>
      </w:pPr>
      <w:r>
        <w:continuationSeparator/>
      </w:r>
    </w:p>
  </w:footnote>
  <w:footnote w:id="1">
    <w:p w:rsidR="006F5337" w:rsidRDefault="006F5337">
      <w:pPr>
        <w:pStyle w:val="FootnoteText"/>
      </w:pPr>
      <w:r>
        <w:rPr>
          <w:rStyle w:val="FootnoteReference"/>
        </w:rPr>
        <w:footnoteRef/>
      </w:r>
      <w:r>
        <w:t xml:space="preserve"> Gloria Dawson “At Sweetgreen, a suitcase full of cash won’t by you lunch”, </w:t>
      </w:r>
      <w:r>
        <w:rPr>
          <w:i/>
        </w:rPr>
        <w:t>New York Times</w:t>
      </w:r>
      <w:r>
        <w:t xml:space="preserve">, July 30, 2016, available at: </w:t>
      </w:r>
      <w:hyperlink r:id="rId1" w:history="1">
        <w:r w:rsidRPr="0091452D">
          <w:rPr>
            <w:rStyle w:val="Hyperlink"/>
          </w:rPr>
          <w:t>https://www.nytimes.com/2016/07/31/business/where-a-suitcase-full-of-cash-wont-buy-you-lunch.html</w:t>
        </w:r>
      </w:hyperlink>
      <w:r>
        <w:t xml:space="preserve">. </w:t>
      </w:r>
    </w:p>
  </w:footnote>
  <w:footnote w:id="2">
    <w:p w:rsidR="00D26742" w:rsidRDefault="00D26742" w:rsidP="00D26742">
      <w:pPr>
        <w:pStyle w:val="FootnoteText"/>
      </w:pPr>
      <w:r>
        <w:rPr>
          <w:rStyle w:val="FootnoteReference"/>
        </w:rPr>
        <w:footnoteRef/>
      </w:r>
      <w:r>
        <w:t xml:space="preserve"> Caroline Ratcliffe, Signe-Mary McKernan, Emma Kalish and Steven Martin “Where are the unbanked and underbanked in New York City?”, </w:t>
      </w:r>
      <w:r>
        <w:rPr>
          <w:i/>
        </w:rPr>
        <w:t>Urban Institute</w:t>
      </w:r>
      <w:r>
        <w:t xml:space="preserve">, September 2015, available at: </w:t>
      </w:r>
      <w:hyperlink r:id="rId2" w:history="1">
        <w:r w:rsidRPr="00EE7716">
          <w:rPr>
            <w:rStyle w:val="Hyperlink"/>
          </w:rPr>
          <w:t>https://www.urban.org/sites/default/files/publication/71511/2000430-Where-Are-the-Unbanked-and-Underbanked-in-New-York-City.pdf</w:t>
        </w:r>
      </w:hyperlink>
      <w:r>
        <w:t>, p. 3.</w:t>
      </w:r>
    </w:p>
  </w:footnote>
  <w:footnote w:id="3">
    <w:p w:rsidR="00F30434" w:rsidRPr="00F30434" w:rsidRDefault="00F30434">
      <w:pPr>
        <w:pStyle w:val="FootnoteText"/>
      </w:pPr>
      <w:r>
        <w:rPr>
          <w:rStyle w:val="FootnoteReference"/>
        </w:rPr>
        <w:footnoteRef/>
      </w:r>
      <w:r w:rsidR="007163D2">
        <w:t xml:space="preserve"> Id</w:t>
      </w:r>
      <w:r>
        <w:t xml:space="preserve">, p. 7. </w:t>
      </w:r>
    </w:p>
  </w:footnote>
  <w:footnote w:id="4">
    <w:p w:rsidR="00D26742" w:rsidRDefault="00D26742" w:rsidP="00D26742">
      <w:pPr>
        <w:pStyle w:val="FootnoteText"/>
      </w:pPr>
      <w:r>
        <w:rPr>
          <w:rStyle w:val="FootnoteReference"/>
        </w:rPr>
        <w:footnoteRef/>
      </w:r>
      <w:r w:rsidR="007163D2">
        <w:t xml:space="preserve"> Id</w:t>
      </w:r>
      <w:r>
        <w:t>, p. 2.</w:t>
      </w:r>
    </w:p>
  </w:footnote>
  <w:footnote w:id="5">
    <w:p w:rsidR="005C30D4" w:rsidRPr="005C30D4" w:rsidRDefault="005C30D4">
      <w:pPr>
        <w:pStyle w:val="FootnoteText"/>
      </w:pPr>
      <w:r>
        <w:rPr>
          <w:rStyle w:val="FootnoteReference"/>
        </w:rPr>
        <w:footnoteRef/>
      </w:r>
      <w:r>
        <w:t xml:space="preserve"> See for example Sheila Anne Feeney “Many New Yorkers lack bank accounts and emergency savings, says new report”, </w:t>
      </w:r>
      <w:r>
        <w:rPr>
          <w:i/>
        </w:rPr>
        <w:t>AM New York</w:t>
      </w:r>
      <w:r>
        <w:t xml:space="preserve">, September 29, 2015, available at: </w:t>
      </w:r>
      <w:hyperlink r:id="rId3" w:history="1">
        <w:r w:rsidRPr="0091452D">
          <w:rPr>
            <w:rStyle w:val="Hyperlink"/>
          </w:rPr>
          <w:t>https://www.amny.com/news/many-new-yorkers-lack-bank-accounts-and-emergency-savings-says-new-report-1.10905642</w:t>
        </w:r>
      </w:hyperlink>
      <w:r>
        <w:t xml:space="preserve">. </w:t>
      </w:r>
    </w:p>
  </w:footnote>
  <w:footnote w:id="6">
    <w:p w:rsidR="003121C8" w:rsidRDefault="003121C8">
      <w:pPr>
        <w:pStyle w:val="FootnoteText"/>
      </w:pPr>
      <w:r>
        <w:rPr>
          <w:rStyle w:val="FootnoteReference"/>
        </w:rPr>
        <w:footnoteRef/>
      </w:r>
      <w:r w:rsidR="007163D2">
        <w:t xml:space="preserve"> Caroline Ratcliffe et al</w:t>
      </w:r>
      <w:r>
        <w:t>, p. 3.</w:t>
      </w:r>
    </w:p>
  </w:footnote>
  <w:footnote w:id="7">
    <w:p w:rsidR="00F05751" w:rsidRDefault="00F05751" w:rsidP="00F05751">
      <w:pPr>
        <w:pStyle w:val="FootnoteText"/>
      </w:pPr>
      <w:r>
        <w:rPr>
          <w:rStyle w:val="FootnoteReference"/>
        </w:rPr>
        <w:footnoteRef/>
      </w:r>
      <w:r w:rsidR="007163D2">
        <w:t xml:space="preserve"> Id</w:t>
      </w:r>
      <w:r>
        <w:t>, p. 8.</w:t>
      </w:r>
    </w:p>
  </w:footnote>
  <w:footnote w:id="8">
    <w:p w:rsidR="004E4BCD" w:rsidRDefault="004E4BCD">
      <w:pPr>
        <w:pStyle w:val="FootnoteText"/>
      </w:pPr>
      <w:r>
        <w:rPr>
          <w:rStyle w:val="FootnoteReference"/>
        </w:rPr>
        <w:footnoteRef/>
      </w:r>
      <w:r>
        <w:t xml:space="preserve"> Figures taken from</w:t>
      </w:r>
      <w:r w:rsidR="007163D2">
        <w:t xml:space="preserve"> id</w:t>
      </w:r>
      <w:r>
        <w:t xml:space="preserve">, and graphed by the author. </w:t>
      </w:r>
    </w:p>
  </w:footnote>
  <w:footnote w:id="9">
    <w:p w:rsidR="00745DF4" w:rsidRDefault="00745DF4">
      <w:pPr>
        <w:pStyle w:val="FootnoteText"/>
      </w:pPr>
      <w:r>
        <w:rPr>
          <w:rStyle w:val="FootnoteReference"/>
        </w:rPr>
        <w:footnoteRef/>
      </w:r>
      <w:r w:rsidR="006F5FCB">
        <w:t xml:space="preserve"> Caroline Ratcliffe et al</w:t>
      </w:r>
      <w:r>
        <w:t xml:space="preserve">, </w:t>
      </w:r>
      <w:r w:rsidR="00495F9B">
        <w:t xml:space="preserve">note 2, </w:t>
      </w:r>
      <w:r>
        <w:t>p. 6.</w:t>
      </w:r>
    </w:p>
  </w:footnote>
  <w:footnote w:id="10">
    <w:p w:rsidR="00D63E64" w:rsidRPr="00D63E64" w:rsidRDefault="00D63E64">
      <w:pPr>
        <w:pStyle w:val="FootnoteText"/>
      </w:pPr>
      <w:r>
        <w:rPr>
          <w:rStyle w:val="FootnoteReference"/>
        </w:rPr>
        <w:footnoteRef/>
      </w:r>
      <w:r>
        <w:t xml:space="preserve"> Joe Valenti “Millions of Americans are outside the financial system”, </w:t>
      </w:r>
      <w:r>
        <w:rPr>
          <w:i/>
        </w:rPr>
        <w:t>Center for American Progress</w:t>
      </w:r>
      <w:r>
        <w:t xml:space="preserve">, October 30, 2014, available at: </w:t>
      </w:r>
      <w:hyperlink r:id="rId4" w:history="1">
        <w:r w:rsidRPr="00072F9D">
          <w:rPr>
            <w:rStyle w:val="Hyperlink"/>
          </w:rPr>
          <w:t>https://www.americanprogress.org/issues/economy/reports/2014/10/30/99967/millions-of-americans-are-outside-the-financial-system/</w:t>
        </w:r>
      </w:hyperlink>
      <w:r>
        <w:t xml:space="preserve">. </w:t>
      </w:r>
    </w:p>
  </w:footnote>
  <w:footnote w:id="11">
    <w:p w:rsidR="00D63E64" w:rsidRDefault="00D63E64" w:rsidP="00D63E64">
      <w:pPr>
        <w:pStyle w:val="FootnoteText"/>
      </w:pPr>
      <w:r>
        <w:rPr>
          <w:rStyle w:val="FootnoteReference"/>
        </w:rPr>
        <w:footnoteRef/>
      </w:r>
      <w:r>
        <w:t xml:space="preserve"> </w:t>
      </w:r>
      <w:r w:rsidR="006F5FCB">
        <w:t xml:space="preserve">Id. </w:t>
      </w:r>
    </w:p>
  </w:footnote>
  <w:footnote w:id="12">
    <w:p w:rsidR="00D63E64" w:rsidRDefault="00D63E64" w:rsidP="00D63E64">
      <w:pPr>
        <w:pStyle w:val="FootnoteText"/>
      </w:pPr>
      <w:r>
        <w:rPr>
          <w:rStyle w:val="FootnoteReference"/>
        </w:rPr>
        <w:footnoteRef/>
      </w:r>
      <w:r w:rsidR="006F5FCB">
        <w:t xml:space="preserve"> Id. </w:t>
      </w:r>
    </w:p>
  </w:footnote>
  <w:footnote w:id="13">
    <w:p w:rsidR="00C967F5" w:rsidRDefault="00C967F5">
      <w:pPr>
        <w:pStyle w:val="FootnoteText"/>
      </w:pPr>
      <w:r>
        <w:rPr>
          <w:rStyle w:val="FootnoteReference"/>
        </w:rPr>
        <w:footnoteRef/>
      </w:r>
      <w:r>
        <w:t xml:space="preserve"> The Financial Clinic “Inaccessible bank accounts cost domestic violence survivors $5 million each year”, 2013, available at: </w:t>
      </w:r>
      <w:hyperlink r:id="rId5" w:history="1">
        <w:r w:rsidRPr="00072F9D">
          <w:rPr>
            <w:rStyle w:val="Hyperlink"/>
          </w:rPr>
          <w:t>https://thefinancialclinic.org/wp-content/uploads/2016/12/Banking-Security-and-DV-Survivors.pdf</w:t>
        </w:r>
      </w:hyperlink>
      <w:r>
        <w:t xml:space="preserve">. </w:t>
      </w:r>
    </w:p>
  </w:footnote>
  <w:footnote w:id="14">
    <w:p w:rsidR="00725495" w:rsidRDefault="00725495" w:rsidP="00725495">
      <w:pPr>
        <w:pStyle w:val="FootnoteText"/>
      </w:pPr>
      <w:r>
        <w:rPr>
          <w:rStyle w:val="FootnoteReference"/>
        </w:rPr>
        <w:footnoteRef/>
      </w:r>
      <w:r w:rsidR="006F5FCB">
        <w:t xml:space="preserve"> Id. </w:t>
      </w:r>
    </w:p>
  </w:footnote>
  <w:footnote w:id="15">
    <w:p w:rsidR="004F6DEF" w:rsidRPr="004F6DEF" w:rsidRDefault="004F6DEF">
      <w:pPr>
        <w:pStyle w:val="FootnoteText"/>
      </w:pPr>
      <w:r>
        <w:rPr>
          <w:rStyle w:val="FootnoteReference"/>
        </w:rPr>
        <w:footnoteRef/>
      </w:r>
      <w:r>
        <w:t xml:space="preserve"> Erica Pearson “Many New York immigrants close bank accounts or avoid them, citing language barriers or high transaction fees, new study found”, </w:t>
      </w:r>
      <w:r>
        <w:rPr>
          <w:i/>
        </w:rPr>
        <w:t>New York Daily News</w:t>
      </w:r>
      <w:r>
        <w:t xml:space="preserve">, February 25, 2015, available at: </w:t>
      </w:r>
      <w:hyperlink r:id="rId6" w:history="1">
        <w:r w:rsidRPr="00072F9D">
          <w:rPr>
            <w:rStyle w:val="Hyperlink"/>
          </w:rPr>
          <w:t>https://www.nydailynews.com/new-york/immigrants-city-choose-non-bank-options-article-1.2127910</w:t>
        </w:r>
      </w:hyperlink>
      <w:r>
        <w:t xml:space="preserve">. </w:t>
      </w:r>
    </w:p>
  </w:footnote>
  <w:footnote w:id="16">
    <w:p w:rsidR="00FA0C3C" w:rsidRDefault="00FA0C3C">
      <w:pPr>
        <w:pStyle w:val="FootnoteText"/>
      </w:pPr>
      <w:r>
        <w:rPr>
          <w:rStyle w:val="FootnoteReference"/>
        </w:rPr>
        <w:footnoteRef/>
      </w:r>
      <w:r w:rsidR="00495F9B">
        <w:t xml:space="preserve"> Joe Valenti, note 10</w:t>
      </w:r>
      <w:r>
        <w:t xml:space="preserve">. </w:t>
      </w:r>
    </w:p>
  </w:footnote>
  <w:footnote w:id="17">
    <w:p w:rsidR="00E02557" w:rsidRDefault="00E02557" w:rsidP="00E02557">
      <w:pPr>
        <w:pStyle w:val="FootnoteText"/>
      </w:pPr>
      <w:r>
        <w:rPr>
          <w:rStyle w:val="FootnoteReference"/>
        </w:rPr>
        <w:footnoteRef/>
      </w:r>
      <w:r>
        <w:t xml:space="preserve"> Melissa McCart “The problem with cashless restaurants”, </w:t>
      </w:r>
      <w:r>
        <w:rPr>
          <w:i/>
        </w:rPr>
        <w:t>Eater</w:t>
      </w:r>
      <w:r>
        <w:t xml:space="preserve">, February 15, 2018, available at: </w:t>
      </w:r>
      <w:hyperlink r:id="rId7" w:history="1">
        <w:r w:rsidRPr="00324607">
          <w:rPr>
            <w:rStyle w:val="Hyperlink"/>
          </w:rPr>
          <w:t>https://www.eater.com/2018/2/15/16974980/cashless-restaurants-credit-card-only-legal-problem-discriminatory</w:t>
        </w:r>
      </w:hyperlink>
      <w:r>
        <w:t>.</w:t>
      </w:r>
    </w:p>
  </w:footnote>
  <w:footnote w:id="18">
    <w:p w:rsidR="00AE52B7" w:rsidRDefault="00AE52B7">
      <w:pPr>
        <w:pStyle w:val="FootnoteText"/>
      </w:pPr>
      <w:r w:rsidRPr="00273884">
        <w:rPr>
          <w:rStyle w:val="FootnoteReference"/>
        </w:rPr>
        <w:footnoteRef/>
      </w:r>
      <w:r w:rsidRPr="00273884">
        <w:t xml:space="preserve"> Commonwealth of Massach</w:t>
      </w:r>
      <w:r w:rsidR="00B0251D" w:rsidRPr="00273884">
        <w:t xml:space="preserve">usetts, General Laws, Part III, Title IV, Chapter 225D, Section 10A, available at:  </w:t>
      </w:r>
      <w:hyperlink r:id="rId8" w:history="1">
        <w:r w:rsidRPr="00273884">
          <w:rPr>
            <w:rStyle w:val="Hyperlink"/>
          </w:rPr>
          <w:t>https://malegislature.gov/Laws/GeneralLaws/PartIII/TitleIV/Chapter255D/Section10A</w:t>
        </w:r>
      </w:hyperlink>
      <w:r>
        <w:t xml:space="preserve"> </w:t>
      </w:r>
    </w:p>
  </w:footnote>
  <w:footnote w:id="19">
    <w:p w:rsidR="000C4DD0" w:rsidRDefault="000C4DD0">
      <w:pPr>
        <w:pStyle w:val="FootnoteText"/>
      </w:pPr>
      <w:r>
        <w:rPr>
          <w:rStyle w:val="FootnoteReference"/>
        </w:rPr>
        <w:footnoteRef/>
      </w:r>
      <w:r>
        <w:t xml:space="preserve"> New Jersey A591, available at: </w:t>
      </w:r>
      <w:hyperlink r:id="rId9" w:history="1">
        <w:r w:rsidRPr="000C4DD0">
          <w:rPr>
            <w:color w:val="0000FF"/>
            <w:sz w:val="22"/>
            <w:szCs w:val="22"/>
            <w:u w:val="single"/>
          </w:rPr>
          <w:t>https://www.njleg.state.nj.us/2018/Bills/PL19/50_.PDF</w:t>
        </w:r>
      </w:hyperlink>
      <w:r>
        <w:rPr>
          <w:sz w:val="22"/>
          <w:szCs w:val="22"/>
        </w:rPr>
        <w:t xml:space="preserve">. </w:t>
      </w:r>
    </w:p>
  </w:footnote>
  <w:footnote w:id="20">
    <w:p w:rsidR="000C4DD0" w:rsidRDefault="000C4DD0">
      <w:pPr>
        <w:pStyle w:val="FootnoteText"/>
      </w:pPr>
      <w:r>
        <w:rPr>
          <w:rStyle w:val="FootnoteReference"/>
        </w:rPr>
        <w:footnoteRef/>
      </w:r>
      <w:r>
        <w:t xml:space="preserve"> </w:t>
      </w:r>
      <w:r w:rsidR="000F28DB">
        <w:t xml:space="preserve">City of Philadelphia, bill number: 180943, available at: </w:t>
      </w:r>
      <w:hyperlink r:id="rId10" w:history="1">
        <w:r w:rsidR="000F28DB" w:rsidRPr="00DF4F0F">
          <w:rPr>
            <w:rStyle w:val="Hyperlink"/>
          </w:rPr>
          <w:t>https://phila.legistar.com/LegislationDetail.aspx?ID=3710586&amp;GUID=FD85947F-8151-4DB5-9949-AF6FEF14A9C9&amp;Options=ID|Text|&amp;Search=cashless</w:t>
        </w:r>
      </w:hyperlink>
      <w:r w:rsidR="000F28DB">
        <w:t xml:space="preserve">. </w:t>
      </w:r>
    </w:p>
  </w:footnote>
  <w:footnote w:id="21">
    <w:p w:rsidR="000F28DB" w:rsidRDefault="000F28DB">
      <w:pPr>
        <w:pStyle w:val="FootnoteText"/>
      </w:pPr>
      <w:r>
        <w:rPr>
          <w:rStyle w:val="FootnoteReference"/>
        </w:rPr>
        <w:footnoteRef/>
      </w:r>
      <w:r>
        <w:t xml:space="preserve"> City and County of San Francisco, file Number 190164, available at: </w:t>
      </w:r>
      <w:hyperlink r:id="rId11" w:history="1">
        <w:r w:rsidRPr="000F28DB">
          <w:rPr>
            <w:color w:val="0000FF"/>
            <w:sz w:val="22"/>
            <w:szCs w:val="22"/>
            <w:u w:val="single"/>
          </w:rPr>
          <w:t>https://sfgov.legistar.com/View.ashx?M=F&amp;ID=7203773&amp;GUID=AB84EC24-3D9F-47ED-BBD2-D0E28024E1C4</w:t>
        </w:r>
      </w:hyperlink>
      <w:r>
        <w:rPr>
          <w:sz w:val="22"/>
          <w:szCs w:val="22"/>
        </w:rPr>
        <w:t xml:space="preserve">. </w:t>
      </w:r>
    </w:p>
  </w:footnote>
  <w:footnote w:id="22">
    <w:p w:rsidR="005B6358" w:rsidRDefault="005B6358">
      <w:pPr>
        <w:pStyle w:val="FootnoteText"/>
      </w:pPr>
      <w:r>
        <w:rPr>
          <w:rStyle w:val="FootnoteReference"/>
        </w:rPr>
        <w:footnoteRef/>
      </w:r>
      <w:r>
        <w:t xml:space="preserve"> City of Chicago, ordinance O2017-7145, available at:  </w:t>
      </w:r>
      <w:hyperlink r:id="rId12" w:history="1">
        <w:r w:rsidRPr="00324607">
          <w:rPr>
            <w:rStyle w:val="Hyperlink"/>
          </w:rPr>
          <w:t>https://chicago.legistar.com/LegislationDetail.aspx?ID=3184725&amp;GUID=06C6F98D-8311-4DA2-93E2-D8E75B84D737&amp;Options=Advanced&amp;Search</w:t>
        </w:r>
      </w:hyperlink>
      <w:r>
        <w:t xml:space="preserve">. </w:t>
      </w:r>
    </w:p>
  </w:footnote>
  <w:footnote w:id="23">
    <w:p w:rsidR="00826CAC" w:rsidRPr="00DB488F" w:rsidRDefault="00826CAC" w:rsidP="00826CAC">
      <w:pPr>
        <w:pStyle w:val="FootnoteText"/>
      </w:pPr>
      <w:r>
        <w:rPr>
          <w:rStyle w:val="FootnoteReference"/>
        </w:rPr>
        <w:footnoteRef/>
      </w:r>
      <w:r>
        <w:t xml:space="preserve"> Tony Zazula as quoted by Claire Lampen “NYC may pull the plug on cashless restaurants, retailers”, </w:t>
      </w:r>
      <w:r>
        <w:rPr>
          <w:i/>
        </w:rPr>
        <w:t>Gothamist</w:t>
      </w:r>
      <w:r>
        <w:t xml:space="preserve">, November 28, 2018, available at: </w:t>
      </w:r>
      <w:hyperlink r:id="rId13" w:history="1">
        <w:r w:rsidRPr="0091452D">
          <w:rPr>
            <w:rStyle w:val="Hyperlink"/>
          </w:rPr>
          <w:t>http://gothamist.com/2018/11/28/cashless_restaurants_nyc.php</w:t>
        </w:r>
      </w:hyperlink>
      <w:r>
        <w:t xml:space="preserve">; quoted by Carmin Chappell “New York City and New Jersey lawmakers target cashless businesses, saying they discriminate against the poor”, </w:t>
      </w:r>
      <w:r>
        <w:rPr>
          <w:i/>
        </w:rPr>
        <w:t>CNBC</w:t>
      </w:r>
      <w:r>
        <w:t xml:space="preserve">, December 13, 2018, available at: </w:t>
      </w:r>
      <w:hyperlink r:id="rId14" w:history="1">
        <w:r w:rsidRPr="00072F9D">
          <w:rPr>
            <w:rStyle w:val="Hyperlink"/>
          </w:rPr>
          <w:t>https://www.cnbc.com/2018/12/13/nyc-nj-target-cashless-businesses-alleging-bias-against-the-poor.html</w:t>
        </w:r>
      </w:hyperlink>
      <w:r>
        <w:t xml:space="preserve">; and quoted by Melissa McCart “The problem with cashless restaurants”, </w:t>
      </w:r>
      <w:r>
        <w:rPr>
          <w:i/>
        </w:rPr>
        <w:t>Eater</w:t>
      </w:r>
      <w:r>
        <w:t xml:space="preserve">, February 15, 2018, available at: </w:t>
      </w:r>
      <w:hyperlink r:id="rId15" w:history="1">
        <w:r w:rsidRPr="00324607">
          <w:rPr>
            <w:rStyle w:val="Hyperlink"/>
          </w:rPr>
          <w:t>https://www.eater.com/2018/2/15/16974980/cashless-restaurants-credit-card-only-legal-problem-discriminatory</w:t>
        </w:r>
      </w:hyperlink>
      <w:r>
        <w:t xml:space="preserve">. </w:t>
      </w:r>
    </w:p>
  </w:footnote>
  <w:footnote w:id="24">
    <w:p w:rsidR="00826CAC" w:rsidRPr="00785B31" w:rsidRDefault="00826CAC" w:rsidP="00826CAC">
      <w:pPr>
        <w:pStyle w:val="FootnoteText"/>
      </w:pPr>
      <w:r>
        <w:rPr>
          <w:rStyle w:val="FootnoteReference"/>
        </w:rPr>
        <w:footnoteRef/>
      </w:r>
      <w:r>
        <w:t xml:space="preserve"> Gina Bellafante “How the cashless economy shuts out the poor”, </w:t>
      </w:r>
      <w:r>
        <w:rPr>
          <w:i/>
        </w:rPr>
        <w:t>New York Times</w:t>
      </w:r>
      <w:r>
        <w:t xml:space="preserve">, December 6, 2018, available at: </w:t>
      </w:r>
      <w:hyperlink r:id="rId16" w:history="1">
        <w:r w:rsidRPr="0091452D">
          <w:rPr>
            <w:rStyle w:val="Hyperlink"/>
          </w:rPr>
          <w:t>https://www.nytimes.com/2018/12/06/nyregion/how-the-cashless-economy-shuts-out-the-poor.html</w:t>
        </w:r>
      </w:hyperlink>
      <w:r>
        <w:t xml:space="preserve">. </w:t>
      </w:r>
    </w:p>
  </w:footnote>
  <w:footnote w:id="25">
    <w:p w:rsidR="00826CAC" w:rsidRPr="006F5337" w:rsidRDefault="00826CAC" w:rsidP="00826CAC">
      <w:pPr>
        <w:pStyle w:val="FootnoteText"/>
      </w:pPr>
      <w:r>
        <w:rPr>
          <w:rStyle w:val="FootnoteReference"/>
        </w:rPr>
        <w:footnoteRef/>
      </w:r>
      <w:r>
        <w:t xml:space="preserve"> Phyllis Korkki “Paying with cash hurts. That’s also why it feels so good”, </w:t>
      </w:r>
      <w:r>
        <w:rPr>
          <w:i/>
        </w:rPr>
        <w:t>New York Times</w:t>
      </w:r>
      <w:r>
        <w:t xml:space="preserve">, July 16, 2016, available at: </w:t>
      </w:r>
      <w:hyperlink r:id="rId17" w:history="1">
        <w:r w:rsidRPr="0091452D">
          <w:rPr>
            <w:rStyle w:val="Hyperlink"/>
          </w:rPr>
          <w:t>https://www.nytimes.com/2016/07/17/business/paying-with-cash-hurts-thats-also-why-it-feels-so-good.html?module=inline</w:t>
        </w:r>
      </w:hyperlink>
      <w:r>
        <w:t xml:space="preserve">. </w:t>
      </w:r>
    </w:p>
  </w:footnote>
  <w:footnote w:id="26">
    <w:p w:rsidR="00826CAC" w:rsidRPr="00D80741" w:rsidRDefault="00826CAC" w:rsidP="00826CAC">
      <w:pPr>
        <w:pStyle w:val="FootnoteText"/>
      </w:pPr>
      <w:r>
        <w:rPr>
          <w:rStyle w:val="FootnoteReference"/>
        </w:rPr>
        <w:footnoteRef/>
      </w:r>
      <w:r>
        <w:t xml:space="preserve"> Lindsay Konsko “Credit cards makes you spend more: studies”, </w:t>
      </w:r>
      <w:r>
        <w:rPr>
          <w:i/>
        </w:rPr>
        <w:t>Business Insider</w:t>
      </w:r>
      <w:r>
        <w:t xml:space="preserve">, July 8, 2014, available at: </w:t>
      </w:r>
      <w:hyperlink r:id="rId18" w:history="1">
        <w:r w:rsidRPr="0091452D">
          <w:rPr>
            <w:rStyle w:val="Hyperlink"/>
          </w:rPr>
          <w:t>https://www.nerdwallet.com/blog/credit-cards/credit-cards-make-you-spend-more/</w:t>
        </w:r>
      </w:hyperlink>
      <w:r>
        <w:t xml:space="preserve">. </w:t>
      </w:r>
    </w:p>
  </w:footnote>
  <w:footnote w:id="27">
    <w:p w:rsidR="00AB4DED" w:rsidRPr="00CD37F2" w:rsidRDefault="00AB4DED">
      <w:pPr>
        <w:pStyle w:val="FootnoteText"/>
      </w:pPr>
      <w:r>
        <w:rPr>
          <w:rStyle w:val="FootnoteReference"/>
        </w:rPr>
        <w:footnoteRef/>
      </w:r>
      <w:r>
        <w:t xml:space="preserve"> </w:t>
      </w:r>
      <w:r w:rsidR="00CD37F2">
        <w:t xml:space="preserve">Marissa Laliberte “7 convincing reasons you’re better off paying with cash”, </w:t>
      </w:r>
      <w:r w:rsidR="00CD37F2">
        <w:rPr>
          <w:i/>
        </w:rPr>
        <w:t>Reader’s Digest</w:t>
      </w:r>
      <w:r w:rsidR="00CD37F2">
        <w:t xml:space="preserve">, available at: </w:t>
      </w:r>
      <w:hyperlink r:id="rId19" w:history="1">
        <w:r w:rsidR="00CD37F2" w:rsidRPr="007B0A3E">
          <w:rPr>
            <w:rStyle w:val="Hyperlink"/>
          </w:rPr>
          <w:t>https://www.rd.com/advice/saving-money/pay-with-cash/</w:t>
        </w:r>
      </w:hyperlink>
      <w:r w:rsidR="00CD37F2">
        <w:t xml:space="preserve">. </w:t>
      </w:r>
    </w:p>
  </w:footnote>
  <w:footnote w:id="28">
    <w:p w:rsidR="00826CAC" w:rsidRDefault="00826CAC" w:rsidP="00826CAC">
      <w:pPr>
        <w:pStyle w:val="FootnoteText"/>
      </w:pPr>
      <w:r>
        <w:rPr>
          <w:rStyle w:val="FootnoteReference"/>
        </w:rPr>
        <w:footnoteRef/>
      </w:r>
      <w:r w:rsidR="00C3426B">
        <w:t xml:space="preserve"> Melissa McCart, note 17. </w:t>
      </w:r>
    </w:p>
  </w:footnote>
  <w:footnote w:id="29">
    <w:p w:rsidR="00826CAC" w:rsidRDefault="00826CAC" w:rsidP="00826CAC">
      <w:pPr>
        <w:pStyle w:val="FootnoteText"/>
      </w:pPr>
      <w:r>
        <w:rPr>
          <w:rStyle w:val="FootnoteReference"/>
        </w:rPr>
        <w:footnoteRef/>
      </w:r>
      <w:r>
        <w:t xml:space="preserve"> Ben Popken “The war on cash intensifies: Visa offers restaurants $10,000 to go cashless”, </w:t>
      </w:r>
      <w:r>
        <w:rPr>
          <w:i/>
        </w:rPr>
        <w:t>NBC News</w:t>
      </w:r>
      <w:r>
        <w:t xml:space="preserve">, July 13, 2017, available at:  </w:t>
      </w:r>
      <w:hyperlink r:id="rId20" w:history="1">
        <w:r w:rsidRPr="00072F9D">
          <w:rPr>
            <w:rStyle w:val="Hyperlink"/>
          </w:rPr>
          <w:t>https://www.nbcnews.com/business/consumer/war-cash-intensifies-visa-offers-restaurants-10-000-go-cashless-n782276</w:t>
        </w:r>
      </w:hyperlink>
      <w:r>
        <w:t>.</w:t>
      </w:r>
    </w:p>
  </w:footnote>
  <w:footnote w:id="30">
    <w:p w:rsidR="00826CAC" w:rsidRDefault="00826CAC" w:rsidP="00826CAC">
      <w:pPr>
        <w:pStyle w:val="FootnoteText"/>
      </w:pPr>
      <w:r>
        <w:rPr>
          <w:rStyle w:val="FootnoteReference"/>
        </w:rPr>
        <w:footnoteRef/>
      </w:r>
      <w:r>
        <w:t xml:space="preserve"> Al Kelly as quoted by</w:t>
      </w:r>
      <w:r w:rsidR="009F2D73">
        <w:t xml:space="preserve"> 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0D" w:rsidRDefault="00D71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F9" w:rsidRDefault="00D71CF9">
    <w:pPr>
      <w:pStyle w:val="Header"/>
    </w:pPr>
  </w:p>
  <w:p w:rsidR="0032211A" w:rsidRDefault="0032211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0D" w:rsidRDefault="00D71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553"/>
    <w:multiLevelType w:val="hybridMultilevel"/>
    <w:tmpl w:val="A31AA4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483B94"/>
    <w:multiLevelType w:val="hybridMultilevel"/>
    <w:tmpl w:val="64FA4988"/>
    <w:lvl w:ilvl="0" w:tplc="2F3A3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24BDC"/>
    <w:multiLevelType w:val="hybridMultilevel"/>
    <w:tmpl w:val="662410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4953"/>
    <w:rsid w:val="0000720D"/>
    <w:rsid w:val="0001715F"/>
    <w:rsid w:val="00025B72"/>
    <w:rsid w:val="00040386"/>
    <w:rsid w:val="000434B7"/>
    <w:rsid w:val="000527D5"/>
    <w:rsid w:val="00062D03"/>
    <w:rsid w:val="00067396"/>
    <w:rsid w:val="00072286"/>
    <w:rsid w:val="000760AD"/>
    <w:rsid w:val="000800D1"/>
    <w:rsid w:val="000926EE"/>
    <w:rsid w:val="000977AE"/>
    <w:rsid w:val="000A3ADA"/>
    <w:rsid w:val="000A4AF8"/>
    <w:rsid w:val="000A7337"/>
    <w:rsid w:val="000B1484"/>
    <w:rsid w:val="000C090F"/>
    <w:rsid w:val="000C4DD0"/>
    <w:rsid w:val="000C6B17"/>
    <w:rsid w:val="000D53E8"/>
    <w:rsid w:val="000F28DB"/>
    <w:rsid w:val="000F5D98"/>
    <w:rsid w:val="00102E05"/>
    <w:rsid w:val="00107452"/>
    <w:rsid w:val="001152D3"/>
    <w:rsid w:val="00115D86"/>
    <w:rsid w:val="00124F8E"/>
    <w:rsid w:val="00127892"/>
    <w:rsid w:val="00130A26"/>
    <w:rsid w:val="00132178"/>
    <w:rsid w:val="0013337D"/>
    <w:rsid w:val="001338C9"/>
    <w:rsid w:val="001351A4"/>
    <w:rsid w:val="00144DC1"/>
    <w:rsid w:val="00151A6F"/>
    <w:rsid w:val="00160711"/>
    <w:rsid w:val="0016196D"/>
    <w:rsid w:val="00164FA5"/>
    <w:rsid w:val="001674F9"/>
    <w:rsid w:val="00180BD9"/>
    <w:rsid w:val="00183A4B"/>
    <w:rsid w:val="00193111"/>
    <w:rsid w:val="001A4EE7"/>
    <w:rsid w:val="001B68C5"/>
    <w:rsid w:val="001B7CCD"/>
    <w:rsid w:val="001C0D9D"/>
    <w:rsid w:val="001C1FAF"/>
    <w:rsid w:val="001C4729"/>
    <w:rsid w:val="001C5315"/>
    <w:rsid w:val="001C77CB"/>
    <w:rsid w:val="001D3465"/>
    <w:rsid w:val="001D5762"/>
    <w:rsid w:val="001E7AD1"/>
    <w:rsid w:val="00203EF0"/>
    <w:rsid w:val="00214928"/>
    <w:rsid w:val="00224A99"/>
    <w:rsid w:val="0022640B"/>
    <w:rsid w:val="00232D72"/>
    <w:rsid w:val="00243B8B"/>
    <w:rsid w:val="002467D0"/>
    <w:rsid w:val="002506EF"/>
    <w:rsid w:val="0025781F"/>
    <w:rsid w:val="00273884"/>
    <w:rsid w:val="00276F0B"/>
    <w:rsid w:val="002820CD"/>
    <w:rsid w:val="00287428"/>
    <w:rsid w:val="00294DE7"/>
    <w:rsid w:val="002973DF"/>
    <w:rsid w:val="002A023E"/>
    <w:rsid w:val="002A5342"/>
    <w:rsid w:val="002B01C5"/>
    <w:rsid w:val="002B3689"/>
    <w:rsid w:val="002B6E2F"/>
    <w:rsid w:val="002C0A60"/>
    <w:rsid w:val="002C2CC5"/>
    <w:rsid w:val="002C6EC3"/>
    <w:rsid w:val="002D712E"/>
    <w:rsid w:val="002E48ED"/>
    <w:rsid w:val="002E4C89"/>
    <w:rsid w:val="002E6148"/>
    <w:rsid w:val="002E67C3"/>
    <w:rsid w:val="002F0ECB"/>
    <w:rsid w:val="00306316"/>
    <w:rsid w:val="00306788"/>
    <w:rsid w:val="0031208F"/>
    <w:rsid w:val="003121C8"/>
    <w:rsid w:val="003165AC"/>
    <w:rsid w:val="0032211A"/>
    <w:rsid w:val="00327A5A"/>
    <w:rsid w:val="003324E7"/>
    <w:rsid w:val="00332AEE"/>
    <w:rsid w:val="00333465"/>
    <w:rsid w:val="00337C51"/>
    <w:rsid w:val="00346C9D"/>
    <w:rsid w:val="0034704B"/>
    <w:rsid w:val="003539CD"/>
    <w:rsid w:val="00357C92"/>
    <w:rsid w:val="00367E31"/>
    <w:rsid w:val="003723F8"/>
    <w:rsid w:val="00374623"/>
    <w:rsid w:val="00381AD1"/>
    <w:rsid w:val="00384BA9"/>
    <w:rsid w:val="003A262E"/>
    <w:rsid w:val="003C1746"/>
    <w:rsid w:val="003D15E0"/>
    <w:rsid w:val="003D6BB3"/>
    <w:rsid w:val="003F6150"/>
    <w:rsid w:val="00411549"/>
    <w:rsid w:val="0041304A"/>
    <w:rsid w:val="004258A9"/>
    <w:rsid w:val="00435215"/>
    <w:rsid w:val="00437CBD"/>
    <w:rsid w:val="00440AE4"/>
    <w:rsid w:val="00442ABF"/>
    <w:rsid w:val="00442DFA"/>
    <w:rsid w:val="00446601"/>
    <w:rsid w:val="00447462"/>
    <w:rsid w:val="00447C08"/>
    <w:rsid w:val="004523EF"/>
    <w:rsid w:val="00473BEA"/>
    <w:rsid w:val="0049440D"/>
    <w:rsid w:val="00495F01"/>
    <w:rsid w:val="00495F9B"/>
    <w:rsid w:val="004B0425"/>
    <w:rsid w:val="004B3777"/>
    <w:rsid w:val="004B3CFD"/>
    <w:rsid w:val="004C0628"/>
    <w:rsid w:val="004C4883"/>
    <w:rsid w:val="004C698F"/>
    <w:rsid w:val="004D4BBA"/>
    <w:rsid w:val="004E0EEB"/>
    <w:rsid w:val="004E15F2"/>
    <w:rsid w:val="004E4BCD"/>
    <w:rsid w:val="004E6864"/>
    <w:rsid w:val="004F6DEF"/>
    <w:rsid w:val="004F7B9A"/>
    <w:rsid w:val="0050273B"/>
    <w:rsid w:val="00504507"/>
    <w:rsid w:val="005065AF"/>
    <w:rsid w:val="00514D7D"/>
    <w:rsid w:val="0052058D"/>
    <w:rsid w:val="0052450A"/>
    <w:rsid w:val="005333DC"/>
    <w:rsid w:val="00542C46"/>
    <w:rsid w:val="00547A27"/>
    <w:rsid w:val="005513F5"/>
    <w:rsid w:val="005537AB"/>
    <w:rsid w:val="00557F7C"/>
    <w:rsid w:val="00565A8C"/>
    <w:rsid w:val="00581EC2"/>
    <w:rsid w:val="00587577"/>
    <w:rsid w:val="00591F47"/>
    <w:rsid w:val="005964E1"/>
    <w:rsid w:val="005A7E1E"/>
    <w:rsid w:val="005B15AC"/>
    <w:rsid w:val="005B2D14"/>
    <w:rsid w:val="005B6358"/>
    <w:rsid w:val="005C30D4"/>
    <w:rsid w:val="005D413F"/>
    <w:rsid w:val="005D58FC"/>
    <w:rsid w:val="005D61D6"/>
    <w:rsid w:val="005D6292"/>
    <w:rsid w:val="005E0D15"/>
    <w:rsid w:val="005F051A"/>
    <w:rsid w:val="005F5E39"/>
    <w:rsid w:val="00620CCC"/>
    <w:rsid w:val="0062115F"/>
    <w:rsid w:val="00622C8B"/>
    <w:rsid w:val="006243F8"/>
    <w:rsid w:val="00635517"/>
    <w:rsid w:val="00644ACF"/>
    <w:rsid w:val="006457EC"/>
    <w:rsid w:val="006537B4"/>
    <w:rsid w:val="006628DB"/>
    <w:rsid w:val="006649E0"/>
    <w:rsid w:val="0066578B"/>
    <w:rsid w:val="0067397A"/>
    <w:rsid w:val="0067707E"/>
    <w:rsid w:val="00691D14"/>
    <w:rsid w:val="006A3832"/>
    <w:rsid w:val="006A42FD"/>
    <w:rsid w:val="006A442E"/>
    <w:rsid w:val="006B4E7B"/>
    <w:rsid w:val="006C05F1"/>
    <w:rsid w:val="006C73C7"/>
    <w:rsid w:val="006D39EF"/>
    <w:rsid w:val="006F2CC3"/>
    <w:rsid w:val="006F3B1D"/>
    <w:rsid w:val="006F5337"/>
    <w:rsid w:val="006F5FCB"/>
    <w:rsid w:val="00701825"/>
    <w:rsid w:val="007032D0"/>
    <w:rsid w:val="0070403D"/>
    <w:rsid w:val="007040BF"/>
    <w:rsid w:val="007163D2"/>
    <w:rsid w:val="00725495"/>
    <w:rsid w:val="00732788"/>
    <w:rsid w:val="00732E54"/>
    <w:rsid w:val="00737377"/>
    <w:rsid w:val="007435E2"/>
    <w:rsid w:val="00745DF4"/>
    <w:rsid w:val="00747654"/>
    <w:rsid w:val="0076086E"/>
    <w:rsid w:val="007640E4"/>
    <w:rsid w:val="00774915"/>
    <w:rsid w:val="00776144"/>
    <w:rsid w:val="007816FB"/>
    <w:rsid w:val="00785B31"/>
    <w:rsid w:val="0079047C"/>
    <w:rsid w:val="00793567"/>
    <w:rsid w:val="007935EB"/>
    <w:rsid w:val="00797E05"/>
    <w:rsid w:val="007A5A15"/>
    <w:rsid w:val="007B1374"/>
    <w:rsid w:val="007B3390"/>
    <w:rsid w:val="007B5FAF"/>
    <w:rsid w:val="007C1BB0"/>
    <w:rsid w:val="007D23BF"/>
    <w:rsid w:val="007E7D99"/>
    <w:rsid w:val="007F3B79"/>
    <w:rsid w:val="008037BA"/>
    <w:rsid w:val="00806BF3"/>
    <w:rsid w:val="00821F1C"/>
    <w:rsid w:val="00822774"/>
    <w:rsid w:val="00824F54"/>
    <w:rsid w:val="00826CAC"/>
    <w:rsid w:val="00842139"/>
    <w:rsid w:val="008432E0"/>
    <w:rsid w:val="00843C20"/>
    <w:rsid w:val="008520E2"/>
    <w:rsid w:val="00854AB8"/>
    <w:rsid w:val="00862297"/>
    <w:rsid w:val="0087230D"/>
    <w:rsid w:val="0087703F"/>
    <w:rsid w:val="00883114"/>
    <w:rsid w:val="00884E25"/>
    <w:rsid w:val="00886628"/>
    <w:rsid w:val="008876BA"/>
    <w:rsid w:val="00893643"/>
    <w:rsid w:val="008A56BC"/>
    <w:rsid w:val="008B6C8F"/>
    <w:rsid w:val="008D356E"/>
    <w:rsid w:val="008D3B5B"/>
    <w:rsid w:val="008D4BDF"/>
    <w:rsid w:val="008D56F7"/>
    <w:rsid w:val="008D5A4D"/>
    <w:rsid w:val="008D7B75"/>
    <w:rsid w:val="008E2052"/>
    <w:rsid w:val="008E2516"/>
    <w:rsid w:val="008E5C86"/>
    <w:rsid w:val="008E794C"/>
    <w:rsid w:val="008F20A7"/>
    <w:rsid w:val="0090260E"/>
    <w:rsid w:val="009061F6"/>
    <w:rsid w:val="0091753F"/>
    <w:rsid w:val="0092596B"/>
    <w:rsid w:val="009330A6"/>
    <w:rsid w:val="0094034A"/>
    <w:rsid w:val="00943F82"/>
    <w:rsid w:val="00945436"/>
    <w:rsid w:val="00946E6A"/>
    <w:rsid w:val="00962070"/>
    <w:rsid w:val="009709C0"/>
    <w:rsid w:val="00973DAC"/>
    <w:rsid w:val="009777A2"/>
    <w:rsid w:val="00981365"/>
    <w:rsid w:val="00987EA3"/>
    <w:rsid w:val="00995EC9"/>
    <w:rsid w:val="00995F60"/>
    <w:rsid w:val="009A23D1"/>
    <w:rsid w:val="009A3499"/>
    <w:rsid w:val="009B1A82"/>
    <w:rsid w:val="009B22A9"/>
    <w:rsid w:val="009E59B8"/>
    <w:rsid w:val="009F2D73"/>
    <w:rsid w:val="009F368D"/>
    <w:rsid w:val="00A02689"/>
    <w:rsid w:val="00A02707"/>
    <w:rsid w:val="00A03ABE"/>
    <w:rsid w:val="00A12A8D"/>
    <w:rsid w:val="00A16D8F"/>
    <w:rsid w:val="00A26E46"/>
    <w:rsid w:val="00A35A51"/>
    <w:rsid w:val="00A401D6"/>
    <w:rsid w:val="00A45E7B"/>
    <w:rsid w:val="00A61E58"/>
    <w:rsid w:val="00A6343D"/>
    <w:rsid w:val="00A646B8"/>
    <w:rsid w:val="00A77F43"/>
    <w:rsid w:val="00A83469"/>
    <w:rsid w:val="00A85E2E"/>
    <w:rsid w:val="00A87660"/>
    <w:rsid w:val="00A87C47"/>
    <w:rsid w:val="00A9444B"/>
    <w:rsid w:val="00A979CD"/>
    <w:rsid w:val="00AB4DED"/>
    <w:rsid w:val="00AC1DFE"/>
    <w:rsid w:val="00AC771D"/>
    <w:rsid w:val="00AD1BDE"/>
    <w:rsid w:val="00AD253C"/>
    <w:rsid w:val="00AE4BC7"/>
    <w:rsid w:val="00AE52B7"/>
    <w:rsid w:val="00B0251D"/>
    <w:rsid w:val="00B02AD8"/>
    <w:rsid w:val="00B04019"/>
    <w:rsid w:val="00B2380E"/>
    <w:rsid w:val="00B23C18"/>
    <w:rsid w:val="00B27096"/>
    <w:rsid w:val="00B359F3"/>
    <w:rsid w:val="00B42623"/>
    <w:rsid w:val="00B430B4"/>
    <w:rsid w:val="00B44328"/>
    <w:rsid w:val="00B502B2"/>
    <w:rsid w:val="00B545BA"/>
    <w:rsid w:val="00B61D77"/>
    <w:rsid w:val="00B634CE"/>
    <w:rsid w:val="00B77768"/>
    <w:rsid w:val="00B84585"/>
    <w:rsid w:val="00B95A1F"/>
    <w:rsid w:val="00BA0A07"/>
    <w:rsid w:val="00BA3DD0"/>
    <w:rsid w:val="00BA7405"/>
    <w:rsid w:val="00BC25DE"/>
    <w:rsid w:val="00BC3D76"/>
    <w:rsid w:val="00BD0F87"/>
    <w:rsid w:val="00BD418C"/>
    <w:rsid w:val="00BD49CC"/>
    <w:rsid w:val="00BF191A"/>
    <w:rsid w:val="00BF43CF"/>
    <w:rsid w:val="00BF4DD5"/>
    <w:rsid w:val="00BF5BAA"/>
    <w:rsid w:val="00BF61E5"/>
    <w:rsid w:val="00C009AB"/>
    <w:rsid w:val="00C0284F"/>
    <w:rsid w:val="00C0326D"/>
    <w:rsid w:val="00C05673"/>
    <w:rsid w:val="00C05C74"/>
    <w:rsid w:val="00C05E37"/>
    <w:rsid w:val="00C15213"/>
    <w:rsid w:val="00C17E11"/>
    <w:rsid w:val="00C21AC8"/>
    <w:rsid w:val="00C25585"/>
    <w:rsid w:val="00C2665E"/>
    <w:rsid w:val="00C32B56"/>
    <w:rsid w:val="00C33C9D"/>
    <w:rsid w:val="00C3426B"/>
    <w:rsid w:val="00C3453D"/>
    <w:rsid w:val="00C40AFC"/>
    <w:rsid w:val="00C42685"/>
    <w:rsid w:val="00C4610D"/>
    <w:rsid w:val="00C50026"/>
    <w:rsid w:val="00C54C11"/>
    <w:rsid w:val="00C63563"/>
    <w:rsid w:val="00C80040"/>
    <w:rsid w:val="00C81928"/>
    <w:rsid w:val="00C86017"/>
    <w:rsid w:val="00C86072"/>
    <w:rsid w:val="00C86C22"/>
    <w:rsid w:val="00C902DB"/>
    <w:rsid w:val="00C92A8B"/>
    <w:rsid w:val="00C967F5"/>
    <w:rsid w:val="00CA6EB8"/>
    <w:rsid w:val="00CB5655"/>
    <w:rsid w:val="00CB5B9E"/>
    <w:rsid w:val="00CB5D3E"/>
    <w:rsid w:val="00CC3973"/>
    <w:rsid w:val="00CC58BA"/>
    <w:rsid w:val="00CD0440"/>
    <w:rsid w:val="00CD0D43"/>
    <w:rsid w:val="00CD27BE"/>
    <w:rsid w:val="00CD37F2"/>
    <w:rsid w:val="00CD45AD"/>
    <w:rsid w:val="00CD5373"/>
    <w:rsid w:val="00CE5040"/>
    <w:rsid w:val="00CE6B21"/>
    <w:rsid w:val="00CF0219"/>
    <w:rsid w:val="00CF3BF1"/>
    <w:rsid w:val="00CF5817"/>
    <w:rsid w:val="00CF704F"/>
    <w:rsid w:val="00D0379C"/>
    <w:rsid w:val="00D101E5"/>
    <w:rsid w:val="00D21C6E"/>
    <w:rsid w:val="00D26742"/>
    <w:rsid w:val="00D26941"/>
    <w:rsid w:val="00D27A04"/>
    <w:rsid w:val="00D30CFC"/>
    <w:rsid w:val="00D40B4C"/>
    <w:rsid w:val="00D40C92"/>
    <w:rsid w:val="00D413C0"/>
    <w:rsid w:val="00D4432B"/>
    <w:rsid w:val="00D61405"/>
    <w:rsid w:val="00D63E64"/>
    <w:rsid w:val="00D64373"/>
    <w:rsid w:val="00D6449B"/>
    <w:rsid w:val="00D675F4"/>
    <w:rsid w:val="00D71C0D"/>
    <w:rsid w:val="00D71CF9"/>
    <w:rsid w:val="00D763F0"/>
    <w:rsid w:val="00D80741"/>
    <w:rsid w:val="00D84DB8"/>
    <w:rsid w:val="00D910DB"/>
    <w:rsid w:val="00D95240"/>
    <w:rsid w:val="00DB1F3D"/>
    <w:rsid w:val="00DB488F"/>
    <w:rsid w:val="00DC5848"/>
    <w:rsid w:val="00DD30CA"/>
    <w:rsid w:val="00DD4494"/>
    <w:rsid w:val="00DD4BDB"/>
    <w:rsid w:val="00DE2AF4"/>
    <w:rsid w:val="00DE7274"/>
    <w:rsid w:val="00DF0498"/>
    <w:rsid w:val="00DF0924"/>
    <w:rsid w:val="00DF6613"/>
    <w:rsid w:val="00E02557"/>
    <w:rsid w:val="00E13519"/>
    <w:rsid w:val="00E23428"/>
    <w:rsid w:val="00E245B6"/>
    <w:rsid w:val="00E333CD"/>
    <w:rsid w:val="00E45833"/>
    <w:rsid w:val="00E62761"/>
    <w:rsid w:val="00E63281"/>
    <w:rsid w:val="00E75241"/>
    <w:rsid w:val="00E82926"/>
    <w:rsid w:val="00E866EC"/>
    <w:rsid w:val="00E91B34"/>
    <w:rsid w:val="00E923AB"/>
    <w:rsid w:val="00E95C1F"/>
    <w:rsid w:val="00EA6A17"/>
    <w:rsid w:val="00EB325F"/>
    <w:rsid w:val="00ED47CC"/>
    <w:rsid w:val="00EE18E6"/>
    <w:rsid w:val="00EF63B3"/>
    <w:rsid w:val="00F01AE3"/>
    <w:rsid w:val="00F03C27"/>
    <w:rsid w:val="00F05751"/>
    <w:rsid w:val="00F05C7F"/>
    <w:rsid w:val="00F24ABA"/>
    <w:rsid w:val="00F30434"/>
    <w:rsid w:val="00F346F6"/>
    <w:rsid w:val="00F47B63"/>
    <w:rsid w:val="00F47D95"/>
    <w:rsid w:val="00F53DBF"/>
    <w:rsid w:val="00F57453"/>
    <w:rsid w:val="00F603A2"/>
    <w:rsid w:val="00F659B9"/>
    <w:rsid w:val="00F8448D"/>
    <w:rsid w:val="00F844A6"/>
    <w:rsid w:val="00F85992"/>
    <w:rsid w:val="00F97094"/>
    <w:rsid w:val="00FA0C3C"/>
    <w:rsid w:val="00FA484A"/>
    <w:rsid w:val="00FA7EC1"/>
    <w:rsid w:val="00FB44BC"/>
    <w:rsid w:val="00FD44F1"/>
    <w:rsid w:val="00FF3BC3"/>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7026798B-76AA-4927-9E0C-A3F5AF51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63"/>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05"/>
    <w:pPr>
      <w:ind w:left="720"/>
      <w:contextualSpacing/>
    </w:pPr>
  </w:style>
  <w:style w:type="paragraph" w:styleId="FootnoteText">
    <w:name w:val="footnote text"/>
    <w:basedOn w:val="Normal"/>
    <w:link w:val="FootnoteTextChar"/>
    <w:uiPriority w:val="99"/>
    <w:semiHidden/>
    <w:unhideWhenUsed/>
    <w:rsid w:val="008432E0"/>
    <w:pPr>
      <w:spacing w:after="0" w:line="240" w:lineRule="auto"/>
    </w:pPr>
    <w:rPr>
      <w:sz w:val="20"/>
      <w:szCs w:val="20"/>
    </w:rPr>
  </w:style>
  <w:style w:type="character" w:customStyle="1" w:styleId="FootnoteTextChar">
    <w:name w:val="Footnote Text Char"/>
    <w:link w:val="FootnoteText"/>
    <w:uiPriority w:val="99"/>
    <w:semiHidden/>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semiHidden/>
    <w:unhideWhenUsed/>
    <w:rsid w:val="00C25585"/>
    <w:pPr>
      <w:spacing w:line="240" w:lineRule="auto"/>
    </w:pPr>
    <w:rPr>
      <w:sz w:val="20"/>
      <w:szCs w:val="20"/>
    </w:rPr>
  </w:style>
  <w:style w:type="character" w:customStyle="1" w:styleId="CommentTextChar">
    <w:name w:val="Comment Text Char"/>
    <w:link w:val="CommentText"/>
    <w:uiPriority w:val="99"/>
    <w:semiHidden/>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paragraph" w:styleId="EndnoteText">
    <w:name w:val="endnote text"/>
    <w:basedOn w:val="Normal"/>
    <w:link w:val="EndnoteTextChar"/>
    <w:uiPriority w:val="99"/>
    <w:semiHidden/>
    <w:unhideWhenUsed/>
    <w:rsid w:val="00333465"/>
    <w:rPr>
      <w:sz w:val="20"/>
      <w:szCs w:val="20"/>
    </w:rPr>
  </w:style>
  <w:style w:type="character" w:customStyle="1" w:styleId="EndnoteTextChar">
    <w:name w:val="Endnote Text Char"/>
    <w:basedOn w:val="DefaultParagraphFont"/>
    <w:link w:val="EndnoteText"/>
    <w:uiPriority w:val="99"/>
    <w:semiHidden/>
    <w:rsid w:val="00333465"/>
  </w:style>
  <w:style w:type="character" w:styleId="EndnoteReference">
    <w:name w:val="endnote reference"/>
    <w:uiPriority w:val="99"/>
    <w:semiHidden/>
    <w:unhideWhenUsed/>
    <w:rsid w:val="00333465"/>
    <w:rPr>
      <w:vertAlign w:val="superscript"/>
    </w:rPr>
  </w:style>
  <w:style w:type="paragraph" w:customStyle="1" w:styleId="Body">
    <w:name w:val="Body"/>
    <w:rsid w:val="005513F5"/>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paragraph" w:customStyle="1" w:styleId="DoubleSpaceParagaph">
    <w:name w:val="Double Space Paragaph"/>
    <w:rsid w:val="005513F5"/>
    <w:pPr>
      <w:pBdr>
        <w:top w:val="nil"/>
        <w:left w:val="nil"/>
        <w:bottom w:val="nil"/>
        <w:right w:val="nil"/>
        <w:between w:val="nil"/>
        <w:bar w:val="nil"/>
      </w:pBdr>
      <w:suppressAutoHyphens/>
      <w:spacing w:line="480" w:lineRule="auto"/>
      <w:ind w:firstLine="1440"/>
      <w:jc w:val="both"/>
    </w:pPr>
    <w:rPr>
      <w:rFonts w:ascii="Times New Roman" w:eastAsia="Arial Unicode MS" w:hAnsi="Times New Roman" w:cs="Arial Unicode MS"/>
      <w:color w:val="000000"/>
      <w:sz w:val="24"/>
      <w:szCs w:val="24"/>
      <w:u w:color="000000"/>
      <w:bdr w:val="nil"/>
    </w:rPr>
  </w:style>
  <w:style w:type="character" w:styleId="LineNumber">
    <w:name w:val="line number"/>
    <w:uiPriority w:val="99"/>
    <w:semiHidden/>
    <w:unhideWhenUsed/>
    <w:rsid w:val="004E6864"/>
  </w:style>
  <w:style w:type="paragraph" w:styleId="BodyText">
    <w:name w:val="Body Text"/>
    <w:basedOn w:val="Normal"/>
    <w:link w:val="BodyTextChar"/>
    <w:uiPriority w:val="99"/>
    <w:semiHidden/>
    <w:unhideWhenUsed/>
    <w:rsid w:val="00214928"/>
    <w:pPr>
      <w:spacing w:after="120"/>
    </w:pPr>
  </w:style>
  <w:style w:type="character" w:customStyle="1" w:styleId="BodyTextChar">
    <w:name w:val="Body Text Char"/>
    <w:link w:val="BodyText"/>
    <w:uiPriority w:val="99"/>
    <w:semiHidden/>
    <w:rsid w:val="00214928"/>
    <w:rPr>
      <w:sz w:val="22"/>
      <w:szCs w:val="22"/>
    </w:rPr>
  </w:style>
  <w:style w:type="paragraph" w:styleId="Revision">
    <w:name w:val="Revision"/>
    <w:hidden/>
    <w:uiPriority w:val="99"/>
    <w:semiHidden/>
    <w:rsid w:val="001B68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3495">
      <w:bodyDiv w:val="1"/>
      <w:marLeft w:val="0"/>
      <w:marRight w:val="0"/>
      <w:marTop w:val="0"/>
      <w:marBottom w:val="0"/>
      <w:divBdr>
        <w:top w:val="none" w:sz="0" w:space="0" w:color="auto"/>
        <w:left w:val="none" w:sz="0" w:space="0" w:color="auto"/>
        <w:bottom w:val="none" w:sz="0" w:space="0" w:color="auto"/>
        <w:right w:val="none" w:sz="0" w:space="0" w:color="auto"/>
      </w:divBdr>
    </w:div>
    <w:div w:id="437457547">
      <w:bodyDiv w:val="1"/>
      <w:marLeft w:val="0"/>
      <w:marRight w:val="0"/>
      <w:marTop w:val="0"/>
      <w:marBottom w:val="0"/>
      <w:divBdr>
        <w:top w:val="none" w:sz="0" w:space="0" w:color="auto"/>
        <w:left w:val="none" w:sz="0" w:space="0" w:color="auto"/>
        <w:bottom w:val="none" w:sz="0" w:space="0" w:color="auto"/>
        <w:right w:val="none" w:sz="0" w:space="0" w:color="auto"/>
      </w:divBdr>
    </w:div>
    <w:div w:id="579562782">
      <w:bodyDiv w:val="1"/>
      <w:marLeft w:val="0"/>
      <w:marRight w:val="0"/>
      <w:marTop w:val="0"/>
      <w:marBottom w:val="0"/>
      <w:divBdr>
        <w:top w:val="none" w:sz="0" w:space="0" w:color="auto"/>
        <w:left w:val="none" w:sz="0" w:space="0" w:color="auto"/>
        <w:bottom w:val="none" w:sz="0" w:space="0" w:color="auto"/>
        <w:right w:val="none" w:sz="0" w:space="0" w:color="auto"/>
      </w:divBdr>
    </w:div>
    <w:div w:id="602609624">
      <w:bodyDiv w:val="1"/>
      <w:marLeft w:val="0"/>
      <w:marRight w:val="0"/>
      <w:marTop w:val="0"/>
      <w:marBottom w:val="0"/>
      <w:divBdr>
        <w:top w:val="none" w:sz="0" w:space="0" w:color="auto"/>
        <w:left w:val="none" w:sz="0" w:space="0" w:color="auto"/>
        <w:bottom w:val="none" w:sz="0" w:space="0" w:color="auto"/>
        <w:right w:val="none" w:sz="0" w:space="0" w:color="auto"/>
      </w:divBdr>
    </w:div>
    <w:div w:id="611862173">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7802711">
      <w:bodyDiv w:val="1"/>
      <w:marLeft w:val="0"/>
      <w:marRight w:val="0"/>
      <w:marTop w:val="0"/>
      <w:marBottom w:val="0"/>
      <w:divBdr>
        <w:top w:val="none" w:sz="0" w:space="0" w:color="auto"/>
        <w:left w:val="none" w:sz="0" w:space="0" w:color="auto"/>
        <w:bottom w:val="none" w:sz="0" w:space="0" w:color="auto"/>
        <w:right w:val="none" w:sz="0" w:space="0" w:color="auto"/>
      </w:divBdr>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2075739561">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malegislature.gov/Laws/GeneralLaws/PartIII/TitleIV/Chapter255D/Section10A" TargetMode="External"/><Relationship Id="rId13" Type="http://schemas.openxmlformats.org/officeDocument/2006/relationships/hyperlink" Target="http://gothamist.com/2018/11/28/cashless_restaurants_nyc.php" TargetMode="External"/><Relationship Id="rId18" Type="http://schemas.openxmlformats.org/officeDocument/2006/relationships/hyperlink" Target="https://www.nerdwallet.com/blog/credit-cards/credit-cards-make-you-spend-more/" TargetMode="External"/><Relationship Id="rId3" Type="http://schemas.openxmlformats.org/officeDocument/2006/relationships/hyperlink" Target="https://www.amny.com/news/many-new-yorkers-lack-bank-accounts-and-emergency-savings-says-new-report-1.10905642" TargetMode="External"/><Relationship Id="rId7" Type="http://schemas.openxmlformats.org/officeDocument/2006/relationships/hyperlink" Target="https://www.eater.com/2018/2/15/16974980/cashless-restaurants-credit-card-only-legal-problem-discriminatory" TargetMode="External"/><Relationship Id="rId12" Type="http://schemas.openxmlformats.org/officeDocument/2006/relationships/hyperlink" Target="https://chicago.legistar.com/LegislationDetail.aspx?ID=3184725&amp;GUID=06C6F98D-8311-4DA2-93E2-D8E75B84D737&amp;Options=Advanced&amp;Search" TargetMode="External"/><Relationship Id="rId17" Type="http://schemas.openxmlformats.org/officeDocument/2006/relationships/hyperlink" Target="https://www.nytimes.com/2016/07/17/business/paying-with-cash-hurts-thats-also-why-it-feels-so-good.html?module=inline" TargetMode="External"/><Relationship Id="rId2" Type="http://schemas.openxmlformats.org/officeDocument/2006/relationships/hyperlink" Target="https://www.urban.org/sites/default/files/publication/71511/2000430-Where-Are-the-Unbanked-and-Underbanked-in-New-York-City.pdf" TargetMode="External"/><Relationship Id="rId16" Type="http://schemas.openxmlformats.org/officeDocument/2006/relationships/hyperlink" Target="https://www.nytimes.com/2018/12/06/nyregion/how-the-cashless-economy-shuts-out-the-poor.html" TargetMode="External"/><Relationship Id="rId20" Type="http://schemas.openxmlformats.org/officeDocument/2006/relationships/hyperlink" Target="https://www.nbcnews.com/business/consumer/war-cash-intensifies-visa-offers-restaurants-10-000-go-cashless-n782276" TargetMode="External"/><Relationship Id="rId1" Type="http://schemas.openxmlformats.org/officeDocument/2006/relationships/hyperlink" Target="https://www.nytimes.com/2016/07/31/business/where-a-suitcase-full-of-cash-wont-buy-you-lunch.html" TargetMode="External"/><Relationship Id="rId6" Type="http://schemas.openxmlformats.org/officeDocument/2006/relationships/hyperlink" Target="https://www.nydailynews.com/new-york/immigrants-city-choose-non-bank-options-article-1.2127910" TargetMode="External"/><Relationship Id="rId11" Type="http://schemas.openxmlformats.org/officeDocument/2006/relationships/hyperlink" Target="https://sfgov.legistar.com/View.ashx?M=F&amp;ID=7203773&amp;GUID=AB84EC24-3D9F-47ED-BBD2-D0E28024E1C4" TargetMode="External"/><Relationship Id="rId5" Type="http://schemas.openxmlformats.org/officeDocument/2006/relationships/hyperlink" Target="https://thefinancialclinic.org/wp-content/uploads/2016/12/Banking-Security-and-DV-Survivors.pdf" TargetMode="External"/><Relationship Id="rId15" Type="http://schemas.openxmlformats.org/officeDocument/2006/relationships/hyperlink" Target="https://www.eater.com/2018/2/15/16974980/cashless-restaurants-credit-card-only-legal-problem-discriminatory" TargetMode="External"/><Relationship Id="rId10" Type="http://schemas.openxmlformats.org/officeDocument/2006/relationships/hyperlink" Target="https://phila.legistar.com/LegislationDetail.aspx?ID=3710586&amp;GUID=FD85947F-8151-4DB5-9949-AF6FEF14A9C9&amp;Options=ID|Text|&amp;Search=cashless" TargetMode="External"/><Relationship Id="rId19" Type="http://schemas.openxmlformats.org/officeDocument/2006/relationships/hyperlink" Target="https://www.rd.com/advice/saving-money/pay-with-cash/" TargetMode="External"/><Relationship Id="rId4" Type="http://schemas.openxmlformats.org/officeDocument/2006/relationships/hyperlink" Target="https://www.americanprogress.org/issues/economy/reports/2014/10/30/99967/millions-of-americans-are-outside-the-financial-system/" TargetMode="External"/><Relationship Id="rId9" Type="http://schemas.openxmlformats.org/officeDocument/2006/relationships/hyperlink" Target="https://www.njleg.state.nj.us/2018/Bills/PL19/50_.PDF" TargetMode="External"/><Relationship Id="rId14" Type="http://schemas.openxmlformats.org/officeDocument/2006/relationships/hyperlink" Target="https://www.cnbc.com/2018/12/13/nyc-nj-target-cashless-businesses-alleging-bias-against-the-poor.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596059113300489E-2"/>
          <c:y val="0.10784313725490197"/>
          <c:w val="0.8834154351395731"/>
          <c:h val="0.55392156862745101"/>
        </c:manualLayout>
      </c:layout>
      <c:barChart>
        <c:barDir val="col"/>
        <c:grouping val="clustered"/>
        <c:varyColors val="0"/>
        <c:ser>
          <c:idx val="0"/>
          <c:order val="0"/>
          <c:tx>
            <c:strRef>
              <c:f>Sheet1!$A$2</c:f>
              <c:strCache>
                <c:ptCount val="1"/>
                <c:pt idx="0">
                  <c:v>Unemployed population</c:v>
                </c:pt>
              </c:strCache>
            </c:strRef>
          </c:tx>
          <c:spPr>
            <a:pattFill prst="ltVert">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Sheet1!$B$2:$G$2</c:f>
              <c:numCache>
                <c:formatCode>General</c:formatCode>
                <c:ptCount val="6"/>
                <c:pt idx="0">
                  <c:v>8.6999999999999993</c:v>
                </c:pt>
                <c:pt idx="1">
                  <c:v>9.4</c:v>
                </c:pt>
                <c:pt idx="2">
                  <c:v>11.8</c:v>
                </c:pt>
                <c:pt idx="3">
                  <c:v>7.2</c:v>
                </c:pt>
                <c:pt idx="4">
                  <c:v>7.8</c:v>
                </c:pt>
                <c:pt idx="5">
                  <c:v>7.8</c:v>
                </c:pt>
              </c:numCache>
            </c:numRef>
          </c:val>
          <c:extLst>
            <c:ext xmlns:c16="http://schemas.microsoft.com/office/drawing/2014/chart" uri="{C3380CC4-5D6E-409C-BE32-E72D297353CC}">
              <c16:uniqueId val="{00000000-CDA0-435D-9AED-84A02F204D34}"/>
            </c:ext>
          </c:extLst>
        </c:ser>
        <c:ser>
          <c:idx val="1"/>
          <c:order val="1"/>
          <c:tx>
            <c:strRef>
              <c:f>Sheet1!$A$3</c:f>
              <c:strCache>
                <c:ptCount val="1"/>
                <c:pt idx="0">
                  <c:v>Families living in poverty</c:v>
                </c:pt>
              </c:strCache>
            </c:strRef>
          </c:tx>
          <c:spPr>
            <a:pattFill prst="pct80">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Sheet1!$B$3:$G$3</c:f>
              <c:numCache>
                <c:formatCode>General</c:formatCode>
                <c:ptCount val="6"/>
                <c:pt idx="0">
                  <c:v>17.5</c:v>
                </c:pt>
                <c:pt idx="1">
                  <c:v>19.5</c:v>
                </c:pt>
                <c:pt idx="2">
                  <c:v>27.6</c:v>
                </c:pt>
                <c:pt idx="3">
                  <c:v>14.8</c:v>
                </c:pt>
                <c:pt idx="4">
                  <c:v>12.3</c:v>
                </c:pt>
                <c:pt idx="5">
                  <c:v>10.3</c:v>
                </c:pt>
              </c:numCache>
            </c:numRef>
          </c:val>
          <c:extLst>
            <c:ext xmlns:c16="http://schemas.microsoft.com/office/drawing/2014/chart" uri="{C3380CC4-5D6E-409C-BE32-E72D297353CC}">
              <c16:uniqueId val="{00000001-CDA0-435D-9AED-84A02F204D34}"/>
            </c:ext>
          </c:extLst>
        </c:ser>
        <c:ser>
          <c:idx val="2"/>
          <c:order val="2"/>
          <c:tx>
            <c:strRef>
              <c:f>Sheet1!$A$4</c:f>
              <c:strCache>
                <c:ptCount val="1"/>
                <c:pt idx="0">
                  <c:v>Unbanked</c:v>
                </c:pt>
              </c:strCache>
            </c:strRef>
          </c:tx>
          <c:spPr>
            <a:pattFill prst="ltUpDiag">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Sheet1!$B$4:$G$4</c:f>
              <c:numCache>
                <c:formatCode>General</c:formatCode>
                <c:ptCount val="6"/>
                <c:pt idx="0">
                  <c:v>11.7</c:v>
                </c:pt>
                <c:pt idx="1">
                  <c:v>12.7</c:v>
                </c:pt>
                <c:pt idx="2">
                  <c:v>21.8</c:v>
                </c:pt>
                <c:pt idx="3">
                  <c:v>8.8000000000000007</c:v>
                </c:pt>
                <c:pt idx="4">
                  <c:v>8</c:v>
                </c:pt>
                <c:pt idx="5">
                  <c:v>7.2</c:v>
                </c:pt>
              </c:numCache>
            </c:numRef>
          </c:val>
          <c:extLst>
            <c:ext xmlns:c16="http://schemas.microsoft.com/office/drawing/2014/chart" uri="{C3380CC4-5D6E-409C-BE32-E72D297353CC}">
              <c16:uniqueId val="{00000002-CDA0-435D-9AED-84A02F204D34}"/>
            </c:ext>
          </c:extLst>
        </c:ser>
        <c:ser>
          <c:idx val="3"/>
          <c:order val="3"/>
          <c:tx>
            <c:strRef>
              <c:f>Sheet1!$A$5</c:f>
              <c:strCache>
                <c:ptCount val="1"/>
                <c:pt idx="0">
                  <c:v>Underbanked</c:v>
                </c:pt>
              </c:strCache>
            </c:strRef>
          </c:tx>
          <c:spPr>
            <a:pattFill prst="solidDmnd">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Sheet1!$B$5:$G$5</c:f>
              <c:numCache>
                <c:formatCode>General</c:formatCode>
                <c:ptCount val="6"/>
                <c:pt idx="0">
                  <c:v>25.1</c:v>
                </c:pt>
                <c:pt idx="1">
                  <c:v>26.6</c:v>
                </c:pt>
                <c:pt idx="2">
                  <c:v>30.5</c:v>
                </c:pt>
                <c:pt idx="3">
                  <c:v>21.1</c:v>
                </c:pt>
                <c:pt idx="4">
                  <c:v>25.1</c:v>
                </c:pt>
                <c:pt idx="5">
                  <c:v>18.8</c:v>
                </c:pt>
              </c:numCache>
            </c:numRef>
          </c:val>
          <c:extLst>
            <c:ext xmlns:c16="http://schemas.microsoft.com/office/drawing/2014/chart" uri="{C3380CC4-5D6E-409C-BE32-E72D297353CC}">
              <c16:uniqueId val="{00000003-CDA0-435D-9AED-84A02F204D34}"/>
            </c:ext>
          </c:extLst>
        </c:ser>
        <c:dLbls>
          <c:showLegendKey val="0"/>
          <c:showVal val="0"/>
          <c:showCatName val="0"/>
          <c:showSerName val="0"/>
          <c:showPercent val="0"/>
          <c:showBubbleSize val="0"/>
        </c:dLbls>
        <c:gapWidth val="150"/>
        <c:axId val="1081115407"/>
        <c:axId val="1"/>
      </c:barChart>
      <c:catAx>
        <c:axId val="1081115407"/>
        <c:scaling>
          <c:orientation val="minMax"/>
        </c:scaling>
        <c:delete val="0"/>
        <c:axPos val="b"/>
        <c:numFmt formatCode="General" sourceLinked="1"/>
        <c:majorTickMark val="out"/>
        <c:minorTickMark val="none"/>
        <c:tickLblPos val="nextTo"/>
        <c:spPr>
          <a:ln w="16919">
            <a:solidFill>
              <a:srgbClr val="000000"/>
            </a:solidFill>
            <a:prstDash val="solid"/>
          </a:ln>
        </c:spPr>
        <c:txPr>
          <a:bodyPr rot="0" vert="horz"/>
          <a:lstStyle/>
          <a:p>
            <a:pPr>
              <a:defRPr sz="1199" b="0"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4230">
              <a:solidFill>
                <a:srgbClr val="000000"/>
              </a:solidFill>
              <a:prstDash val="solid"/>
            </a:ln>
          </c:spPr>
        </c:majorGridlines>
        <c:title>
          <c:tx>
            <c:rich>
              <a:bodyPr/>
              <a:lstStyle/>
              <a:p>
                <a:pPr>
                  <a:defRPr sz="1199" b="1" i="0" u="none" strike="noStrike" baseline="0">
                    <a:solidFill>
                      <a:srgbClr val="000000"/>
                    </a:solidFill>
                    <a:latin typeface="Calibri"/>
                    <a:ea typeface="Calibri"/>
                    <a:cs typeface="Calibri"/>
                  </a:defRPr>
                </a:pPr>
                <a:r>
                  <a:rPr lang="en-US"/>
                  <a:t>Percent</a:t>
                </a:r>
              </a:p>
            </c:rich>
          </c:tx>
          <c:layout>
            <c:manualLayout>
              <c:xMode val="edge"/>
              <c:yMode val="edge"/>
              <c:x val="1.6420361247947456E-2"/>
              <c:y val="0.27941176470588236"/>
            </c:manualLayout>
          </c:layout>
          <c:overlay val="0"/>
          <c:spPr>
            <a:noFill/>
            <a:ln w="33838">
              <a:noFill/>
            </a:ln>
          </c:spPr>
        </c:title>
        <c:numFmt formatCode="General" sourceLinked="1"/>
        <c:majorTickMark val="out"/>
        <c:minorTickMark val="none"/>
        <c:tickLblPos val="nextTo"/>
        <c:spPr>
          <a:ln w="4230">
            <a:solidFill>
              <a:srgbClr val="000000"/>
            </a:solidFill>
            <a:prstDash val="solid"/>
          </a:ln>
        </c:spPr>
        <c:txPr>
          <a:bodyPr rot="0" vert="horz"/>
          <a:lstStyle/>
          <a:p>
            <a:pPr>
              <a:defRPr sz="1199" b="0" i="0" u="none" strike="noStrike" baseline="0">
                <a:solidFill>
                  <a:srgbClr val="000000"/>
                </a:solidFill>
                <a:latin typeface="Calibri"/>
                <a:ea typeface="Calibri"/>
                <a:cs typeface="Calibri"/>
              </a:defRPr>
            </a:pPr>
            <a:endParaRPr lang="en-US"/>
          </a:p>
        </c:txPr>
        <c:crossAx val="1081115407"/>
        <c:crosses val="autoZero"/>
        <c:crossBetween val="between"/>
      </c:valAx>
      <c:spPr>
        <a:noFill/>
        <a:ln w="33838">
          <a:noFill/>
        </a:ln>
      </c:spPr>
    </c:plotArea>
    <c:legend>
      <c:legendPos val="b"/>
      <c:layout>
        <c:manualLayout>
          <c:xMode val="edge"/>
          <c:yMode val="edge"/>
          <c:x val="8.2101806239737278E-3"/>
          <c:y val="0.8529411764705882"/>
          <c:w val="0.99178981937602628"/>
          <c:h val="0.12745098039215685"/>
        </c:manualLayout>
      </c:layout>
      <c:overlay val="0"/>
      <c:spPr>
        <a:noFill/>
        <a:ln w="4230">
          <a:solidFill>
            <a:srgbClr val="000000"/>
          </a:solidFill>
          <a:prstDash val="solid"/>
        </a:ln>
      </c:spPr>
      <c:txPr>
        <a:bodyPr/>
        <a:lstStyle/>
        <a:p>
          <a:pPr>
            <a:defRPr sz="1465"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C674-5A59-47C4-8DCF-FB27E20A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2475</Words>
  <Characters>14109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16551</CharactersWithSpaces>
  <SharedDoc>false</SharedDoc>
  <HLinks>
    <vt:vector size="120" baseType="variant">
      <vt:variant>
        <vt:i4>589848</vt:i4>
      </vt:variant>
      <vt:variant>
        <vt:i4>57</vt:i4>
      </vt:variant>
      <vt:variant>
        <vt:i4>0</vt:i4>
      </vt:variant>
      <vt:variant>
        <vt:i4>5</vt:i4>
      </vt:variant>
      <vt:variant>
        <vt:lpwstr>https://www.nbcnews.com/business/consumer/war-cash-intensifies-visa-offers-restaurants-10-000-go-cashless-n782276</vt:lpwstr>
      </vt:variant>
      <vt:variant>
        <vt:lpwstr/>
      </vt:variant>
      <vt:variant>
        <vt:i4>4325386</vt:i4>
      </vt:variant>
      <vt:variant>
        <vt:i4>54</vt:i4>
      </vt:variant>
      <vt:variant>
        <vt:i4>0</vt:i4>
      </vt:variant>
      <vt:variant>
        <vt:i4>5</vt:i4>
      </vt:variant>
      <vt:variant>
        <vt:lpwstr>https://www.rd.com/advice/saving-money/pay-with-cash/</vt:lpwstr>
      </vt:variant>
      <vt:variant>
        <vt:lpwstr/>
      </vt:variant>
      <vt:variant>
        <vt:i4>3932287</vt:i4>
      </vt:variant>
      <vt:variant>
        <vt:i4>51</vt:i4>
      </vt:variant>
      <vt:variant>
        <vt:i4>0</vt:i4>
      </vt:variant>
      <vt:variant>
        <vt:i4>5</vt:i4>
      </vt:variant>
      <vt:variant>
        <vt:lpwstr>https://www.nerdwallet.com/blog/credit-cards/credit-cards-make-you-spend-more/</vt:lpwstr>
      </vt:variant>
      <vt:variant>
        <vt:lpwstr/>
      </vt:variant>
      <vt:variant>
        <vt:i4>1835085</vt:i4>
      </vt:variant>
      <vt:variant>
        <vt:i4>48</vt:i4>
      </vt:variant>
      <vt:variant>
        <vt:i4>0</vt:i4>
      </vt:variant>
      <vt:variant>
        <vt:i4>5</vt:i4>
      </vt:variant>
      <vt:variant>
        <vt:lpwstr>https://www.nytimes.com/2016/07/17/business/paying-with-cash-hurts-thats-also-why-it-feels-so-good.html?module=inline</vt:lpwstr>
      </vt:variant>
      <vt:variant>
        <vt:lpwstr/>
      </vt:variant>
      <vt:variant>
        <vt:i4>1703941</vt:i4>
      </vt:variant>
      <vt:variant>
        <vt:i4>45</vt:i4>
      </vt:variant>
      <vt:variant>
        <vt:i4>0</vt:i4>
      </vt:variant>
      <vt:variant>
        <vt:i4>5</vt:i4>
      </vt:variant>
      <vt:variant>
        <vt:lpwstr>https://www.nytimes.com/2018/12/06/nyregion/how-the-cashless-economy-shuts-out-the-poor.html</vt:lpwstr>
      </vt:variant>
      <vt:variant>
        <vt:lpwstr/>
      </vt:variant>
      <vt:variant>
        <vt:i4>2097212</vt:i4>
      </vt:variant>
      <vt:variant>
        <vt:i4>42</vt:i4>
      </vt:variant>
      <vt:variant>
        <vt:i4>0</vt:i4>
      </vt:variant>
      <vt:variant>
        <vt:i4>5</vt:i4>
      </vt:variant>
      <vt:variant>
        <vt:lpwstr>https://www.eater.com/2018/2/15/16974980/cashless-restaurants-credit-card-only-legal-problem-discriminatory</vt:lpwstr>
      </vt:variant>
      <vt:variant>
        <vt:lpwstr/>
      </vt:variant>
      <vt:variant>
        <vt:i4>4456464</vt:i4>
      </vt:variant>
      <vt:variant>
        <vt:i4>39</vt:i4>
      </vt:variant>
      <vt:variant>
        <vt:i4>0</vt:i4>
      </vt:variant>
      <vt:variant>
        <vt:i4>5</vt:i4>
      </vt:variant>
      <vt:variant>
        <vt:lpwstr>https://www.cnbc.com/2018/12/13/nyc-nj-target-cashless-businesses-alleging-bias-against-the-poor.html</vt:lpwstr>
      </vt:variant>
      <vt:variant>
        <vt:lpwstr/>
      </vt:variant>
      <vt:variant>
        <vt:i4>5701649</vt:i4>
      </vt:variant>
      <vt:variant>
        <vt:i4>36</vt:i4>
      </vt:variant>
      <vt:variant>
        <vt:i4>0</vt:i4>
      </vt:variant>
      <vt:variant>
        <vt:i4>5</vt:i4>
      </vt:variant>
      <vt:variant>
        <vt:lpwstr>http://gothamist.com/2018/11/28/cashless_restaurants_nyc.php</vt:lpwstr>
      </vt:variant>
      <vt:variant>
        <vt:lpwstr/>
      </vt:variant>
      <vt:variant>
        <vt:i4>1310815</vt:i4>
      </vt:variant>
      <vt:variant>
        <vt:i4>33</vt:i4>
      </vt:variant>
      <vt:variant>
        <vt:i4>0</vt:i4>
      </vt:variant>
      <vt:variant>
        <vt:i4>5</vt:i4>
      </vt:variant>
      <vt:variant>
        <vt:lpwstr>https://chicago.legistar.com/LegislationDetail.aspx?ID=3184725&amp;GUID=06C6F98D-8311-4DA2-93E2-D8E75B84D737&amp;Options=Advanced&amp;Search</vt:lpwstr>
      </vt:variant>
      <vt:variant>
        <vt:lpwstr/>
      </vt:variant>
      <vt:variant>
        <vt:i4>5898331</vt:i4>
      </vt:variant>
      <vt:variant>
        <vt:i4>30</vt:i4>
      </vt:variant>
      <vt:variant>
        <vt:i4>0</vt:i4>
      </vt:variant>
      <vt:variant>
        <vt:i4>5</vt:i4>
      </vt:variant>
      <vt:variant>
        <vt:lpwstr>https://sfgov.legistar.com/View.ashx?M=F&amp;ID=7203773&amp;GUID=AB84EC24-3D9F-47ED-BBD2-D0E28024E1C4</vt:lpwstr>
      </vt:variant>
      <vt:variant>
        <vt:lpwstr/>
      </vt:variant>
      <vt:variant>
        <vt:i4>6553707</vt:i4>
      </vt:variant>
      <vt:variant>
        <vt:i4>27</vt:i4>
      </vt:variant>
      <vt:variant>
        <vt:i4>0</vt:i4>
      </vt:variant>
      <vt:variant>
        <vt:i4>5</vt:i4>
      </vt:variant>
      <vt:variant>
        <vt:lpwstr>https://phila.legistar.com/LegislationDetail.aspx?ID=3710586&amp;GUID=FD85947F-8151-4DB5-9949-AF6FEF14A9C9&amp;Options=ID|Text|&amp;Search=cashless</vt:lpwstr>
      </vt:variant>
      <vt:variant>
        <vt:lpwstr/>
      </vt:variant>
      <vt:variant>
        <vt:i4>1441832</vt:i4>
      </vt:variant>
      <vt:variant>
        <vt:i4>24</vt:i4>
      </vt:variant>
      <vt:variant>
        <vt:i4>0</vt:i4>
      </vt:variant>
      <vt:variant>
        <vt:i4>5</vt:i4>
      </vt:variant>
      <vt:variant>
        <vt:lpwstr>https://www.njleg.state.nj.us/2018/Bills/PL19/50_.PDF</vt:lpwstr>
      </vt:variant>
      <vt:variant>
        <vt:lpwstr/>
      </vt:variant>
      <vt:variant>
        <vt:i4>786526</vt:i4>
      </vt:variant>
      <vt:variant>
        <vt:i4>21</vt:i4>
      </vt:variant>
      <vt:variant>
        <vt:i4>0</vt:i4>
      </vt:variant>
      <vt:variant>
        <vt:i4>5</vt:i4>
      </vt:variant>
      <vt:variant>
        <vt:lpwstr>https://malegislature.gov/Laws/GeneralLaws/PartIII/TitleIV/Chapter255D/Section10A</vt:lpwstr>
      </vt:variant>
      <vt:variant>
        <vt:lpwstr/>
      </vt:variant>
      <vt:variant>
        <vt:i4>2097212</vt:i4>
      </vt:variant>
      <vt:variant>
        <vt:i4>18</vt:i4>
      </vt:variant>
      <vt:variant>
        <vt:i4>0</vt:i4>
      </vt:variant>
      <vt:variant>
        <vt:i4>5</vt:i4>
      </vt:variant>
      <vt:variant>
        <vt:lpwstr>https://www.eater.com/2018/2/15/16974980/cashless-restaurants-credit-card-only-legal-problem-discriminatory</vt:lpwstr>
      </vt:variant>
      <vt:variant>
        <vt:lpwstr/>
      </vt:variant>
      <vt:variant>
        <vt:i4>7995508</vt:i4>
      </vt:variant>
      <vt:variant>
        <vt:i4>15</vt:i4>
      </vt:variant>
      <vt:variant>
        <vt:i4>0</vt:i4>
      </vt:variant>
      <vt:variant>
        <vt:i4>5</vt:i4>
      </vt:variant>
      <vt:variant>
        <vt:lpwstr>https://www.nydailynews.com/new-york/immigrants-city-choose-non-bank-options-article-1.2127910</vt:lpwstr>
      </vt:variant>
      <vt:variant>
        <vt:lpwstr/>
      </vt:variant>
      <vt:variant>
        <vt:i4>7798842</vt:i4>
      </vt:variant>
      <vt:variant>
        <vt:i4>12</vt:i4>
      </vt:variant>
      <vt:variant>
        <vt:i4>0</vt:i4>
      </vt:variant>
      <vt:variant>
        <vt:i4>5</vt:i4>
      </vt:variant>
      <vt:variant>
        <vt:lpwstr>https://thefinancialclinic.org/wp-content/uploads/2016/12/Banking-Security-and-DV-Survivors.pdf</vt:lpwstr>
      </vt:variant>
      <vt:variant>
        <vt:lpwstr/>
      </vt:variant>
      <vt:variant>
        <vt:i4>1769501</vt:i4>
      </vt:variant>
      <vt:variant>
        <vt:i4>9</vt:i4>
      </vt:variant>
      <vt:variant>
        <vt:i4>0</vt:i4>
      </vt:variant>
      <vt:variant>
        <vt:i4>5</vt:i4>
      </vt:variant>
      <vt:variant>
        <vt:lpwstr>https://www.americanprogress.org/issues/economy/reports/2014/10/30/99967/millions-of-americans-are-outside-the-financial-system/</vt:lpwstr>
      </vt:variant>
      <vt:variant>
        <vt:lpwstr/>
      </vt:variant>
      <vt:variant>
        <vt:i4>3604596</vt:i4>
      </vt:variant>
      <vt:variant>
        <vt:i4>6</vt:i4>
      </vt:variant>
      <vt:variant>
        <vt:i4>0</vt:i4>
      </vt:variant>
      <vt:variant>
        <vt:i4>5</vt:i4>
      </vt:variant>
      <vt:variant>
        <vt:lpwstr>https://www.amny.com/news/many-new-yorkers-lack-bank-accounts-and-emergency-savings-says-new-report-1.10905642</vt:lpwstr>
      </vt:variant>
      <vt:variant>
        <vt:lpwstr/>
      </vt:variant>
      <vt:variant>
        <vt:i4>6291577</vt:i4>
      </vt:variant>
      <vt:variant>
        <vt:i4>3</vt:i4>
      </vt:variant>
      <vt:variant>
        <vt:i4>0</vt:i4>
      </vt:variant>
      <vt:variant>
        <vt:i4>5</vt:i4>
      </vt:variant>
      <vt:variant>
        <vt:lpwstr>https://www.urban.org/sites/default/files/publication/71511/2000430-Where-Are-the-Unbanked-and-Underbanked-in-New-York-City.pdf</vt:lpwstr>
      </vt:variant>
      <vt:variant>
        <vt:lpwstr/>
      </vt:variant>
      <vt:variant>
        <vt:i4>5767238</vt:i4>
      </vt:variant>
      <vt:variant>
        <vt:i4>0</vt:i4>
      </vt:variant>
      <vt:variant>
        <vt:i4>0</vt:i4>
      </vt:variant>
      <vt:variant>
        <vt:i4>5</vt:i4>
      </vt:variant>
      <vt:variant>
        <vt:lpwstr>https://www.nytimes.com/2016/07/31/business/where-a-suitcase-full-of-cash-wont-buy-you-lunch.html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cp:lastModifiedBy>DelFranco, Ruthie</cp:lastModifiedBy>
  <cp:revision>2</cp:revision>
  <cp:lastPrinted>2019-02-07T15:45:00Z</cp:lastPrinted>
  <dcterms:created xsi:type="dcterms:W3CDTF">2019-08-05T22:58:00Z</dcterms:created>
  <dcterms:modified xsi:type="dcterms:W3CDTF">2019-08-05T22:58:00Z</dcterms:modified>
</cp:coreProperties>
</file>