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THE COUNCIL OF THE CITY OF NEW YORK</w:t>
      </w:r>
    </w:p>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 xml:space="preserve">RES. NO. </w:t>
      </w:r>
      <w:r w:rsidR="00B93DE8">
        <w:rPr>
          <w:rFonts w:ascii="Times New Roman" w:eastAsia="Times New Roman" w:hAnsi="Times New Roman"/>
          <w:color w:val="000000"/>
          <w:sz w:val="24"/>
          <w:szCs w:val="24"/>
        </w:rPr>
        <w:t>1007</w:t>
      </w:r>
      <w:bookmarkStart w:id="0" w:name="_GoBack"/>
      <w:bookmarkEnd w:id="0"/>
    </w:p>
    <w:p w:rsidR="0073286D" w:rsidRPr="00251EEF"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1EEF">
        <w:rPr>
          <w:rFonts w:ascii="Times New Roman" w:eastAsia="Times New Roman" w:hAnsi="Times New Roman"/>
          <w:color w:val="000000"/>
          <w:sz w:val="24"/>
          <w:szCs w:val="24"/>
        </w:rPr>
        <w:t> </w:t>
      </w:r>
    </w:p>
    <w:p w:rsidR="0073286D" w:rsidRPr="00D95A83" w:rsidRDefault="0073286D" w:rsidP="002E2652">
      <w:pPr>
        <w:shd w:val="clear" w:color="auto" w:fill="FFFFFF"/>
        <w:spacing w:after="0" w:line="240" w:lineRule="auto"/>
        <w:jc w:val="both"/>
        <w:rPr>
          <w:rFonts w:ascii="Times New Roman" w:eastAsia="Times New Roman" w:hAnsi="Times New Roman"/>
          <w:vanish/>
          <w:color w:val="000000"/>
          <w:sz w:val="24"/>
          <w:szCs w:val="24"/>
        </w:rPr>
      </w:pPr>
      <w:r w:rsidRPr="00D95A83">
        <w:rPr>
          <w:rFonts w:ascii="Times New Roman" w:eastAsia="Times New Roman" w:hAnsi="Times New Roman"/>
          <w:vanish/>
          <w:color w:val="000000"/>
          <w:sz w:val="24"/>
          <w:szCs w:val="24"/>
        </w:rPr>
        <w:t>..Title</w:t>
      </w:r>
    </w:p>
    <w:p w:rsidR="0073286D" w:rsidRPr="00E56D80" w:rsidRDefault="0073286D" w:rsidP="00EB3DDB">
      <w:pPr>
        <w:shd w:val="clear" w:color="auto" w:fill="FFFFFF"/>
        <w:spacing w:after="0" w:line="240" w:lineRule="auto"/>
        <w:jc w:val="both"/>
        <w:rPr>
          <w:rFonts w:ascii="Times New Roman" w:hAnsi="Times New Roman"/>
          <w:sz w:val="24"/>
          <w:szCs w:val="24"/>
        </w:rPr>
      </w:pPr>
      <w:r w:rsidRPr="00D95A83">
        <w:rPr>
          <w:rFonts w:ascii="Times New Roman" w:eastAsia="Times New Roman" w:hAnsi="Times New Roman"/>
          <w:color w:val="000000"/>
          <w:sz w:val="24"/>
          <w:szCs w:val="24"/>
        </w:rPr>
        <w:t>Resolution approving an exemption from real property taxes for property located at (</w:t>
      </w:r>
      <w:r w:rsidR="00EB3DDB">
        <w:rPr>
          <w:rFonts w:ascii="Times New Roman" w:hAnsi="Times New Roman"/>
          <w:sz w:val="24"/>
          <w:szCs w:val="24"/>
        </w:rPr>
        <w:t xml:space="preserve">Block 2550, Lots 7 and 17; Block 2612, Lot 35; Block 2676, Lot 85; Block 2685, Lots 50 and 51; </w:t>
      </w:r>
      <w:r w:rsidR="00EB3DDB" w:rsidRPr="00EB3DDB">
        <w:rPr>
          <w:rFonts w:ascii="Times New Roman" w:hAnsi="Times New Roman"/>
          <w:sz w:val="24"/>
          <w:szCs w:val="24"/>
        </w:rPr>
        <w:t>Block 2700, Lot 53</w:t>
      </w:r>
      <w:r w:rsidRPr="000C348D">
        <w:rPr>
          <w:rFonts w:ascii="Times New Roman" w:hAnsi="Times New Roman"/>
          <w:sz w:val="24"/>
          <w:szCs w:val="24"/>
        </w:rPr>
        <w:t>)</w:t>
      </w:r>
      <w:r w:rsidRPr="000C348D">
        <w:rPr>
          <w:rFonts w:ascii="Times New Roman" w:eastAsia="Times New Roman" w:hAnsi="Times New Roman"/>
          <w:color w:val="000000"/>
          <w:sz w:val="24"/>
          <w:szCs w:val="24"/>
        </w:rPr>
        <w:t xml:space="preserve"> </w:t>
      </w:r>
      <w:r w:rsidR="00EB3DDB">
        <w:rPr>
          <w:rFonts w:ascii="Times New Roman" w:eastAsia="Times New Roman" w:hAnsi="Times New Roman"/>
          <w:color w:val="000000"/>
          <w:sz w:val="24"/>
          <w:szCs w:val="24"/>
        </w:rPr>
        <w:t>Bronx</w:t>
      </w:r>
      <w:r w:rsidRPr="000C348D">
        <w:rPr>
          <w:rFonts w:ascii="Times New Roman" w:eastAsia="Times New Roman" w:hAnsi="Times New Roman"/>
          <w:color w:val="000000"/>
          <w:sz w:val="24"/>
          <w:szCs w:val="24"/>
        </w:rPr>
        <w:t>, pursuant to Section 577 of the Private Housing Finance Law (Preconsidered L.U. No.</w:t>
      </w:r>
      <w:r w:rsidR="00631436">
        <w:rPr>
          <w:rFonts w:ascii="Times New Roman" w:eastAsia="Times New Roman" w:hAnsi="Times New Roman"/>
          <w:color w:val="000000"/>
          <w:sz w:val="24"/>
          <w:szCs w:val="24"/>
        </w:rPr>
        <w:t xml:space="preserve"> 473</w:t>
      </w:r>
      <w:r w:rsidRPr="000C348D">
        <w:rPr>
          <w:rFonts w:ascii="Times New Roman" w:eastAsia="Times New Roman" w:hAnsi="Times New Roman"/>
          <w:color w:val="000000"/>
          <w:sz w:val="24"/>
          <w:szCs w:val="24"/>
        </w:rPr>
        <w:t>).</w:t>
      </w:r>
    </w:p>
    <w:p w:rsidR="0073286D" w:rsidRPr="000C348D" w:rsidRDefault="0073286D" w:rsidP="000C348D">
      <w:pPr>
        <w:shd w:val="clear" w:color="auto" w:fill="FFFFFF"/>
        <w:spacing w:after="0" w:line="240" w:lineRule="auto"/>
        <w:rPr>
          <w:rFonts w:ascii="Times New Roman" w:eastAsia="Times New Roman" w:hAnsi="Times New Roman"/>
          <w:vanish/>
          <w:color w:val="000000"/>
          <w:sz w:val="24"/>
          <w:szCs w:val="24"/>
        </w:rPr>
      </w:pPr>
      <w:r w:rsidRPr="000C348D">
        <w:rPr>
          <w:rFonts w:ascii="Times New Roman" w:eastAsia="Times New Roman" w:hAnsi="Times New Roman"/>
          <w:vanish/>
          <w:color w:val="000000"/>
          <w:sz w:val="24"/>
          <w:szCs w:val="24"/>
        </w:rPr>
        <w:t>..Body</w:t>
      </w:r>
    </w:p>
    <w:p w:rsidR="0073286D" w:rsidRPr="000C348D" w:rsidRDefault="0073286D" w:rsidP="00252740">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By Council Member </w:t>
      </w:r>
      <w:r w:rsidR="000B2D14" w:rsidRPr="000C348D">
        <w:rPr>
          <w:rFonts w:ascii="Times New Roman" w:eastAsia="Times New Roman" w:hAnsi="Times New Roman"/>
          <w:color w:val="000000"/>
          <w:sz w:val="24"/>
          <w:szCs w:val="24"/>
        </w:rPr>
        <w:t>Dromm</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E2652">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EB3DDB">
        <w:rPr>
          <w:rFonts w:ascii="Times New Roman" w:eastAsia="Times New Roman" w:hAnsi="Times New Roman"/>
          <w:color w:val="000000"/>
          <w:sz w:val="24"/>
          <w:szCs w:val="24"/>
        </w:rPr>
        <w:t>May 28</w:t>
      </w:r>
      <w:r w:rsidR="00943877" w:rsidRPr="00943877">
        <w:rPr>
          <w:rFonts w:ascii="Times New Roman" w:eastAsia="Times New Roman" w:hAnsi="Times New Roman"/>
          <w:color w:val="000000"/>
          <w:sz w:val="24"/>
          <w:szCs w:val="24"/>
        </w:rPr>
        <w:t>, 2019</w:t>
      </w:r>
      <w:r w:rsidRPr="000C348D">
        <w:rPr>
          <w:rFonts w:ascii="Times New Roman" w:eastAsia="Times New Roman" w:hAnsi="Times New Roman"/>
          <w:color w:val="000000"/>
          <w:sz w:val="24"/>
          <w:szCs w:val="24"/>
        </w:rPr>
        <w:t xml:space="preserve"> that the Council take the following action regarding a housing project located</w:t>
      </w:r>
      <w:r w:rsidRPr="000C348D">
        <w:rPr>
          <w:rFonts w:ascii="Times New Roman" w:eastAsia="Times New Roman" w:hAnsi="Times New Roman"/>
          <w:b/>
          <w:bCs/>
          <w:color w:val="000000"/>
          <w:sz w:val="24"/>
          <w:szCs w:val="24"/>
        </w:rPr>
        <w:t> </w:t>
      </w:r>
      <w:r w:rsidRPr="000C348D">
        <w:rPr>
          <w:rFonts w:ascii="Times New Roman" w:eastAsia="Times New Roman" w:hAnsi="Times New Roman"/>
          <w:color w:val="000000"/>
          <w:sz w:val="24"/>
          <w:szCs w:val="24"/>
        </w:rPr>
        <w:t xml:space="preserve">at </w:t>
      </w:r>
      <w:r w:rsidR="00EB3DDB" w:rsidRPr="00D95A83">
        <w:rPr>
          <w:rFonts w:ascii="Times New Roman" w:eastAsia="Times New Roman" w:hAnsi="Times New Roman"/>
          <w:color w:val="000000"/>
          <w:sz w:val="24"/>
          <w:szCs w:val="24"/>
        </w:rPr>
        <w:t>(</w:t>
      </w:r>
      <w:r w:rsidR="00EB3DDB">
        <w:rPr>
          <w:rFonts w:ascii="Times New Roman" w:hAnsi="Times New Roman"/>
          <w:sz w:val="24"/>
          <w:szCs w:val="24"/>
        </w:rPr>
        <w:t xml:space="preserve">Block 2550, Lots 7 and 17; Block 2612, Lot 35; Block 2676, Lot 85; Block 2685, Lots 50 and 51; </w:t>
      </w:r>
      <w:r w:rsidR="00EB3DDB" w:rsidRPr="00EB3DDB">
        <w:rPr>
          <w:rFonts w:ascii="Times New Roman" w:hAnsi="Times New Roman"/>
          <w:sz w:val="24"/>
          <w:szCs w:val="24"/>
        </w:rPr>
        <w:t>Block 2700, Lot 53</w:t>
      </w:r>
      <w:r w:rsidR="00EB3DDB" w:rsidRPr="000C348D">
        <w:rPr>
          <w:rFonts w:ascii="Times New Roman" w:hAnsi="Times New Roman"/>
          <w:sz w:val="24"/>
          <w:szCs w:val="24"/>
        </w:rPr>
        <w:t>)</w:t>
      </w:r>
      <w:r w:rsidR="00EB3DDB" w:rsidRPr="000C348D">
        <w:rPr>
          <w:rFonts w:ascii="Times New Roman" w:eastAsia="Times New Roman" w:hAnsi="Times New Roman"/>
          <w:color w:val="000000"/>
          <w:sz w:val="24"/>
          <w:szCs w:val="24"/>
        </w:rPr>
        <w:t xml:space="preserve"> </w:t>
      </w:r>
      <w:r w:rsidR="00EB3DDB">
        <w:rPr>
          <w:rFonts w:ascii="Times New Roman" w:eastAsia="Times New Roman" w:hAnsi="Times New Roman"/>
          <w:color w:val="000000"/>
          <w:sz w:val="24"/>
          <w:szCs w:val="24"/>
        </w:rPr>
        <w:t>Bronx</w:t>
      </w:r>
      <w:r w:rsidR="00EB3DDB" w:rsidRPr="000C348D">
        <w:rPr>
          <w:rFonts w:ascii="Times New Roman" w:eastAsia="Times New Roman" w:hAnsi="Times New Roman"/>
          <w:color w:val="000000"/>
          <w:sz w:val="24"/>
          <w:szCs w:val="24"/>
        </w:rPr>
        <w:t>,</w:t>
      </w:r>
      <w:r w:rsidR="00CD472D" w:rsidRPr="000C348D">
        <w:rPr>
          <w:rFonts w:ascii="Times New Roman" w:eastAsia="Times New Roman" w:hAnsi="Times New Roman"/>
          <w:color w:val="000000"/>
          <w:sz w:val="24"/>
          <w:szCs w:val="24"/>
        </w:rPr>
        <w:t xml:space="preserve"> </w:t>
      </w:r>
      <w:r w:rsidRPr="000C348D">
        <w:rPr>
          <w:rFonts w:ascii="Times New Roman" w:eastAsia="Times New Roman" w:hAnsi="Times New Roman"/>
          <w:color w:val="000000"/>
          <w:sz w:val="24"/>
          <w:szCs w:val="24"/>
        </w:rPr>
        <w:t>(“Exemption Area”):</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Council has considered the financial implications relating to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RESOLVED:</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EB3DDB"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The Council hereby grants an exemption from </w:t>
      </w:r>
      <w:r w:rsidR="00B021F4">
        <w:rPr>
          <w:rFonts w:ascii="Times New Roman" w:eastAsia="Times New Roman" w:hAnsi="Times New Roman"/>
          <w:color w:val="000000"/>
          <w:sz w:val="24"/>
          <w:szCs w:val="24"/>
        </w:rPr>
        <w:t>real property taxes as follows:</w:t>
      </w:r>
    </w:p>
    <w:p w:rsidR="00EB3DDB" w:rsidRDefault="00EB3DDB" w:rsidP="00290DB9">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0"/>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For the purposes hereof, the following terms shall have the following meanings:</w:t>
      </w:r>
    </w:p>
    <w:p w:rsidR="00BA7FA2" w:rsidRDefault="00BA7FA2" w:rsidP="00BA7FA2">
      <w:pPr>
        <w:shd w:val="clear" w:color="auto" w:fill="FFFFFF"/>
        <w:spacing w:after="0" w:line="240" w:lineRule="auto"/>
        <w:ind w:left="720"/>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“Company” shall mean St. Ann’s Apartments LLC or any other entity that acquires the beneficial interest in the Exemption Area with the prior written consent of HPD.</w:t>
      </w:r>
    </w:p>
    <w:p w:rsidR="00EB3DDB" w:rsidRDefault="00EB3DDB" w:rsidP="00EB3DDB">
      <w:pPr>
        <w:shd w:val="clear" w:color="auto" w:fill="FFFFFF"/>
        <w:spacing w:after="0" w:line="240" w:lineRule="auto"/>
        <w:ind w:left="1440"/>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 xml:space="preserve">“Effective Date” shall mean the later of (i) the date of conveyance of the Exemption Area to the HDFC, or (ii) the date that HPD and the Owner enter into the Regulatory Agreement. </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“Exemption Area” shall mean the real property located in the Borough of the Bronx, City and State of New York, identified as Block 2550, Lots 7 and 17, Block 2612, Lot 35, Block 2676, Lot 85, Block 2685, Lots 50 and 51, and Block 2700, Lot 53 on the Tax Map of the City of New York.</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 xml:space="preserve">“Expiration Date” shall mean the earlier to occur of (i) a date which is forty (40) years from the Effective Date, (ii) the date of the expiration or termination of the </w:t>
      </w:r>
      <w:r w:rsidRPr="00BA7FA2">
        <w:rPr>
          <w:rFonts w:ascii="Times New Roman" w:eastAsia="Times New Roman" w:hAnsi="Times New Roman"/>
          <w:color w:val="000000"/>
          <w:sz w:val="24"/>
          <w:szCs w:val="24"/>
        </w:rPr>
        <w:lastRenderedPageBreak/>
        <w:t>Regulatory Agreement, or (iii) the date upon which the Exemption Area ceases to be owned by either a housing development fund company or an entity wholly controlled by a housing development fund company.</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“HDFC” shall mean St. Ann’s Portfolio Housing Development Fund Corporation or a housing development fund company that acquires the Exemption Area with the prior written consent of HPD.</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“HPD” shall mean the Department of Housing Preservation and Development of the City of New York.</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“J-51 Benefits” shall mean any tax benefits pursuant to Section 489 of the Real Property Tax Law which are in effect on the Effective Date.</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“New Exemption” shall mean the exemption from real property taxation provided hereunder with respect to the Exemption Area.</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 xml:space="preserve">“Owner” shall mean, collectively, the HDFC and the Company. </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 xml:space="preserve">“Prior Exemption” shall mean the exemption from real property taxation for a portion of the Exemption Area approved by the New York City Council on July 21, 1999 (Resolution No. 918) and the exemption from real property taxation for a portion of the Exemption Area approved by the New York City Council on May 24, 2000 (Resolution No. 1377). </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“Regulatory Agreement” shall mean the regulatory agreement between HPD and the Owner that is executed after May 1, 2019 establishing certain controls upon the operation of the Exemption Area during the term of the New Exemption.</w:t>
      </w:r>
    </w:p>
    <w:p w:rsidR="00BA7FA2" w:rsidRP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0"/>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 xml:space="preserve">The Prior Exemption shall terminate with respect to the Exemption Area upon the Effective Date. </w:t>
      </w:r>
    </w:p>
    <w:p w:rsidR="00BA7FA2" w:rsidRDefault="00BA7FA2" w:rsidP="00BA7FA2">
      <w:pPr>
        <w:shd w:val="clear" w:color="auto" w:fill="FFFFFF"/>
        <w:spacing w:after="0" w:line="240" w:lineRule="auto"/>
        <w:ind w:left="360"/>
        <w:jc w:val="both"/>
        <w:rPr>
          <w:rFonts w:ascii="Times New Roman" w:eastAsia="Times New Roman" w:hAnsi="Times New Roman"/>
          <w:color w:val="000000"/>
          <w:sz w:val="24"/>
          <w:szCs w:val="24"/>
        </w:rPr>
      </w:pPr>
    </w:p>
    <w:p w:rsidR="00BA7FA2" w:rsidRDefault="00BA7FA2" w:rsidP="00BA7FA2">
      <w:pPr>
        <w:numPr>
          <w:ilvl w:val="0"/>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0"/>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Notwithstanding any provision hereof to the contrary:</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 xml:space="preserve">The New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w:t>
      </w:r>
      <w:r w:rsidRPr="00BA7FA2">
        <w:rPr>
          <w:rFonts w:ascii="Times New Roman" w:eastAsia="Times New Roman" w:hAnsi="Times New Roman"/>
          <w:color w:val="000000"/>
          <w:sz w:val="24"/>
          <w:szCs w:val="24"/>
        </w:rPr>
        <w:lastRenderedPageBreak/>
        <w:t>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New Exemption shall prospectively terminate.</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 xml:space="preserve">The New Exemption shall apply to all land in the Exemption Area, but shall only apply to buildings on the Exemption Area that exist on the Effective Date. </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Nothing herein shall entitle the HDFC, the Owner, or any other person or entity to a refund of any real property taxes which accrued and were paid with respect to the Exemption Area prior to the Effective Date.</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BA7FA2" w:rsidRDefault="00BA7FA2" w:rsidP="00BA7FA2">
      <w:pPr>
        <w:numPr>
          <w:ilvl w:val="1"/>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All previous resolutions, if any, providing an exemption from or abatement of real property taxation with respect to the Exemption Area are hereby revoked as of the Effective Date.</w:t>
      </w:r>
    </w:p>
    <w:p w:rsidR="00BA7FA2" w:rsidRDefault="00BA7FA2" w:rsidP="00BA7FA2">
      <w:pPr>
        <w:shd w:val="clear" w:color="auto" w:fill="FFFFFF"/>
        <w:spacing w:after="0" w:line="240" w:lineRule="auto"/>
        <w:jc w:val="both"/>
        <w:rPr>
          <w:rFonts w:ascii="Times New Roman" w:eastAsia="Times New Roman" w:hAnsi="Times New Roman"/>
          <w:color w:val="000000"/>
          <w:sz w:val="24"/>
          <w:szCs w:val="24"/>
        </w:rPr>
      </w:pPr>
    </w:p>
    <w:p w:rsidR="00943877" w:rsidRDefault="00BA7FA2" w:rsidP="00BA7FA2">
      <w:pPr>
        <w:numPr>
          <w:ilvl w:val="0"/>
          <w:numId w:val="25"/>
        </w:numPr>
        <w:shd w:val="clear" w:color="auto" w:fill="FFFFFF"/>
        <w:spacing w:after="0" w:line="240" w:lineRule="auto"/>
        <w:jc w:val="both"/>
        <w:rPr>
          <w:rFonts w:ascii="Times New Roman" w:eastAsia="Times New Roman" w:hAnsi="Times New Roman"/>
          <w:color w:val="000000"/>
          <w:sz w:val="24"/>
          <w:szCs w:val="24"/>
        </w:rPr>
      </w:pPr>
      <w:r w:rsidRPr="00BA7FA2">
        <w:rPr>
          <w:rFonts w:ascii="Times New Roman" w:eastAsia="Times New Roman" w:hAnsi="Times New Roman"/>
          <w:color w:val="000000"/>
          <w:sz w:val="24"/>
          <w:szCs w:val="24"/>
        </w:rPr>
        <w:t>In consideration of the New Exemption, the owner of the Exemption Area shall, for so long as the New Exemption shall remain in effect, waive the benefits of any additional or concurrent exemption from or abatement of real property taxation which may be authorized under any existing or future local, state, or federal law, rule, or regulation. Notwithstanding the foregoing, (a) nothing herein shall prohibit the granting of any real property tax abatement pursuant to Sections 467-b or 467-c of the Real Property Tax Law to real property occupied by senior citizens or persons with disabilities, and (b) the J-51 Benefits shall remain in effect, but the New Exemption shall be reduced by the amount of such J-51 Benefits.</w:t>
      </w:r>
    </w:p>
    <w:p w:rsidR="00BA7FA2" w:rsidRPr="00BA7FA2" w:rsidRDefault="00BA7FA2" w:rsidP="00BA7FA2">
      <w:pPr>
        <w:shd w:val="clear" w:color="auto" w:fill="FFFFFF"/>
        <w:spacing w:after="0" w:line="240" w:lineRule="auto"/>
        <w:ind w:left="720"/>
        <w:jc w:val="both"/>
        <w:rPr>
          <w:rFonts w:ascii="Times New Roman" w:eastAsia="Times New Roman" w:hAnsi="Times New Roman"/>
          <w:color w:val="000000"/>
          <w:sz w:val="24"/>
          <w:szCs w:val="24"/>
        </w:rPr>
      </w:pPr>
    </w:p>
    <w:p w:rsidR="0073286D" w:rsidRPr="000C348D" w:rsidRDefault="0073286D" w:rsidP="00290DB9">
      <w:pPr>
        <w:shd w:val="clear" w:color="auto" w:fill="FFFFFF"/>
        <w:spacing w:after="0" w:line="240" w:lineRule="auto"/>
        <w:ind w:left="5910" w:hanging="432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Office of the City Clerk,     }                                                               </w:t>
      </w:r>
    </w:p>
    <w:p w:rsidR="0073286D" w:rsidRPr="000C348D" w:rsidRDefault="0073286D" w:rsidP="00290DB9">
      <w:pPr>
        <w:shd w:val="clear" w:color="auto" w:fill="FFFFFF"/>
        <w:spacing w:after="0" w:line="240" w:lineRule="auto"/>
        <w:ind w:left="159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The City of New York        } ss.:</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1049FE">
        <w:rPr>
          <w:rFonts w:ascii="Times New Roman" w:eastAsia="Times New Roman" w:hAnsi="Times New Roman"/>
          <w:color w:val="000000"/>
          <w:sz w:val="24"/>
          <w:szCs w:val="24"/>
        </w:rPr>
        <w:t>July 23</w:t>
      </w:r>
      <w:r w:rsidR="00943877" w:rsidRPr="00C97FA6">
        <w:rPr>
          <w:rFonts w:ascii="Times New Roman" w:eastAsia="Times New Roman" w:hAnsi="Times New Roman"/>
          <w:color w:val="000000"/>
          <w:sz w:val="24"/>
          <w:szCs w:val="24"/>
        </w:rPr>
        <w:t>, 2019</w:t>
      </w:r>
      <w:r w:rsidRPr="00C97FA6">
        <w:rPr>
          <w:rFonts w:ascii="Times New Roman" w:eastAsia="Times New Roman" w:hAnsi="Times New Roman"/>
          <w:color w:val="000000"/>
          <w:sz w:val="24"/>
          <w:szCs w:val="24"/>
        </w:rPr>
        <w:t>,</w:t>
      </w:r>
      <w:r w:rsidRPr="000C348D">
        <w:rPr>
          <w:rFonts w:ascii="Times New Roman" w:eastAsia="Times New Roman" w:hAnsi="Times New Roman"/>
          <w:color w:val="000000"/>
          <w:sz w:val="24"/>
          <w:szCs w:val="24"/>
        </w:rPr>
        <w:t xml:space="preserve"> on file in this office.</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_______________________</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City Clerk, Clerk of Council</w:t>
      </w:r>
    </w:p>
    <w:p w:rsidR="0073286D" w:rsidRPr="000C348D" w:rsidRDefault="0073286D" w:rsidP="00252740">
      <w:pPr>
        <w:spacing w:after="0" w:line="240" w:lineRule="auto"/>
        <w:rPr>
          <w:rFonts w:ascii="Times New Roman" w:hAnsi="Times New Roman"/>
          <w:sz w:val="24"/>
          <w:szCs w:val="24"/>
        </w:rPr>
      </w:pPr>
      <w:r w:rsidRPr="000C348D">
        <w:rPr>
          <w:rFonts w:ascii="Times New Roman" w:eastAsia="Times New Roman" w:hAnsi="Times New Roman"/>
          <w:color w:val="000000"/>
          <w:sz w:val="24"/>
          <w:szCs w:val="24"/>
        </w:rPr>
        <w:br/>
      </w:r>
    </w:p>
    <w:p w:rsidR="009414CB" w:rsidRPr="000C348D" w:rsidRDefault="009414CB" w:rsidP="00252740">
      <w:pPr>
        <w:spacing w:after="0" w:line="240" w:lineRule="auto"/>
        <w:rPr>
          <w:rFonts w:ascii="Times New Roman" w:hAnsi="Times New Roman"/>
          <w:sz w:val="24"/>
          <w:szCs w:val="24"/>
        </w:rPr>
      </w:pPr>
    </w:p>
    <w:sectPr w:rsidR="009414CB" w:rsidRPr="000C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525AB"/>
    <w:multiLevelType w:val="hybridMultilevel"/>
    <w:tmpl w:val="7496F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4"/>
  </w:num>
  <w:num w:numId="8">
    <w:abstractNumId w:val="3"/>
  </w:num>
  <w:num w:numId="9">
    <w:abstractNumId w:val="21"/>
  </w:num>
  <w:num w:numId="10">
    <w:abstractNumId w:val="12"/>
  </w:num>
  <w:num w:numId="11">
    <w:abstractNumId w:val="23"/>
  </w:num>
  <w:num w:numId="12">
    <w:abstractNumId w:val="15"/>
  </w:num>
  <w:num w:numId="13">
    <w:abstractNumId w:val="19"/>
  </w:num>
  <w:num w:numId="14">
    <w:abstractNumId w:val="9"/>
  </w:num>
  <w:num w:numId="15">
    <w:abstractNumId w:val="2"/>
  </w:num>
  <w:num w:numId="16">
    <w:abstractNumId w:val="16"/>
  </w:num>
  <w:num w:numId="17">
    <w:abstractNumId w:val="18"/>
  </w:num>
  <w:num w:numId="18">
    <w:abstractNumId w:val="11"/>
  </w:num>
  <w:num w:numId="19">
    <w:abstractNumId w:val="7"/>
  </w:num>
  <w:num w:numId="20">
    <w:abstractNumId w:val="22"/>
  </w:num>
  <w:num w:numId="21">
    <w:abstractNumId w:val="13"/>
  </w:num>
  <w:num w:numId="22">
    <w:abstractNumId w:val="14"/>
  </w:num>
  <w:num w:numId="23">
    <w:abstractNumId w:val="6"/>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0256E"/>
    <w:rsid w:val="001049FE"/>
    <w:rsid w:val="00162218"/>
    <w:rsid w:val="001A6068"/>
    <w:rsid w:val="001B6394"/>
    <w:rsid w:val="001F1C36"/>
    <w:rsid w:val="00251EEF"/>
    <w:rsid w:val="00252740"/>
    <w:rsid w:val="00290DB9"/>
    <w:rsid w:val="002E2652"/>
    <w:rsid w:val="002E5D97"/>
    <w:rsid w:val="003614B8"/>
    <w:rsid w:val="00393C20"/>
    <w:rsid w:val="00396B30"/>
    <w:rsid w:val="003A3345"/>
    <w:rsid w:val="003C21B1"/>
    <w:rsid w:val="003C6904"/>
    <w:rsid w:val="004108FA"/>
    <w:rsid w:val="0041337C"/>
    <w:rsid w:val="00422734"/>
    <w:rsid w:val="00464656"/>
    <w:rsid w:val="004C4EEB"/>
    <w:rsid w:val="004D0112"/>
    <w:rsid w:val="00551FC9"/>
    <w:rsid w:val="00575550"/>
    <w:rsid w:val="00612ED6"/>
    <w:rsid w:val="0062559B"/>
    <w:rsid w:val="00631436"/>
    <w:rsid w:val="00670D5A"/>
    <w:rsid w:val="006979EE"/>
    <w:rsid w:val="006A7D8A"/>
    <w:rsid w:val="006C4F12"/>
    <w:rsid w:val="006D1B86"/>
    <w:rsid w:val="006D2754"/>
    <w:rsid w:val="006D58D3"/>
    <w:rsid w:val="0073286D"/>
    <w:rsid w:val="00775702"/>
    <w:rsid w:val="00775B49"/>
    <w:rsid w:val="00791DEE"/>
    <w:rsid w:val="007A66F7"/>
    <w:rsid w:val="007B5254"/>
    <w:rsid w:val="007B77C1"/>
    <w:rsid w:val="007C1196"/>
    <w:rsid w:val="0084137F"/>
    <w:rsid w:val="00854B17"/>
    <w:rsid w:val="00866B9B"/>
    <w:rsid w:val="008D35E5"/>
    <w:rsid w:val="009414CB"/>
    <w:rsid w:val="00943877"/>
    <w:rsid w:val="0095438A"/>
    <w:rsid w:val="00966B47"/>
    <w:rsid w:val="009B0658"/>
    <w:rsid w:val="009F287F"/>
    <w:rsid w:val="00A138F6"/>
    <w:rsid w:val="00A41220"/>
    <w:rsid w:val="00A47BD0"/>
    <w:rsid w:val="00A64149"/>
    <w:rsid w:val="00AB3565"/>
    <w:rsid w:val="00AE0401"/>
    <w:rsid w:val="00AE5070"/>
    <w:rsid w:val="00B0080F"/>
    <w:rsid w:val="00B021F4"/>
    <w:rsid w:val="00B17CA9"/>
    <w:rsid w:val="00B419C7"/>
    <w:rsid w:val="00B64CF7"/>
    <w:rsid w:val="00B71234"/>
    <w:rsid w:val="00B93DE8"/>
    <w:rsid w:val="00BA7FA2"/>
    <w:rsid w:val="00BE749C"/>
    <w:rsid w:val="00C065C4"/>
    <w:rsid w:val="00C377BD"/>
    <w:rsid w:val="00C625C8"/>
    <w:rsid w:val="00C84DD8"/>
    <w:rsid w:val="00C97FA6"/>
    <w:rsid w:val="00CA1327"/>
    <w:rsid w:val="00CA5C7A"/>
    <w:rsid w:val="00CB2A51"/>
    <w:rsid w:val="00CD00B6"/>
    <w:rsid w:val="00CD472D"/>
    <w:rsid w:val="00CF2E71"/>
    <w:rsid w:val="00D01CAB"/>
    <w:rsid w:val="00D116F7"/>
    <w:rsid w:val="00D20A91"/>
    <w:rsid w:val="00D46AD9"/>
    <w:rsid w:val="00D558ED"/>
    <w:rsid w:val="00D95A83"/>
    <w:rsid w:val="00DA2BD0"/>
    <w:rsid w:val="00DC7574"/>
    <w:rsid w:val="00DD167C"/>
    <w:rsid w:val="00E34515"/>
    <w:rsid w:val="00E41905"/>
    <w:rsid w:val="00E56D80"/>
    <w:rsid w:val="00E56FD3"/>
    <w:rsid w:val="00E83ABE"/>
    <w:rsid w:val="00EA188C"/>
    <w:rsid w:val="00EB3DDB"/>
    <w:rsid w:val="00EF2B20"/>
    <w:rsid w:val="00F02B0C"/>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30E8"/>
  <w15:chartTrackingRefBased/>
  <w15:docId w15:val="{589DC365-DF4F-4F5B-9ED4-A06585CE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2019-04-16T15:14:00Z</cp:lastPrinted>
  <dcterms:created xsi:type="dcterms:W3CDTF">2019-07-23T13:23:00Z</dcterms:created>
  <dcterms:modified xsi:type="dcterms:W3CDTF">2019-07-23T14:26:00Z</dcterms:modified>
</cp:coreProperties>
</file>