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9E5F10" w:rsidP="006C7B28">
      <w:pPr>
        <w:framePr w:hSpace="180" w:wrap="auto" w:vAnchor="text" w:hAnchor="page" w:x="5473" w:y="229"/>
        <w:jc w:val="center"/>
      </w:pPr>
      <w:r>
        <w:rPr>
          <w:noProof/>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DC28A3"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467352">
        <w:t>June 13, 2019</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w:t>
      </w:r>
      <w:r w:rsidR="00D71F25">
        <w:rPr>
          <w:b/>
          <w:sz w:val="25"/>
        </w:rPr>
        <w:t>Andrew Cohen</w:t>
      </w:r>
    </w:p>
    <w:p w:rsidR="007D390C" w:rsidRDefault="007D390C" w:rsidP="00BF0B3F">
      <w:pPr>
        <w:tabs>
          <w:tab w:val="left" w:pos="-1440"/>
        </w:tabs>
        <w:ind w:left="360"/>
        <w:jc w:val="center"/>
        <w:rPr>
          <w:b/>
          <w:sz w:val="25"/>
        </w:rPr>
      </w:pPr>
    </w:p>
    <w:p w:rsidR="00683B95" w:rsidRPr="00B613E1"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221B67">
        <w:rPr>
          <w:b/>
          <w:sz w:val="25"/>
        </w:rPr>
        <w:t xml:space="preserve"> 11</w:t>
      </w:r>
      <w:r>
        <w:rPr>
          <w:b/>
          <w:sz w:val="25"/>
        </w:rPr>
        <w:t>:</w:t>
      </w:r>
      <w:r>
        <w:rPr>
          <w:b/>
          <w:sz w:val="25"/>
        </w:rPr>
        <w:tab/>
      </w:r>
      <w:r>
        <w:rPr>
          <w:b/>
          <w:sz w:val="25"/>
        </w:rPr>
        <w:tab/>
      </w:r>
      <w:r w:rsidR="00467352">
        <w:rPr>
          <w:b/>
          <w:sz w:val="25"/>
        </w:rPr>
        <w:t xml:space="preserve"> </w:t>
      </w:r>
      <w:r w:rsidR="00F25925">
        <w:rPr>
          <w:b/>
          <w:sz w:val="25"/>
        </w:rPr>
        <w:t>A.8282</w:t>
      </w:r>
      <w:r w:rsidR="00467352">
        <w:rPr>
          <w:b/>
          <w:sz w:val="25"/>
        </w:rPr>
        <w:t xml:space="preserve"> (</w:t>
      </w:r>
      <w:r w:rsidR="00F25925">
        <w:rPr>
          <w:b/>
          <w:sz w:val="25"/>
        </w:rPr>
        <w:t>Abbate</w:t>
      </w:r>
      <w:r w:rsidR="00467352">
        <w:rPr>
          <w:b/>
          <w:sz w:val="25"/>
        </w:rPr>
        <w:t>)</w:t>
      </w:r>
    </w:p>
    <w:p w:rsidR="00683B95" w:rsidRPr="00BF0B3F" w:rsidRDefault="00A467CC" w:rsidP="00683B95">
      <w:pPr>
        <w:rPr>
          <w:b/>
          <w:szCs w:val="24"/>
        </w:rPr>
      </w:pPr>
      <w:r>
        <w:rPr>
          <w:szCs w:val="24"/>
        </w:rPr>
        <w:tab/>
      </w:r>
      <w:r>
        <w:rPr>
          <w:szCs w:val="24"/>
        </w:rPr>
        <w:tab/>
      </w:r>
      <w:r>
        <w:rPr>
          <w:szCs w:val="24"/>
        </w:rPr>
        <w:tab/>
      </w:r>
      <w:r>
        <w:rPr>
          <w:szCs w:val="24"/>
        </w:rPr>
        <w:tab/>
        <w:t xml:space="preserve">        </w:t>
      </w:r>
      <w:r w:rsidR="006D0018">
        <w:rPr>
          <w:szCs w:val="24"/>
        </w:rPr>
        <w:tab/>
      </w:r>
      <w:bookmarkStart w:id="0" w:name="_GoBack"/>
      <w:bookmarkEnd w:id="0"/>
      <w:r w:rsidR="006D0018">
        <w:rPr>
          <w:szCs w:val="24"/>
        </w:rPr>
        <w:t xml:space="preserve"> </w:t>
      </w:r>
      <w:r w:rsidR="00F25925" w:rsidRPr="007407B4">
        <w:rPr>
          <w:b/>
          <w:szCs w:val="24"/>
        </w:rPr>
        <w:t>S</w:t>
      </w:r>
      <w:r w:rsidR="00BF0B3F" w:rsidRPr="007407B4">
        <w:rPr>
          <w:b/>
          <w:szCs w:val="24"/>
        </w:rPr>
        <w:t>.</w:t>
      </w:r>
      <w:r w:rsidR="007407B4">
        <w:rPr>
          <w:b/>
          <w:szCs w:val="24"/>
        </w:rPr>
        <w:t>6474</w:t>
      </w:r>
      <w:r w:rsidRPr="007407B4">
        <w:rPr>
          <w:b/>
        </w:rPr>
        <w:t xml:space="preserve"> </w:t>
      </w:r>
      <w:r w:rsidR="00BF0B3F" w:rsidRPr="007407B4">
        <w:rPr>
          <w:b/>
          <w:szCs w:val="24"/>
        </w:rPr>
        <w:t>(</w:t>
      </w:r>
      <w:proofErr w:type="spellStart"/>
      <w:r w:rsidR="007407B4">
        <w:rPr>
          <w:b/>
          <w:szCs w:val="24"/>
        </w:rPr>
        <w:t>Gounardes</w:t>
      </w:r>
      <w:proofErr w:type="spellEnd"/>
      <w:r w:rsidR="00BF0B3F" w:rsidRPr="007407B4">
        <w:rPr>
          <w:b/>
          <w:szCs w:val="24"/>
        </w:rPr>
        <w:t>)</w:t>
      </w:r>
      <w:r w:rsidR="0096422C" w:rsidRPr="00BF0B3F">
        <w:rPr>
          <w:b/>
          <w:szCs w:val="24"/>
        </w:rPr>
        <w:t xml:space="preserve"> </w:t>
      </w:r>
    </w:p>
    <w:p w:rsidR="00683B95" w:rsidRDefault="00683B95" w:rsidP="00683B95">
      <w:pPr>
        <w:ind w:left="3600" w:hanging="3600"/>
        <w:rPr>
          <w:b/>
          <w:szCs w:val="24"/>
        </w:rPr>
      </w:pPr>
    </w:p>
    <w:p w:rsidR="00F25925"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w:t>
      </w:r>
      <w:r w:rsidR="00824D76">
        <w:rPr>
          <w:szCs w:val="24"/>
        </w:rPr>
        <w:t xml:space="preserve">amend </w:t>
      </w:r>
      <w:r w:rsidR="00F25925">
        <w:rPr>
          <w:szCs w:val="24"/>
        </w:rPr>
        <w:t xml:space="preserve">the military law, in relation to age requirements applicable to appointments or promotions of public employees in cities with a population of one million or more who have been absent on military duty. </w:t>
      </w:r>
    </w:p>
    <w:p w:rsidR="005E6C40" w:rsidRDefault="00F25925" w:rsidP="00135B7E">
      <w:pPr>
        <w:ind w:left="3600" w:hanging="3600"/>
        <w:jc w:val="both"/>
        <w:rPr>
          <w:szCs w:val="24"/>
        </w:rPr>
      </w:pPr>
      <w:r>
        <w:rPr>
          <w:szCs w:val="24"/>
        </w:rPr>
        <w:t xml:space="preserve"> </w:t>
      </w:r>
    </w:p>
    <w:p w:rsidR="00D71F25" w:rsidRDefault="00D71F25" w:rsidP="00135B7E">
      <w:pPr>
        <w:ind w:left="3600" w:hanging="3600"/>
        <w:jc w:val="both"/>
        <w:rPr>
          <w:szCs w:val="24"/>
        </w:rPr>
      </w:pPr>
    </w:p>
    <w:p w:rsidR="00D71F25" w:rsidRDefault="00D71F25" w:rsidP="00135B7E">
      <w:pPr>
        <w:ind w:left="3600" w:hanging="3600"/>
        <w:jc w:val="both"/>
        <w:rPr>
          <w:szCs w:val="24"/>
        </w:rPr>
      </w:pPr>
    </w:p>
    <w:p w:rsidR="00D71F25" w:rsidRDefault="00D71F25" w:rsidP="00135B7E">
      <w:pPr>
        <w:ind w:left="3600" w:hanging="3600"/>
        <w:jc w:val="both"/>
        <w:rPr>
          <w:szCs w:val="24"/>
        </w:rPr>
      </w:pPr>
    </w:p>
    <w:p w:rsidR="00895B16" w:rsidRDefault="00895B16" w:rsidP="00683B95">
      <w:pPr>
        <w:spacing w:line="480" w:lineRule="auto"/>
        <w:rPr>
          <w:szCs w:val="24"/>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DF7D06" w:rsidRDefault="00683B95" w:rsidP="00F31D66">
      <w:pPr>
        <w:spacing w:line="480" w:lineRule="auto"/>
        <w:jc w:val="both"/>
        <w:rPr>
          <w:szCs w:val="24"/>
        </w:rPr>
      </w:pPr>
      <w:r>
        <w:rPr>
          <w:szCs w:val="24"/>
        </w:rPr>
        <w:tab/>
      </w:r>
      <w:r w:rsidR="00DF7D06">
        <w:rPr>
          <w:szCs w:val="24"/>
        </w:rPr>
        <w:t xml:space="preserve">Subdivision 10-a of the military law ensures that when the law sets a maximum age for appointment or promotion to a public service position, a veteran’s years of military service do not deprive the veteran of the opportunity to qualify for </w:t>
      </w:r>
      <w:r w:rsidR="00BA13C4">
        <w:rPr>
          <w:szCs w:val="24"/>
        </w:rPr>
        <w:t>the appointment or promotion</w:t>
      </w:r>
      <w:r w:rsidR="00DF7D06">
        <w:rPr>
          <w:szCs w:val="24"/>
        </w:rPr>
        <w:t xml:space="preserve">. By excluding from consideration, </w:t>
      </w:r>
      <w:r w:rsidR="00CB1103">
        <w:rPr>
          <w:szCs w:val="24"/>
        </w:rPr>
        <w:t>their</w:t>
      </w:r>
      <w:r w:rsidR="00DF7D06">
        <w:rPr>
          <w:szCs w:val="24"/>
        </w:rPr>
        <w:t xml:space="preserve"> years of military service from the computation of the veteran’s age, it allows a veteran whose age exceeds the maximum to be considered for the appointment or promotion. A maximum age limitation of particular significance to veterans that are seeking to serve the city of New York is the maximum age for members of the New York City Fire Department (“FDNY”). The maximum age limitation for the FDNY is twenty-nine. The city of New York has found that military veterans are especially well-prepared by experience, training, physical fitness and discipline to perform the duties of members of paramilitary organizations such as the FDNY. The enactment of this bill to increase the age limitation for military veterans by one year will expand the pool of highly-prepared individuals while ensuring that candidates that have served our country will be ab</w:t>
      </w:r>
      <w:r w:rsidR="00CB1103">
        <w:rPr>
          <w:szCs w:val="24"/>
        </w:rPr>
        <w:t xml:space="preserve">le to provide public service to the city of New York. </w:t>
      </w:r>
    </w:p>
    <w:p w:rsidR="00683B95" w:rsidRPr="00B613E1" w:rsidRDefault="00683B95" w:rsidP="00683B95">
      <w:pPr>
        <w:spacing w:line="480" w:lineRule="auto"/>
        <w:rPr>
          <w:b/>
          <w:szCs w:val="24"/>
          <w:u w:val="single"/>
        </w:rPr>
      </w:pPr>
      <w:r w:rsidRPr="00B613E1">
        <w:rPr>
          <w:b/>
          <w:szCs w:val="24"/>
          <w:u w:val="single"/>
        </w:rPr>
        <w:t>PROPOSED LEGISLATION:</w:t>
      </w:r>
    </w:p>
    <w:p w:rsidR="00353485" w:rsidRDefault="00CB1103" w:rsidP="00895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Pr>
          <w:szCs w:val="24"/>
        </w:rPr>
        <w:t xml:space="preserve">Section one of this legislation amends subdivision 10-a of the Military Law to increase from six years to seven years the number of years of military service that can be deducted from the age of an applicant for appointment or promotions to positions in public service in a city of one million or more where maximum age requirements are established by law, rule or action of the municipal civil service commission. </w:t>
      </w:r>
      <w:r>
        <w:rPr>
          <w:szCs w:val="24"/>
        </w:rPr>
        <w:tab/>
      </w:r>
    </w:p>
    <w:p w:rsidR="00353485" w:rsidRDefault="00353485" w:rsidP="00CB1103">
      <w:pPr>
        <w:spacing w:line="480" w:lineRule="auto"/>
        <w:ind w:firstLine="720"/>
        <w:jc w:val="both"/>
        <w:rPr>
          <w:szCs w:val="24"/>
        </w:rPr>
      </w:pPr>
      <w:r>
        <w:rPr>
          <w:szCs w:val="24"/>
        </w:rPr>
        <w:t xml:space="preserve">Section </w:t>
      </w:r>
      <w:r w:rsidR="00895B16">
        <w:rPr>
          <w:szCs w:val="24"/>
        </w:rPr>
        <w:t>two</w:t>
      </w:r>
      <w:r>
        <w:rPr>
          <w:szCs w:val="24"/>
        </w:rPr>
        <w:t xml:space="preserve"> states that the effective date.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lastRenderedPageBreak/>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813658" w:rsidRDefault="00895B16" w:rsidP="00895B16">
      <w:pPr>
        <w:spacing w:line="480" w:lineRule="auto"/>
        <w:ind w:firstLine="720"/>
        <w:rPr>
          <w:szCs w:val="24"/>
        </w:rPr>
      </w:pPr>
      <w:r>
        <w:rPr>
          <w:szCs w:val="24"/>
        </w:rPr>
        <w:t>Immediately.</w:t>
      </w:r>
    </w:p>
    <w:p w:rsidR="00813658" w:rsidRDefault="00813658" w:rsidP="004164BF">
      <w:pPr>
        <w:spacing w:line="480" w:lineRule="auto"/>
        <w:ind w:firstLine="720"/>
        <w:rPr>
          <w:szCs w:val="24"/>
        </w:rPr>
      </w:pPr>
    </w:p>
    <w:p w:rsidR="00135B7E" w:rsidRPr="00BD09E0" w:rsidRDefault="00135B7E" w:rsidP="00895B16">
      <w:pPr>
        <w:spacing w:line="480" w:lineRule="auto"/>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F1" w:rsidRDefault="002B66F1">
      <w:r>
        <w:separator/>
      </w:r>
    </w:p>
  </w:endnote>
  <w:endnote w:type="continuationSeparator" w:id="0">
    <w:p w:rsidR="002B66F1" w:rsidRDefault="002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F1" w:rsidRDefault="002B66F1">
      <w:r>
        <w:separator/>
      </w:r>
    </w:p>
  </w:footnote>
  <w:footnote w:type="continuationSeparator" w:id="0">
    <w:p w:rsidR="002B66F1" w:rsidRDefault="002B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00F4"/>
    <w:rsid w:val="0001490D"/>
    <w:rsid w:val="0002254F"/>
    <w:rsid w:val="00023596"/>
    <w:rsid w:val="00036FA0"/>
    <w:rsid w:val="00040756"/>
    <w:rsid w:val="00046B48"/>
    <w:rsid w:val="00060786"/>
    <w:rsid w:val="00081764"/>
    <w:rsid w:val="00090460"/>
    <w:rsid w:val="00096771"/>
    <w:rsid w:val="0009745D"/>
    <w:rsid w:val="000A4989"/>
    <w:rsid w:val="000A595A"/>
    <w:rsid w:val="000E4795"/>
    <w:rsid w:val="00124B72"/>
    <w:rsid w:val="00135B7E"/>
    <w:rsid w:val="00137E64"/>
    <w:rsid w:val="0016153C"/>
    <w:rsid w:val="001B1EAF"/>
    <w:rsid w:val="001D1D14"/>
    <w:rsid w:val="001E79C8"/>
    <w:rsid w:val="001F1F28"/>
    <w:rsid w:val="001F3D65"/>
    <w:rsid w:val="00201C9C"/>
    <w:rsid w:val="00221B67"/>
    <w:rsid w:val="002277A8"/>
    <w:rsid w:val="002409D6"/>
    <w:rsid w:val="00241339"/>
    <w:rsid w:val="0024370F"/>
    <w:rsid w:val="002438BF"/>
    <w:rsid w:val="00257BC0"/>
    <w:rsid w:val="00291B27"/>
    <w:rsid w:val="0029434B"/>
    <w:rsid w:val="00295A80"/>
    <w:rsid w:val="002B08B4"/>
    <w:rsid w:val="002B66F1"/>
    <w:rsid w:val="002E5730"/>
    <w:rsid w:val="00312502"/>
    <w:rsid w:val="00323B46"/>
    <w:rsid w:val="00334A23"/>
    <w:rsid w:val="00343FB9"/>
    <w:rsid w:val="00346483"/>
    <w:rsid w:val="00347397"/>
    <w:rsid w:val="00353485"/>
    <w:rsid w:val="0035399A"/>
    <w:rsid w:val="003720AC"/>
    <w:rsid w:val="003B0493"/>
    <w:rsid w:val="003C1720"/>
    <w:rsid w:val="003C33EE"/>
    <w:rsid w:val="003C6129"/>
    <w:rsid w:val="004164BF"/>
    <w:rsid w:val="00420AB4"/>
    <w:rsid w:val="004442DF"/>
    <w:rsid w:val="004643E8"/>
    <w:rsid w:val="00467352"/>
    <w:rsid w:val="00473090"/>
    <w:rsid w:val="004930D1"/>
    <w:rsid w:val="0049385E"/>
    <w:rsid w:val="004B421A"/>
    <w:rsid w:val="004C376A"/>
    <w:rsid w:val="004C7D74"/>
    <w:rsid w:val="004D1033"/>
    <w:rsid w:val="004D1BF0"/>
    <w:rsid w:val="004F3A80"/>
    <w:rsid w:val="00517F17"/>
    <w:rsid w:val="00541724"/>
    <w:rsid w:val="005731C8"/>
    <w:rsid w:val="0057672C"/>
    <w:rsid w:val="005D17F5"/>
    <w:rsid w:val="005E2073"/>
    <w:rsid w:val="005E6C40"/>
    <w:rsid w:val="00600B8F"/>
    <w:rsid w:val="00606A66"/>
    <w:rsid w:val="00615F90"/>
    <w:rsid w:val="00625FF5"/>
    <w:rsid w:val="006330C4"/>
    <w:rsid w:val="0063343B"/>
    <w:rsid w:val="006609AC"/>
    <w:rsid w:val="00683B95"/>
    <w:rsid w:val="00697AC4"/>
    <w:rsid w:val="006B7D1C"/>
    <w:rsid w:val="006C7B28"/>
    <w:rsid w:val="006D0018"/>
    <w:rsid w:val="006D3B1D"/>
    <w:rsid w:val="006E44D3"/>
    <w:rsid w:val="006F4DAC"/>
    <w:rsid w:val="006F6AE7"/>
    <w:rsid w:val="00702F1B"/>
    <w:rsid w:val="00704F18"/>
    <w:rsid w:val="0071035B"/>
    <w:rsid w:val="0071420E"/>
    <w:rsid w:val="00725841"/>
    <w:rsid w:val="007407B4"/>
    <w:rsid w:val="00765807"/>
    <w:rsid w:val="007811AA"/>
    <w:rsid w:val="007902FB"/>
    <w:rsid w:val="00790756"/>
    <w:rsid w:val="007A11A9"/>
    <w:rsid w:val="007B07A5"/>
    <w:rsid w:val="007B1273"/>
    <w:rsid w:val="007B4FDA"/>
    <w:rsid w:val="007C4E3C"/>
    <w:rsid w:val="007D390C"/>
    <w:rsid w:val="00810AA3"/>
    <w:rsid w:val="00811085"/>
    <w:rsid w:val="00813658"/>
    <w:rsid w:val="00824D76"/>
    <w:rsid w:val="0085498A"/>
    <w:rsid w:val="00855A0C"/>
    <w:rsid w:val="00866156"/>
    <w:rsid w:val="0088090D"/>
    <w:rsid w:val="00892A4D"/>
    <w:rsid w:val="00895B16"/>
    <w:rsid w:val="00897B53"/>
    <w:rsid w:val="008A5151"/>
    <w:rsid w:val="008B0F5D"/>
    <w:rsid w:val="008C572E"/>
    <w:rsid w:val="008F6226"/>
    <w:rsid w:val="009032F6"/>
    <w:rsid w:val="0092577A"/>
    <w:rsid w:val="009374AA"/>
    <w:rsid w:val="00941BE4"/>
    <w:rsid w:val="00946DFB"/>
    <w:rsid w:val="00951136"/>
    <w:rsid w:val="00952924"/>
    <w:rsid w:val="0096422C"/>
    <w:rsid w:val="009653E9"/>
    <w:rsid w:val="009A4226"/>
    <w:rsid w:val="009B3E1A"/>
    <w:rsid w:val="009D3CBA"/>
    <w:rsid w:val="009E5F10"/>
    <w:rsid w:val="009F5EF0"/>
    <w:rsid w:val="009F6A12"/>
    <w:rsid w:val="00A07D0A"/>
    <w:rsid w:val="00A14AC3"/>
    <w:rsid w:val="00A368E9"/>
    <w:rsid w:val="00A467CC"/>
    <w:rsid w:val="00A51A97"/>
    <w:rsid w:val="00A624F6"/>
    <w:rsid w:val="00A6257F"/>
    <w:rsid w:val="00AA1CE0"/>
    <w:rsid w:val="00AA2503"/>
    <w:rsid w:val="00AA2B27"/>
    <w:rsid w:val="00AB0317"/>
    <w:rsid w:val="00AB7AD2"/>
    <w:rsid w:val="00AD4421"/>
    <w:rsid w:val="00B118E4"/>
    <w:rsid w:val="00B26B02"/>
    <w:rsid w:val="00B31BCA"/>
    <w:rsid w:val="00B32BAE"/>
    <w:rsid w:val="00B46215"/>
    <w:rsid w:val="00B54F4E"/>
    <w:rsid w:val="00B67BFC"/>
    <w:rsid w:val="00B81307"/>
    <w:rsid w:val="00B8169E"/>
    <w:rsid w:val="00B82114"/>
    <w:rsid w:val="00B90755"/>
    <w:rsid w:val="00BA13C4"/>
    <w:rsid w:val="00BB4AB2"/>
    <w:rsid w:val="00BC2F05"/>
    <w:rsid w:val="00BD09E0"/>
    <w:rsid w:val="00BD6E32"/>
    <w:rsid w:val="00BD7E08"/>
    <w:rsid w:val="00BE3F38"/>
    <w:rsid w:val="00BF0B3F"/>
    <w:rsid w:val="00C06872"/>
    <w:rsid w:val="00C12FB6"/>
    <w:rsid w:val="00C31898"/>
    <w:rsid w:val="00C37179"/>
    <w:rsid w:val="00C4631D"/>
    <w:rsid w:val="00C46E66"/>
    <w:rsid w:val="00C55159"/>
    <w:rsid w:val="00C819A2"/>
    <w:rsid w:val="00C9099A"/>
    <w:rsid w:val="00C95065"/>
    <w:rsid w:val="00C96B84"/>
    <w:rsid w:val="00CA3B97"/>
    <w:rsid w:val="00CB1103"/>
    <w:rsid w:val="00CB7ECA"/>
    <w:rsid w:val="00CC0BA8"/>
    <w:rsid w:val="00CC4F7C"/>
    <w:rsid w:val="00CD0F3B"/>
    <w:rsid w:val="00CD45B9"/>
    <w:rsid w:val="00CF4988"/>
    <w:rsid w:val="00CF7BDA"/>
    <w:rsid w:val="00D077E2"/>
    <w:rsid w:val="00D232CF"/>
    <w:rsid w:val="00D3771C"/>
    <w:rsid w:val="00D509EE"/>
    <w:rsid w:val="00D53EC4"/>
    <w:rsid w:val="00D5599E"/>
    <w:rsid w:val="00D6665A"/>
    <w:rsid w:val="00D71F25"/>
    <w:rsid w:val="00D90D06"/>
    <w:rsid w:val="00DC28A3"/>
    <w:rsid w:val="00DE13F7"/>
    <w:rsid w:val="00DF4D15"/>
    <w:rsid w:val="00DF7D06"/>
    <w:rsid w:val="00E86333"/>
    <w:rsid w:val="00E913DF"/>
    <w:rsid w:val="00E94CDF"/>
    <w:rsid w:val="00E94EC6"/>
    <w:rsid w:val="00EA2F04"/>
    <w:rsid w:val="00EC0081"/>
    <w:rsid w:val="00F07559"/>
    <w:rsid w:val="00F25925"/>
    <w:rsid w:val="00F31D66"/>
    <w:rsid w:val="00F44E61"/>
    <w:rsid w:val="00F52327"/>
    <w:rsid w:val="00F76007"/>
    <w:rsid w:val="00F809A4"/>
    <w:rsid w:val="00FA3A01"/>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80BD8"/>
  <w15:chartTrackingRefBased/>
  <w15:docId w15:val="{B754CDD6-71F3-453B-8F10-498E1D7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1D80-B293-4D23-AC80-F67308BC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2019-06-10T19:57:00Z</cp:lastPrinted>
  <dcterms:created xsi:type="dcterms:W3CDTF">2019-06-13T10:43:00Z</dcterms:created>
  <dcterms:modified xsi:type="dcterms:W3CDTF">2019-06-13T16:43:00Z</dcterms:modified>
</cp:coreProperties>
</file>