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3993" w14:textId="77777777" w:rsidR="00324FDE" w:rsidRDefault="00324FDE" w:rsidP="00324FDE">
      <w:pPr>
        <w:ind w:firstLine="720"/>
        <w:jc w:val="right"/>
        <w:rPr>
          <w:rFonts w:ascii="Times New Roman" w:eastAsia="Times New Roman" w:hAnsi="Times New Roman"/>
          <w:bCs/>
          <w:color w:val="000000"/>
        </w:rPr>
      </w:pPr>
      <w:bookmarkStart w:id="0" w:name="_GoBack"/>
      <w:bookmarkEnd w:id="0"/>
      <w:r w:rsidRPr="006D2278">
        <w:rPr>
          <w:rFonts w:ascii="Times New Roman" w:eastAsia="Times New Roman" w:hAnsi="Times New Roman"/>
          <w:color w:val="000000"/>
          <w:u w:val="single"/>
        </w:rPr>
        <w:t>Committee on Public Safety</w:t>
      </w:r>
      <w:r w:rsidRPr="006D2278">
        <w:rPr>
          <w:rFonts w:ascii="Times New Roman" w:eastAsia="Times New Roman" w:hAnsi="Times New Roman"/>
          <w:color w:val="000000"/>
        </w:rPr>
        <w:t>:</w:t>
      </w:r>
    </w:p>
    <w:p w14:paraId="58089292" w14:textId="77777777" w:rsidR="00324FDE" w:rsidRDefault="00324FDE" w:rsidP="00324FDE">
      <w:pPr>
        <w:ind w:left="-720"/>
        <w:jc w:val="right"/>
        <w:rPr>
          <w:rFonts w:ascii="Times New Roman" w:eastAsia="Times New Roman" w:hAnsi="Times New Roman"/>
          <w:bCs/>
          <w:color w:val="000000"/>
        </w:rPr>
      </w:pPr>
      <w:r>
        <w:rPr>
          <w:rFonts w:ascii="Times New Roman" w:eastAsia="Times New Roman" w:hAnsi="Times New Roman"/>
          <w:bCs/>
          <w:color w:val="000000"/>
        </w:rPr>
        <w:t xml:space="preserve">Daniel Ades, </w:t>
      </w:r>
      <w:r w:rsidRPr="00705EA0">
        <w:rPr>
          <w:rFonts w:ascii="Times New Roman" w:eastAsia="Times New Roman" w:hAnsi="Times New Roman"/>
          <w:bCs/>
          <w:i/>
          <w:color w:val="000000"/>
        </w:rPr>
        <w:t>Senior Counsel</w:t>
      </w:r>
      <w:r w:rsidRPr="00900CDF">
        <w:rPr>
          <w:rFonts w:ascii="Times New Roman" w:eastAsia="Times New Roman" w:hAnsi="Times New Roman"/>
          <w:bCs/>
          <w:i/>
          <w:color w:val="000000"/>
        </w:rPr>
        <w:t xml:space="preserve"> </w:t>
      </w:r>
    </w:p>
    <w:p w14:paraId="5BEBC088" w14:textId="77777777" w:rsidR="00324FDE" w:rsidRDefault="00324FDE" w:rsidP="00324FDE">
      <w:pPr>
        <w:ind w:left="-720"/>
        <w:jc w:val="right"/>
        <w:rPr>
          <w:rFonts w:ascii="Times New Roman" w:eastAsia="Times New Roman" w:hAnsi="Times New Roman"/>
          <w:bCs/>
          <w:color w:val="000000"/>
        </w:rPr>
      </w:pPr>
      <w:r>
        <w:rPr>
          <w:rFonts w:ascii="Times New Roman" w:eastAsia="Times New Roman" w:hAnsi="Times New Roman"/>
          <w:bCs/>
          <w:color w:val="000000"/>
        </w:rPr>
        <w:t xml:space="preserve">Casie Addison, </w:t>
      </w:r>
      <w:r w:rsidRPr="00705EA0">
        <w:rPr>
          <w:rFonts w:ascii="Times New Roman" w:eastAsia="Times New Roman" w:hAnsi="Times New Roman"/>
          <w:bCs/>
          <w:i/>
          <w:color w:val="000000"/>
        </w:rPr>
        <w:t>Senior</w:t>
      </w:r>
      <w:r>
        <w:rPr>
          <w:rFonts w:ascii="Times New Roman" w:eastAsia="Times New Roman" w:hAnsi="Times New Roman"/>
          <w:bCs/>
          <w:color w:val="000000"/>
        </w:rPr>
        <w:t xml:space="preserve"> </w:t>
      </w:r>
      <w:r w:rsidRPr="00900CDF">
        <w:rPr>
          <w:rFonts w:ascii="Times New Roman" w:eastAsia="Times New Roman" w:hAnsi="Times New Roman"/>
          <w:bCs/>
          <w:i/>
          <w:color w:val="000000"/>
        </w:rPr>
        <w:t>Policy Analyst</w:t>
      </w:r>
      <w:r>
        <w:rPr>
          <w:rFonts w:ascii="Times New Roman" w:eastAsia="Times New Roman" w:hAnsi="Times New Roman"/>
          <w:bCs/>
          <w:color w:val="000000"/>
        </w:rPr>
        <w:t xml:space="preserve"> </w:t>
      </w:r>
    </w:p>
    <w:p w14:paraId="7E4604E8" w14:textId="77777777" w:rsidR="00324FDE" w:rsidRPr="00987D63" w:rsidRDefault="00324FDE" w:rsidP="00324FDE">
      <w:pPr>
        <w:ind w:left="-720"/>
        <w:jc w:val="right"/>
        <w:rPr>
          <w:rFonts w:ascii="Times New Roman" w:eastAsia="Times New Roman" w:hAnsi="Times New Roman"/>
          <w:bCs/>
          <w:i/>
          <w:color w:val="000000"/>
        </w:rPr>
      </w:pPr>
      <w:r>
        <w:rPr>
          <w:rFonts w:ascii="Times New Roman" w:eastAsia="Times New Roman" w:hAnsi="Times New Roman"/>
          <w:bCs/>
          <w:color w:val="000000"/>
        </w:rPr>
        <w:t xml:space="preserve">Nevin Singh, </w:t>
      </w:r>
      <w:r w:rsidRPr="00987D63">
        <w:rPr>
          <w:rFonts w:ascii="Times New Roman" w:eastAsia="Times New Roman" w:hAnsi="Times New Roman"/>
          <w:bCs/>
          <w:i/>
          <w:color w:val="000000"/>
        </w:rPr>
        <w:t xml:space="preserve">Financial Analyst </w:t>
      </w:r>
    </w:p>
    <w:p w14:paraId="5F3740E0" w14:textId="77777777" w:rsidR="00A70531" w:rsidRDefault="00324FDE">
      <w:pPr>
        <w:rPr>
          <w:rFonts w:ascii="Times New Roman" w:hAnsi="Times New Roman" w:cs="Times New Roman"/>
        </w:rPr>
      </w:pPr>
      <w:r>
        <w:rPr>
          <w:noProof/>
        </w:rPr>
        <w:drawing>
          <wp:anchor distT="0" distB="0" distL="114300" distR="114300" simplePos="0" relativeHeight="251659264" behindDoc="0" locked="0" layoutInCell="0" allowOverlap="1" wp14:anchorId="7BCF3816" wp14:editId="57A79E59">
            <wp:simplePos x="0" y="0"/>
            <wp:positionH relativeFrom="margin">
              <wp:posOffset>2171700</wp:posOffset>
            </wp:positionH>
            <wp:positionV relativeFrom="paragraph">
              <wp:posOffset>137160</wp:posOffset>
            </wp:positionV>
            <wp:extent cx="1213485" cy="1202690"/>
            <wp:effectExtent l="0" t="0" r="571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0B04F" w14:textId="77777777" w:rsidR="00324FDE" w:rsidRPr="00D67DE1" w:rsidRDefault="00324FDE" w:rsidP="00324FDE">
      <w:pPr>
        <w:spacing w:line="480" w:lineRule="auto"/>
        <w:ind w:left="-720"/>
        <w:jc w:val="both"/>
        <w:rPr>
          <w:rFonts w:ascii="Times New Roman" w:eastAsia="Times New Roman" w:hAnsi="Times New Roman"/>
          <w:b/>
          <w:bCs/>
          <w:color w:val="000000"/>
        </w:rPr>
      </w:pPr>
    </w:p>
    <w:p w14:paraId="2C38A5DC" w14:textId="77777777" w:rsidR="00324FDE" w:rsidRPr="00D67DE1" w:rsidRDefault="00324FDE" w:rsidP="00324FDE">
      <w:pPr>
        <w:spacing w:line="480" w:lineRule="auto"/>
        <w:ind w:left="-720"/>
        <w:jc w:val="center"/>
        <w:rPr>
          <w:rFonts w:ascii="Times New Roman" w:eastAsia="Times New Roman" w:hAnsi="Times New Roman"/>
          <w:b/>
          <w:bCs/>
          <w:color w:val="000000"/>
        </w:rPr>
      </w:pPr>
    </w:p>
    <w:p w14:paraId="143FB6A0" w14:textId="77777777" w:rsidR="00324FDE" w:rsidRPr="007963B0" w:rsidRDefault="00324FDE" w:rsidP="00324FDE">
      <w:pPr>
        <w:spacing w:line="480" w:lineRule="auto"/>
        <w:jc w:val="center"/>
        <w:rPr>
          <w:rFonts w:ascii="Times New Roman" w:eastAsia="Times New Roman" w:hAnsi="Times New Roman"/>
          <w:b/>
          <w:bCs/>
          <w:color w:val="000000"/>
          <w:sz w:val="14"/>
        </w:rPr>
      </w:pPr>
    </w:p>
    <w:p w14:paraId="6B4DD976" w14:textId="77777777" w:rsidR="00324FDE" w:rsidRDefault="00324FDE" w:rsidP="00324FDE">
      <w:pPr>
        <w:spacing w:line="480" w:lineRule="auto"/>
        <w:jc w:val="center"/>
        <w:rPr>
          <w:rFonts w:ascii="Times New Roman" w:eastAsia="Times New Roman" w:hAnsi="Times New Roman"/>
          <w:b/>
          <w:bCs/>
          <w:color w:val="000000"/>
        </w:rPr>
      </w:pPr>
    </w:p>
    <w:p w14:paraId="249C6CB2" w14:textId="77777777" w:rsidR="00324FDE" w:rsidRPr="00084A46" w:rsidRDefault="00324FDE" w:rsidP="00324FDE">
      <w:pPr>
        <w:spacing w:line="480" w:lineRule="auto"/>
        <w:jc w:val="center"/>
        <w:rPr>
          <w:rFonts w:ascii="Times New Roman" w:eastAsia="Times New Roman" w:hAnsi="Times New Roman"/>
          <w:b/>
          <w:bCs/>
          <w:color w:val="000000"/>
        </w:rPr>
      </w:pPr>
      <w:r w:rsidRPr="00D67DE1">
        <w:rPr>
          <w:rFonts w:ascii="Times New Roman" w:eastAsia="Times New Roman" w:hAnsi="Times New Roman"/>
          <w:b/>
          <w:bCs/>
          <w:color w:val="000000"/>
        </w:rPr>
        <w:t>THE COUNCIL OF THE CITY OF NEW YORK</w:t>
      </w:r>
    </w:p>
    <w:p w14:paraId="2002A0A3" w14:textId="77777777" w:rsidR="00324FDE" w:rsidRPr="004748F1" w:rsidRDefault="006E54E5" w:rsidP="004748F1">
      <w:pPr>
        <w:jc w:val="center"/>
        <w:rPr>
          <w:rFonts w:ascii="Times New Roman" w:eastAsia="Times New Roman" w:hAnsi="Times New Roman"/>
          <w:b/>
          <w:bCs/>
          <w:color w:val="000000"/>
          <w:u w:val="single"/>
        </w:rPr>
      </w:pPr>
      <w:r>
        <w:rPr>
          <w:rFonts w:ascii="Times New Roman" w:eastAsia="Times New Roman" w:hAnsi="Times New Roman"/>
          <w:b/>
          <w:bCs/>
          <w:color w:val="000000"/>
          <w:u w:val="single"/>
        </w:rPr>
        <w:t xml:space="preserve">BRIEFING PAPER AND </w:t>
      </w:r>
      <w:r w:rsidR="00324FDE">
        <w:rPr>
          <w:rFonts w:ascii="Times New Roman" w:eastAsia="Times New Roman" w:hAnsi="Times New Roman"/>
          <w:b/>
          <w:bCs/>
          <w:color w:val="000000"/>
          <w:u w:val="single"/>
        </w:rPr>
        <w:t>COMMITTEE REPORT OF THE GOVERNMENTAL AFFAIRS DIVISION</w:t>
      </w:r>
    </w:p>
    <w:p w14:paraId="1FD95AFE" w14:textId="77777777" w:rsidR="00324FDE" w:rsidRDefault="00324FDE" w:rsidP="00324FDE">
      <w:pPr>
        <w:jc w:val="center"/>
        <w:rPr>
          <w:rFonts w:ascii="Times New Roman" w:eastAsia="Times New Roman" w:hAnsi="Times New Roman"/>
          <w:b/>
          <w:bCs/>
          <w:color w:val="000000"/>
        </w:rPr>
      </w:pPr>
      <w:r w:rsidRPr="008755DA">
        <w:rPr>
          <w:rFonts w:ascii="Times New Roman" w:eastAsia="Times New Roman" w:hAnsi="Times New Roman"/>
          <w:b/>
          <w:bCs/>
          <w:color w:val="000000"/>
        </w:rPr>
        <w:t>Jeff</w:t>
      </w:r>
      <w:r>
        <w:rPr>
          <w:rFonts w:ascii="Times New Roman" w:eastAsia="Times New Roman" w:hAnsi="Times New Roman"/>
          <w:b/>
          <w:bCs/>
          <w:color w:val="000000"/>
        </w:rPr>
        <w:t>rey</w:t>
      </w:r>
      <w:r w:rsidRPr="008755DA">
        <w:rPr>
          <w:rFonts w:ascii="Times New Roman" w:eastAsia="Times New Roman" w:hAnsi="Times New Roman"/>
          <w:b/>
          <w:bCs/>
          <w:color w:val="000000"/>
        </w:rPr>
        <w:t xml:space="preserve"> Baker, Legislative Director</w:t>
      </w:r>
    </w:p>
    <w:p w14:paraId="70848A94" w14:textId="77777777" w:rsidR="00324FDE" w:rsidRPr="008755DA" w:rsidRDefault="00324FDE" w:rsidP="00324FDE">
      <w:pPr>
        <w:jc w:val="center"/>
        <w:rPr>
          <w:rFonts w:ascii="Times New Roman" w:eastAsia="Times New Roman" w:hAnsi="Times New Roman"/>
        </w:rPr>
      </w:pPr>
      <w:r>
        <w:rPr>
          <w:rFonts w:ascii="Times New Roman" w:eastAsia="Times New Roman" w:hAnsi="Times New Roman"/>
          <w:b/>
          <w:bCs/>
          <w:color w:val="000000"/>
        </w:rPr>
        <w:t xml:space="preserve">Brian Crow, Deputy Director, Justice Division </w:t>
      </w:r>
    </w:p>
    <w:p w14:paraId="27C53479" w14:textId="77777777" w:rsidR="00324FDE" w:rsidRDefault="00324FDE">
      <w:pPr>
        <w:rPr>
          <w:rFonts w:ascii="Times New Roman" w:hAnsi="Times New Roman" w:cs="Times New Roman"/>
        </w:rPr>
      </w:pPr>
    </w:p>
    <w:p w14:paraId="537ABE3A" w14:textId="77777777" w:rsidR="00324FDE" w:rsidRDefault="00324FDE">
      <w:pPr>
        <w:rPr>
          <w:rFonts w:ascii="Times New Roman" w:hAnsi="Times New Roman" w:cs="Times New Roman"/>
        </w:rPr>
      </w:pPr>
    </w:p>
    <w:p w14:paraId="26E0A0B9" w14:textId="77777777" w:rsidR="00324FDE" w:rsidRDefault="00324FDE">
      <w:pPr>
        <w:rPr>
          <w:rFonts w:ascii="Times New Roman" w:hAnsi="Times New Roman" w:cs="Times New Roman"/>
        </w:rPr>
      </w:pPr>
    </w:p>
    <w:p w14:paraId="12829108" w14:textId="77777777" w:rsidR="00324FDE" w:rsidRPr="0070406E" w:rsidRDefault="00324FDE" w:rsidP="00324FDE">
      <w:pPr>
        <w:jc w:val="center"/>
        <w:rPr>
          <w:rFonts w:ascii="Times" w:eastAsia="Times New Roman" w:hAnsi="Times"/>
          <w:b/>
          <w:bCs/>
          <w:color w:val="000000"/>
          <w:u w:val="single"/>
        </w:rPr>
      </w:pPr>
      <w:r w:rsidRPr="0070406E">
        <w:rPr>
          <w:rFonts w:ascii="Times" w:eastAsia="Times New Roman" w:hAnsi="Times"/>
          <w:b/>
          <w:bCs/>
          <w:color w:val="000000"/>
          <w:u w:val="single"/>
        </w:rPr>
        <w:t>COMMITTEE ON PUBLIC SAFETY</w:t>
      </w:r>
    </w:p>
    <w:p w14:paraId="36029FBF" w14:textId="77777777" w:rsidR="00324FDE" w:rsidRPr="0070406E" w:rsidRDefault="00324FDE" w:rsidP="00324FDE">
      <w:pPr>
        <w:jc w:val="center"/>
        <w:rPr>
          <w:rFonts w:ascii="Times" w:eastAsia="Times New Roman" w:hAnsi="Times"/>
          <w:b/>
          <w:bCs/>
          <w:color w:val="000000"/>
        </w:rPr>
      </w:pPr>
      <w:r w:rsidRPr="0070406E">
        <w:rPr>
          <w:rFonts w:ascii="Times" w:eastAsia="Times New Roman" w:hAnsi="Times"/>
          <w:b/>
          <w:bCs/>
          <w:color w:val="000000"/>
        </w:rPr>
        <w:t>Hon. Donovan Richards, Chair</w:t>
      </w:r>
    </w:p>
    <w:p w14:paraId="1DB732F0" w14:textId="77777777" w:rsidR="00324FDE" w:rsidRDefault="00324FDE" w:rsidP="00324FDE">
      <w:pPr>
        <w:jc w:val="center"/>
        <w:rPr>
          <w:rFonts w:ascii="Times New Roman" w:hAnsi="Times New Roman" w:cs="Times New Roman"/>
        </w:rPr>
      </w:pPr>
    </w:p>
    <w:p w14:paraId="1829DEC8" w14:textId="77777777" w:rsidR="00324FDE" w:rsidRDefault="00324FDE" w:rsidP="00324FDE">
      <w:pPr>
        <w:jc w:val="center"/>
        <w:rPr>
          <w:rFonts w:ascii="Times New Roman" w:hAnsi="Times New Roman" w:cs="Times New Roman"/>
        </w:rPr>
      </w:pPr>
    </w:p>
    <w:p w14:paraId="19545DF9" w14:textId="77777777" w:rsidR="00324FDE" w:rsidRPr="00324FDE" w:rsidRDefault="00324FDE" w:rsidP="00FA4454">
      <w:pPr>
        <w:rPr>
          <w:rFonts w:ascii="Times New Roman" w:hAnsi="Times New Roman" w:cs="Times New Roman"/>
          <w:b/>
        </w:rPr>
      </w:pPr>
    </w:p>
    <w:p w14:paraId="54A5DF97" w14:textId="77777777" w:rsidR="00324FDE" w:rsidRDefault="00324FDE" w:rsidP="00324FDE">
      <w:pPr>
        <w:jc w:val="center"/>
        <w:rPr>
          <w:rFonts w:ascii="Times New Roman" w:hAnsi="Times New Roman" w:cs="Times New Roman"/>
          <w:b/>
        </w:rPr>
      </w:pPr>
      <w:r w:rsidRPr="00324FDE">
        <w:rPr>
          <w:rFonts w:ascii="Times New Roman" w:hAnsi="Times New Roman" w:cs="Times New Roman"/>
          <w:b/>
        </w:rPr>
        <w:t xml:space="preserve">Oversight: Implementation of the Right to Know Act </w:t>
      </w:r>
    </w:p>
    <w:p w14:paraId="7A7F7E4A" w14:textId="77777777" w:rsidR="00324FDE" w:rsidRDefault="00324FDE" w:rsidP="00324FDE">
      <w:pPr>
        <w:jc w:val="center"/>
        <w:rPr>
          <w:rFonts w:ascii="Times New Roman" w:hAnsi="Times New Roman" w:cs="Times New Roman"/>
          <w:b/>
        </w:rPr>
      </w:pPr>
    </w:p>
    <w:p w14:paraId="081CE64E" w14:textId="77777777" w:rsidR="00324FDE" w:rsidRDefault="00324FDE" w:rsidP="00324FDE">
      <w:pPr>
        <w:jc w:val="center"/>
        <w:rPr>
          <w:rFonts w:ascii="Times New Roman" w:hAnsi="Times New Roman" w:cs="Times New Roman"/>
          <w:b/>
        </w:rPr>
      </w:pPr>
    </w:p>
    <w:p w14:paraId="57BBF6E8" w14:textId="77777777" w:rsidR="00324FDE" w:rsidRDefault="00324FDE" w:rsidP="00324FDE">
      <w:pPr>
        <w:jc w:val="center"/>
        <w:rPr>
          <w:rFonts w:ascii="Times New Roman" w:hAnsi="Times New Roman" w:cs="Times New Roman"/>
          <w:b/>
        </w:rPr>
      </w:pPr>
    </w:p>
    <w:p w14:paraId="60FC0170" w14:textId="50657BE1" w:rsidR="00324FDE" w:rsidRDefault="00324FDE" w:rsidP="00324FDE">
      <w:pPr>
        <w:jc w:val="center"/>
        <w:rPr>
          <w:rFonts w:ascii="Times New Roman" w:hAnsi="Times New Roman" w:cs="Times New Roman"/>
          <w:b/>
        </w:rPr>
      </w:pPr>
      <w:r>
        <w:rPr>
          <w:rFonts w:ascii="Times New Roman" w:hAnsi="Times New Roman" w:cs="Times New Roman"/>
          <w:b/>
        </w:rPr>
        <w:t>April 2</w:t>
      </w:r>
      <w:r w:rsidR="004D69CF">
        <w:rPr>
          <w:rFonts w:ascii="Times New Roman" w:hAnsi="Times New Roman" w:cs="Times New Roman"/>
          <w:b/>
        </w:rPr>
        <w:t>9</w:t>
      </w:r>
      <w:r>
        <w:rPr>
          <w:rFonts w:ascii="Times New Roman" w:hAnsi="Times New Roman" w:cs="Times New Roman"/>
          <w:b/>
        </w:rPr>
        <w:t xml:space="preserve">, 2019 </w:t>
      </w:r>
    </w:p>
    <w:p w14:paraId="3ED019C0" w14:textId="77777777" w:rsidR="00324FDE" w:rsidRDefault="00324FDE" w:rsidP="00324FDE">
      <w:pPr>
        <w:jc w:val="center"/>
        <w:rPr>
          <w:rFonts w:ascii="Times New Roman" w:hAnsi="Times New Roman" w:cs="Times New Roman"/>
          <w:b/>
        </w:rPr>
      </w:pPr>
    </w:p>
    <w:p w14:paraId="5078C273" w14:textId="77777777" w:rsidR="00324FDE" w:rsidRDefault="00324FDE" w:rsidP="00324FDE">
      <w:pPr>
        <w:jc w:val="center"/>
        <w:rPr>
          <w:rFonts w:ascii="Times New Roman" w:hAnsi="Times New Roman" w:cs="Times New Roman"/>
          <w:b/>
        </w:rPr>
      </w:pPr>
    </w:p>
    <w:p w14:paraId="43C89E9A" w14:textId="77777777" w:rsidR="006E54E5" w:rsidRPr="006E54E5" w:rsidRDefault="006E54E5" w:rsidP="006E54E5">
      <w:pPr>
        <w:ind w:left="3600" w:hanging="3600"/>
        <w:jc w:val="both"/>
        <w:rPr>
          <w:rFonts w:ascii="Times New Roman" w:eastAsia="Times New Roman" w:hAnsi="Times New Roman" w:cs="Times New Roman"/>
        </w:rPr>
      </w:pPr>
      <w:r w:rsidRPr="006E54E5">
        <w:rPr>
          <w:rFonts w:ascii="Times New Roman" w:eastAsia="Times New Roman" w:hAnsi="Times New Roman" w:cs="Times New Roman"/>
          <w:b/>
        </w:rPr>
        <w:t xml:space="preserve">INT. NO. </w:t>
      </w:r>
      <w:r>
        <w:rPr>
          <w:rFonts w:ascii="Times New Roman" w:eastAsia="Times New Roman" w:hAnsi="Times New Roman" w:cs="Times New Roman"/>
          <w:b/>
        </w:rPr>
        <w:t>1522</w:t>
      </w:r>
      <w:r w:rsidRPr="006E54E5">
        <w:rPr>
          <w:rFonts w:ascii="Times New Roman" w:eastAsia="Times New Roman" w:hAnsi="Times New Roman" w:cs="Times New Roman"/>
          <w:b/>
        </w:rPr>
        <w:t xml:space="preserve">:  </w:t>
      </w:r>
      <w:r w:rsidRPr="006E54E5">
        <w:rPr>
          <w:rFonts w:ascii="Times New Roman" w:eastAsia="Times New Roman" w:hAnsi="Times New Roman" w:cs="Times New Roman"/>
        </w:rPr>
        <w:t xml:space="preserve"> </w:t>
      </w:r>
      <w:r w:rsidRPr="006E54E5">
        <w:rPr>
          <w:rFonts w:ascii="Times New Roman" w:eastAsia="Times New Roman" w:hAnsi="Times New Roman" w:cs="Times New Roman"/>
        </w:rPr>
        <w:tab/>
        <w:t xml:space="preserve">By Council Members </w:t>
      </w:r>
      <w:r>
        <w:rPr>
          <w:rFonts w:ascii="Times New Roman" w:eastAsia="Times New Roman" w:hAnsi="Times New Roman" w:cs="Times New Roman"/>
        </w:rPr>
        <w:t xml:space="preserve">Gibson and Kallos </w:t>
      </w:r>
    </w:p>
    <w:p w14:paraId="02795836" w14:textId="77777777" w:rsidR="006E54E5" w:rsidRPr="006E54E5" w:rsidRDefault="006E54E5" w:rsidP="006E54E5">
      <w:pPr>
        <w:ind w:left="3600" w:hanging="3600"/>
        <w:jc w:val="both"/>
        <w:rPr>
          <w:rFonts w:ascii="Times New Roman" w:eastAsia="Times New Roman" w:hAnsi="Times New Roman" w:cs="Times New Roman"/>
        </w:rPr>
      </w:pPr>
    </w:p>
    <w:p w14:paraId="0439B011" w14:textId="77777777" w:rsidR="006E54E5" w:rsidRPr="006E54E5" w:rsidRDefault="006E54E5" w:rsidP="006E54E5">
      <w:pPr>
        <w:ind w:left="3600" w:hanging="3600"/>
        <w:jc w:val="both"/>
        <w:rPr>
          <w:rFonts w:ascii="Times New Roman" w:eastAsia="Times New Roman" w:hAnsi="Times New Roman" w:cs="Times New Roman"/>
        </w:rPr>
      </w:pPr>
      <w:r w:rsidRPr="006E54E5">
        <w:rPr>
          <w:rFonts w:ascii="Times New Roman" w:eastAsia="Times New Roman" w:hAnsi="Times New Roman" w:cs="Times New Roman"/>
          <w:b/>
        </w:rPr>
        <w:t>TITLE:</w:t>
      </w:r>
      <w:r w:rsidRPr="006E54E5">
        <w:rPr>
          <w:rFonts w:ascii="Times New Roman" w:eastAsia="Times New Roman" w:hAnsi="Times New Roman" w:cs="Times New Roman"/>
        </w:rPr>
        <w:t xml:space="preserve"> </w:t>
      </w:r>
      <w:r w:rsidRPr="006E54E5">
        <w:rPr>
          <w:rFonts w:ascii="Times New Roman" w:eastAsia="Times New Roman" w:hAnsi="Times New Roman" w:cs="Times New Roman"/>
        </w:rPr>
        <w:tab/>
        <w:t xml:space="preserve">A Local Law to amend the administrative code of the city of New York, in relation to requiring </w:t>
      </w:r>
      <w:r>
        <w:rPr>
          <w:rFonts w:ascii="Times New Roman" w:eastAsia="Times New Roman" w:hAnsi="Times New Roman" w:cs="Times New Roman"/>
        </w:rPr>
        <w:t>the civilian complaint review board to report information regarding complaints that officers failed to properly identify themselves or failed to obtain knowing and voluntary consent prior to conducting a search</w:t>
      </w:r>
    </w:p>
    <w:p w14:paraId="3424223E" w14:textId="77777777" w:rsidR="006E54E5" w:rsidRPr="006E54E5" w:rsidRDefault="006E54E5" w:rsidP="006E54E5">
      <w:pPr>
        <w:ind w:left="3600" w:hanging="3600"/>
        <w:jc w:val="both"/>
        <w:rPr>
          <w:rFonts w:ascii="Times New Roman" w:eastAsia="Times New Roman" w:hAnsi="Times New Roman" w:cs="Times New Roman"/>
        </w:rPr>
      </w:pPr>
    </w:p>
    <w:p w14:paraId="6942797B" w14:textId="604E533C" w:rsidR="00324FDE" w:rsidRDefault="006E54E5" w:rsidP="006E54E5">
      <w:pPr>
        <w:ind w:hanging="720"/>
        <w:rPr>
          <w:rFonts w:ascii="Times New Roman" w:eastAsia="Times New Roman" w:hAnsi="Times New Roman" w:cs="Times New Roman"/>
        </w:rPr>
      </w:pPr>
      <w:r w:rsidRPr="006E54E5">
        <w:rPr>
          <w:rFonts w:ascii="Times New Roman" w:eastAsia="Times New Roman" w:hAnsi="Times New Roman" w:cs="Times New Roman"/>
        </w:rPr>
        <w:tab/>
      </w:r>
      <w:r w:rsidRPr="006E54E5">
        <w:rPr>
          <w:rFonts w:ascii="Times New Roman" w:eastAsia="Times New Roman" w:hAnsi="Times New Roman" w:cs="Times New Roman"/>
          <w:b/>
        </w:rPr>
        <w:t>ADMINISTRATIVE CODE:</w:t>
      </w:r>
      <w:r w:rsidRPr="006E54E5">
        <w:rPr>
          <w:rFonts w:ascii="Times New Roman" w:eastAsia="Times New Roman" w:hAnsi="Times New Roman" w:cs="Times New Roman"/>
        </w:rPr>
        <w:t xml:space="preserve"> </w:t>
      </w:r>
      <w:r w:rsidRPr="006E54E5">
        <w:rPr>
          <w:rFonts w:ascii="Times New Roman" w:eastAsia="Times New Roman" w:hAnsi="Times New Roman" w:cs="Times New Roman"/>
        </w:rPr>
        <w:tab/>
      </w:r>
      <w:r>
        <w:rPr>
          <w:rFonts w:ascii="Times New Roman" w:eastAsia="Times New Roman" w:hAnsi="Times New Roman" w:cs="Times New Roman"/>
        </w:rPr>
        <w:t xml:space="preserve">Adds title 14-a </w:t>
      </w:r>
      <w:r w:rsidRPr="006E54E5">
        <w:rPr>
          <w:rFonts w:ascii="Times New Roman" w:eastAsia="Times New Roman" w:hAnsi="Times New Roman" w:cs="Times New Roman"/>
        </w:rPr>
        <w:t xml:space="preserve"> </w:t>
      </w:r>
    </w:p>
    <w:p w14:paraId="363B53E4" w14:textId="77777777" w:rsidR="00FA4454" w:rsidRDefault="00FA4454" w:rsidP="006E54E5">
      <w:pPr>
        <w:jc w:val="both"/>
        <w:rPr>
          <w:rFonts w:ascii="Times New Roman" w:eastAsia="Times New Roman" w:hAnsi="Times New Roman" w:cs="Times New Roman"/>
          <w:b/>
        </w:rPr>
      </w:pPr>
    </w:p>
    <w:p w14:paraId="1D0E18B6" w14:textId="77777777" w:rsidR="00FA4454" w:rsidRDefault="00FA4454" w:rsidP="006E54E5">
      <w:pPr>
        <w:jc w:val="both"/>
        <w:rPr>
          <w:rFonts w:ascii="Times New Roman" w:eastAsia="Times New Roman" w:hAnsi="Times New Roman" w:cs="Times New Roman"/>
          <w:b/>
        </w:rPr>
      </w:pPr>
    </w:p>
    <w:p w14:paraId="40D6D183" w14:textId="77777777" w:rsidR="00FA4454" w:rsidRDefault="00FA4454" w:rsidP="006E54E5">
      <w:pPr>
        <w:jc w:val="both"/>
        <w:rPr>
          <w:rFonts w:ascii="Times New Roman" w:eastAsia="Times New Roman" w:hAnsi="Times New Roman" w:cs="Times New Roman"/>
          <w:b/>
        </w:rPr>
      </w:pPr>
    </w:p>
    <w:p w14:paraId="0C306ECD" w14:textId="77777777" w:rsidR="006E54E5" w:rsidRPr="00623CF2" w:rsidRDefault="00FA4454" w:rsidP="006E54E5">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T2019-4052: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6E54E5" w:rsidRPr="006E54E5">
        <w:rPr>
          <w:rFonts w:ascii="Times New Roman" w:eastAsia="Times New Roman" w:hAnsi="Times New Roman" w:cs="Times New Roman"/>
          <w:b/>
        </w:rPr>
        <w:t xml:space="preserve"> </w:t>
      </w:r>
      <w:r>
        <w:rPr>
          <w:rFonts w:ascii="Times New Roman" w:eastAsia="Times New Roman" w:hAnsi="Times New Roman" w:cs="Times New Roman"/>
          <w:b/>
        </w:rPr>
        <w:tab/>
      </w:r>
      <w:r w:rsidR="00082AAC">
        <w:rPr>
          <w:rFonts w:ascii="Times New Roman" w:eastAsia="Times New Roman" w:hAnsi="Times New Roman" w:cs="Times New Roman"/>
        </w:rPr>
        <w:t>By Council Member</w:t>
      </w:r>
      <w:r w:rsidR="00623CF2">
        <w:rPr>
          <w:rFonts w:ascii="Times New Roman" w:eastAsia="Times New Roman" w:hAnsi="Times New Roman" w:cs="Times New Roman"/>
          <w:b/>
        </w:rPr>
        <w:t xml:space="preserve"> </w:t>
      </w:r>
      <w:r w:rsidR="00623CF2">
        <w:rPr>
          <w:rFonts w:ascii="Times New Roman" w:eastAsia="Times New Roman" w:hAnsi="Times New Roman" w:cs="Times New Roman"/>
        </w:rPr>
        <w:t xml:space="preserve">Reynoso </w:t>
      </w:r>
      <w:r>
        <w:rPr>
          <w:rFonts w:ascii="Times New Roman" w:eastAsia="Times New Roman" w:hAnsi="Times New Roman" w:cs="Times New Roman"/>
          <w:b/>
        </w:rPr>
        <w:tab/>
      </w:r>
    </w:p>
    <w:p w14:paraId="39176AA4" w14:textId="77777777" w:rsidR="006E54E5" w:rsidRPr="006E54E5" w:rsidRDefault="006E54E5" w:rsidP="006E54E5">
      <w:pPr>
        <w:ind w:left="3600" w:hanging="3600"/>
        <w:jc w:val="both"/>
        <w:rPr>
          <w:rFonts w:ascii="Times New Roman" w:eastAsia="Times New Roman" w:hAnsi="Times New Roman" w:cs="Times New Roman"/>
        </w:rPr>
      </w:pPr>
    </w:p>
    <w:p w14:paraId="5262E9F2" w14:textId="77777777" w:rsidR="006E54E5" w:rsidRPr="006E54E5" w:rsidRDefault="006E54E5" w:rsidP="006E54E5">
      <w:pPr>
        <w:ind w:left="3600" w:hanging="3600"/>
        <w:jc w:val="both"/>
        <w:rPr>
          <w:rFonts w:ascii="Times New Roman" w:eastAsia="Times New Roman" w:hAnsi="Times New Roman" w:cs="Times New Roman"/>
        </w:rPr>
      </w:pPr>
      <w:r w:rsidRPr="006E54E5">
        <w:rPr>
          <w:rFonts w:ascii="Times New Roman" w:eastAsia="Times New Roman" w:hAnsi="Times New Roman" w:cs="Times New Roman"/>
          <w:b/>
        </w:rPr>
        <w:t>TITLE:</w:t>
      </w:r>
      <w:r w:rsidRPr="006E54E5">
        <w:rPr>
          <w:rFonts w:ascii="Times New Roman" w:eastAsia="Times New Roman" w:hAnsi="Times New Roman" w:cs="Times New Roman"/>
        </w:rPr>
        <w:t xml:space="preserve"> </w:t>
      </w:r>
      <w:r w:rsidRPr="006E54E5">
        <w:rPr>
          <w:rFonts w:ascii="Times New Roman" w:eastAsia="Times New Roman" w:hAnsi="Times New Roman" w:cs="Times New Roman"/>
        </w:rPr>
        <w:tab/>
        <w:t xml:space="preserve">A Local Law to amend the administrative code of the city of New York, in relation to requiring </w:t>
      </w:r>
      <w:r>
        <w:rPr>
          <w:rFonts w:ascii="Times New Roman" w:eastAsia="Times New Roman" w:hAnsi="Times New Roman" w:cs="Times New Roman"/>
        </w:rPr>
        <w:t xml:space="preserve">the </w:t>
      </w:r>
      <w:r w:rsidR="00FA4454">
        <w:rPr>
          <w:rFonts w:ascii="Times New Roman" w:eastAsia="Times New Roman" w:hAnsi="Times New Roman" w:cs="Times New Roman"/>
        </w:rPr>
        <w:t xml:space="preserve">New York police department to report on instances in which an individual denied an officer consent to search </w:t>
      </w:r>
    </w:p>
    <w:p w14:paraId="37B5D6FC" w14:textId="77777777" w:rsidR="006E54E5" w:rsidRPr="006E54E5" w:rsidRDefault="006E54E5" w:rsidP="006E54E5">
      <w:pPr>
        <w:ind w:left="3600" w:hanging="3600"/>
        <w:jc w:val="both"/>
        <w:rPr>
          <w:rFonts w:ascii="Times New Roman" w:eastAsia="Times New Roman" w:hAnsi="Times New Roman" w:cs="Times New Roman"/>
        </w:rPr>
      </w:pPr>
    </w:p>
    <w:p w14:paraId="560554DE" w14:textId="77777777" w:rsidR="006E54E5" w:rsidRDefault="006E54E5" w:rsidP="006E54E5">
      <w:pPr>
        <w:ind w:hanging="720"/>
        <w:rPr>
          <w:rFonts w:ascii="Times New Roman" w:eastAsia="Times New Roman" w:hAnsi="Times New Roman" w:cs="Times New Roman"/>
        </w:rPr>
      </w:pPr>
      <w:r w:rsidRPr="006E54E5">
        <w:rPr>
          <w:rFonts w:ascii="Times New Roman" w:eastAsia="Times New Roman" w:hAnsi="Times New Roman" w:cs="Times New Roman"/>
        </w:rPr>
        <w:tab/>
      </w:r>
      <w:r w:rsidRPr="006E54E5">
        <w:rPr>
          <w:rFonts w:ascii="Times New Roman" w:eastAsia="Times New Roman" w:hAnsi="Times New Roman" w:cs="Times New Roman"/>
          <w:b/>
        </w:rPr>
        <w:t>ADMINISTRATIVE CODE:</w:t>
      </w:r>
      <w:r w:rsidRPr="006E54E5">
        <w:rPr>
          <w:rFonts w:ascii="Times New Roman" w:eastAsia="Times New Roman" w:hAnsi="Times New Roman" w:cs="Times New Roman"/>
        </w:rPr>
        <w:t xml:space="preserve"> </w:t>
      </w:r>
      <w:r w:rsidRPr="006E54E5">
        <w:rPr>
          <w:rFonts w:ascii="Times New Roman" w:eastAsia="Times New Roman" w:hAnsi="Times New Roman" w:cs="Times New Roman"/>
        </w:rPr>
        <w:tab/>
      </w:r>
      <w:r w:rsidR="00FA4454">
        <w:rPr>
          <w:rFonts w:ascii="Times New Roman" w:eastAsia="Times New Roman" w:hAnsi="Times New Roman" w:cs="Times New Roman"/>
        </w:rPr>
        <w:t xml:space="preserve">Amends subdivision b of section 14-173 </w:t>
      </w:r>
    </w:p>
    <w:p w14:paraId="2595A1E4" w14:textId="77777777" w:rsidR="00FA4454" w:rsidRDefault="00FA4454" w:rsidP="00FA4454">
      <w:pPr>
        <w:rPr>
          <w:rFonts w:ascii="Times New Roman" w:eastAsia="Times New Roman" w:hAnsi="Times New Roman" w:cs="Times New Roman"/>
        </w:rPr>
      </w:pPr>
    </w:p>
    <w:p w14:paraId="7870681D" w14:textId="77777777" w:rsidR="006E54E5" w:rsidRDefault="006E54E5" w:rsidP="006E54E5">
      <w:pPr>
        <w:ind w:hanging="720"/>
        <w:rPr>
          <w:rFonts w:ascii="Times New Roman" w:eastAsia="Times New Roman" w:hAnsi="Times New Roman" w:cs="Times New Roman"/>
        </w:rPr>
      </w:pPr>
    </w:p>
    <w:p w14:paraId="0B571AE6" w14:textId="77777777" w:rsidR="006E54E5" w:rsidRDefault="00324FDE" w:rsidP="006E54E5">
      <w:pPr>
        <w:pStyle w:val="ListParagraph"/>
        <w:numPr>
          <w:ilvl w:val="0"/>
          <w:numId w:val="1"/>
        </w:numPr>
        <w:spacing w:after="200" w:line="276" w:lineRule="auto"/>
        <w:ind w:left="0"/>
        <w:rPr>
          <w:rFonts w:ascii="Times New Roman" w:eastAsia="Times New Roman" w:hAnsi="Times New Roman"/>
          <w:b/>
          <w:u w:val="single"/>
        </w:rPr>
      </w:pPr>
      <w:r w:rsidRPr="0070406E">
        <w:rPr>
          <w:rFonts w:ascii="Times New Roman" w:eastAsia="Times New Roman" w:hAnsi="Times New Roman"/>
          <w:b/>
          <w:u w:val="single"/>
        </w:rPr>
        <w:t xml:space="preserve">INTRODUCTION </w:t>
      </w:r>
    </w:p>
    <w:p w14:paraId="27AF8E7F" w14:textId="05561772" w:rsidR="006E54E5" w:rsidRPr="006E54E5" w:rsidRDefault="006E54E5" w:rsidP="006E54E5">
      <w:pPr>
        <w:spacing w:line="480" w:lineRule="auto"/>
        <w:ind w:firstLine="720"/>
        <w:rPr>
          <w:rFonts w:ascii="Times New Roman" w:eastAsia="Times New Roman" w:hAnsi="Times New Roman"/>
        </w:rPr>
      </w:pPr>
      <w:r w:rsidRPr="006E54E5">
        <w:rPr>
          <w:rFonts w:ascii="Times New Roman" w:eastAsia="Times New Roman" w:hAnsi="Times New Roman"/>
        </w:rPr>
        <w:t>On April 29</w:t>
      </w:r>
      <w:r w:rsidRPr="006E54E5">
        <w:rPr>
          <w:rFonts w:ascii="Times New Roman" w:eastAsia="Times New Roman" w:hAnsi="Times New Roman"/>
          <w:vertAlign w:val="superscript"/>
        </w:rPr>
        <w:t>th</w:t>
      </w:r>
      <w:r w:rsidRPr="006E54E5">
        <w:rPr>
          <w:rFonts w:ascii="Times New Roman" w:eastAsia="Times New Roman" w:hAnsi="Times New Roman"/>
        </w:rPr>
        <w:t>, 2019 the Committee on Public Safety, chaired by Council Member Donovan Richards, will hold a hearing to examine the implementation of Local Law</w:t>
      </w:r>
      <w:r w:rsidR="00E12A2D">
        <w:rPr>
          <w:rFonts w:ascii="Times New Roman" w:eastAsia="Times New Roman" w:hAnsi="Times New Roman"/>
        </w:rPr>
        <w:t xml:space="preserve"> 54</w:t>
      </w:r>
      <w:r w:rsidR="00623CF2">
        <w:rPr>
          <w:rFonts w:ascii="Times New Roman" w:eastAsia="Times New Roman" w:hAnsi="Times New Roman"/>
        </w:rPr>
        <w:t xml:space="preserve"> of 2018 and</w:t>
      </w:r>
      <w:r w:rsidR="00E12A2D">
        <w:rPr>
          <w:rFonts w:ascii="Times New Roman" w:eastAsia="Times New Roman" w:hAnsi="Times New Roman"/>
        </w:rPr>
        <w:t xml:space="preserve"> Local Law 56 of </w:t>
      </w:r>
      <w:r w:rsidRPr="006E54E5">
        <w:rPr>
          <w:rFonts w:ascii="Times New Roman" w:eastAsia="Times New Roman" w:hAnsi="Times New Roman"/>
        </w:rPr>
        <w:t xml:space="preserve">2018, known </w:t>
      </w:r>
      <w:r w:rsidR="00414029">
        <w:rPr>
          <w:rFonts w:ascii="Times New Roman" w:eastAsia="Times New Roman" w:hAnsi="Times New Roman"/>
        </w:rPr>
        <w:t xml:space="preserve">informally </w:t>
      </w:r>
      <w:r w:rsidRPr="006E54E5">
        <w:rPr>
          <w:rFonts w:ascii="Times New Roman" w:eastAsia="Times New Roman" w:hAnsi="Times New Roman"/>
        </w:rPr>
        <w:t xml:space="preserve">as </w:t>
      </w:r>
      <w:r w:rsidR="004D69CF">
        <w:rPr>
          <w:rFonts w:ascii="Times New Roman" w:eastAsia="Times New Roman" w:hAnsi="Times New Roman"/>
        </w:rPr>
        <w:t xml:space="preserve">part of </w:t>
      </w:r>
      <w:r w:rsidRPr="006E54E5">
        <w:rPr>
          <w:rFonts w:ascii="Times New Roman" w:eastAsia="Times New Roman" w:hAnsi="Times New Roman"/>
        </w:rPr>
        <w:t xml:space="preserve">the Right to Know Act. The </w:t>
      </w:r>
      <w:r w:rsidR="00FA4454">
        <w:rPr>
          <w:rFonts w:ascii="Times New Roman" w:eastAsia="Times New Roman" w:hAnsi="Times New Roman"/>
        </w:rPr>
        <w:t xml:space="preserve">Committee will also hear </w:t>
      </w:r>
      <w:r w:rsidR="004D69CF">
        <w:rPr>
          <w:rFonts w:ascii="Times New Roman" w:eastAsia="Times New Roman" w:hAnsi="Times New Roman"/>
        </w:rPr>
        <w:t>two bills</w:t>
      </w:r>
      <w:r w:rsidR="00FA4454">
        <w:rPr>
          <w:rFonts w:ascii="Times New Roman" w:eastAsia="Times New Roman" w:hAnsi="Times New Roman"/>
        </w:rPr>
        <w:t xml:space="preserve">: </w:t>
      </w:r>
      <w:r w:rsidR="00C90735" w:rsidRPr="006E54E5">
        <w:rPr>
          <w:rFonts w:ascii="Times New Roman" w:eastAsia="Times New Roman" w:hAnsi="Times New Roman"/>
        </w:rPr>
        <w:t>Introduct</w:t>
      </w:r>
      <w:r w:rsidR="00C90735">
        <w:rPr>
          <w:rFonts w:ascii="Times New Roman" w:eastAsia="Times New Roman" w:hAnsi="Times New Roman"/>
        </w:rPr>
        <w:t>ion</w:t>
      </w:r>
      <w:r w:rsidR="00C90735" w:rsidRPr="006E54E5">
        <w:rPr>
          <w:rFonts w:ascii="Times New Roman" w:eastAsia="Times New Roman" w:hAnsi="Times New Roman"/>
        </w:rPr>
        <w:t xml:space="preserve"> </w:t>
      </w:r>
      <w:r w:rsidRPr="006E54E5">
        <w:rPr>
          <w:rFonts w:ascii="Times New Roman" w:eastAsia="Times New Roman" w:hAnsi="Times New Roman"/>
        </w:rPr>
        <w:t>Number 1522 (“Int. No. 1522”), a local law</w:t>
      </w:r>
      <w:r w:rsidRPr="006E54E5">
        <w:rPr>
          <w:rFonts w:ascii="Times New Roman" w:eastAsia="Times New Roman" w:hAnsi="Times New Roman" w:cs="Times New Roman"/>
        </w:rPr>
        <w:t xml:space="preserve"> </w:t>
      </w:r>
      <w:r w:rsidRPr="006E54E5">
        <w:rPr>
          <w:rFonts w:ascii="Times New Roman" w:eastAsia="Times New Roman" w:hAnsi="Times New Roman"/>
        </w:rPr>
        <w:t>to amend the administrative code of the city of New York, in relation to requiring the civilian complaint review board to report information regarding complaints that officers failed to properly identify themselves or failed to obtain knowing and voluntary consent prior to conducting a search</w:t>
      </w:r>
      <w:r w:rsidR="00FA4454">
        <w:rPr>
          <w:rFonts w:ascii="Times New Roman" w:eastAsia="Times New Roman" w:hAnsi="Times New Roman"/>
        </w:rPr>
        <w:t>; and Pre</w:t>
      </w:r>
      <w:r w:rsidR="006D4F43">
        <w:rPr>
          <w:rFonts w:ascii="Times New Roman" w:eastAsia="Times New Roman" w:hAnsi="Times New Roman"/>
        </w:rPr>
        <w:t xml:space="preserve">-considered </w:t>
      </w:r>
      <w:r w:rsidR="00C90735">
        <w:rPr>
          <w:rFonts w:ascii="Times New Roman" w:eastAsia="Times New Roman" w:hAnsi="Times New Roman"/>
        </w:rPr>
        <w:t xml:space="preserve">Introduction </w:t>
      </w:r>
      <w:r w:rsidR="006D4F43">
        <w:rPr>
          <w:rFonts w:ascii="Times New Roman" w:eastAsia="Times New Roman" w:hAnsi="Times New Roman"/>
        </w:rPr>
        <w:t>Number</w:t>
      </w:r>
      <w:r w:rsidR="00C90735">
        <w:rPr>
          <w:rFonts w:ascii="Times New Roman" w:eastAsia="Times New Roman" w:hAnsi="Times New Roman"/>
        </w:rPr>
        <w:t xml:space="preserve"> T2019-4052, in relation to requiring the New York Police Department </w:t>
      </w:r>
      <w:r w:rsidR="004D69CF">
        <w:rPr>
          <w:rFonts w:ascii="Times New Roman" w:eastAsia="Times New Roman" w:hAnsi="Times New Roman"/>
        </w:rPr>
        <w:t xml:space="preserve">(NYPD) </w:t>
      </w:r>
      <w:r w:rsidR="00C90735">
        <w:rPr>
          <w:rFonts w:ascii="Times New Roman" w:eastAsia="Times New Roman" w:hAnsi="Times New Roman"/>
        </w:rPr>
        <w:t>to report on instances in which an individual denied an officer consent to search</w:t>
      </w:r>
      <w:r w:rsidRPr="006E54E5">
        <w:rPr>
          <w:rFonts w:ascii="Times New Roman" w:eastAsia="Times New Roman" w:hAnsi="Times New Roman"/>
        </w:rPr>
        <w:t xml:space="preserve">. Those </w:t>
      </w:r>
      <w:r w:rsidR="00414029">
        <w:rPr>
          <w:rFonts w:ascii="Times New Roman" w:eastAsia="Times New Roman" w:hAnsi="Times New Roman"/>
        </w:rPr>
        <w:t>expected</w:t>
      </w:r>
      <w:r w:rsidR="00414029" w:rsidRPr="006E54E5">
        <w:rPr>
          <w:rFonts w:ascii="Times New Roman" w:eastAsia="Times New Roman" w:hAnsi="Times New Roman"/>
        </w:rPr>
        <w:t xml:space="preserve"> </w:t>
      </w:r>
      <w:r w:rsidRPr="006E54E5">
        <w:rPr>
          <w:rFonts w:ascii="Times New Roman" w:eastAsia="Times New Roman" w:hAnsi="Times New Roman"/>
        </w:rPr>
        <w:t xml:space="preserve">to testify include </w:t>
      </w:r>
      <w:r w:rsidR="00BB3D2F">
        <w:rPr>
          <w:rFonts w:ascii="Times New Roman" w:eastAsia="Times New Roman" w:hAnsi="Times New Roman"/>
        </w:rPr>
        <w:t>representatives</w:t>
      </w:r>
      <w:r w:rsidRPr="006E54E5">
        <w:rPr>
          <w:rFonts w:ascii="Times New Roman" w:eastAsia="Times New Roman" w:hAnsi="Times New Roman"/>
        </w:rPr>
        <w:t xml:space="preserve"> of the NYPD, the Civilian Review Complaint Board (“CCRB”), advocates, and members of the public. </w:t>
      </w:r>
    </w:p>
    <w:p w14:paraId="14FA66AC" w14:textId="77777777" w:rsidR="00371E8E" w:rsidRPr="00D96C38" w:rsidRDefault="006E54E5" w:rsidP="00D96C38">
      <w:pPr>
        <w:pStyle w:val="ListParagraph"/>
        <w:numPr>
          <w:ilvl w:val="0"/>
          <w:numId w:val="1"/>
        </w:numPr>
        <w:spacing w:after="200" w:line="276" w:lineRule="auto"/>
        <w:ind w:left="0"/>
        <w:rPr>
          <w:rFonts w:ascii="Times New Roman" w:eastAsia="Times New Roman" w:hAnsi="Times New Roman"/>
        </w:rPr>
      </w:pPr>
      <w:r>
        <w:rPr>
          <w:rFonts w:ascii="Times New Roman" w:eastAsia="Times New Roman" w:hAnsi="Times New Roman"/>
          <w:b/>
          <w:u w:val="single"/>
        </w:rPr>
        <w:t xml:space="preserve">BACKGROUND </w:t>
      </w:r>
    </w:p>
    <w:p w14:paraId="6541815D" w14:textId="62C65124" w:rsidR="007933C3" w:rsidRPr="00F21F86" w:rsidRDefault="00414029" w:rsidP="007933C3">
      <w:pPr>
        <w:spacing w:line="480" w:lineRule="auto"/>
        <w:ind w:firstLine="720"/>
        <w:rPr>
          <w:rFonts w:ascii="Times New Roman" w:eastAsia="Times New Roman" w:hAnsi="Times New Roman"/>
        </w:rPr>
      </w:pPr>
      <w:r>
        <w:rPr>
          <w:rFonts w:ascii="Times New Roman" w:eastAsia="Times New Roman" w:hAnsi="Times New Roman"/>
        </w:rPr>
        <w:t>At</w:t>
      </w:r>
      <w:r w:rsidR="00D271CC">
        <w:rPr>
          <w:rFonts w:ascii="Times New Roman" w:eastAsia="Times New Roman" w:hAnsi="Times New Roman"/>
        </w:rPr>
        <w:t xml:space="preserve"> the peak of t</w:t>
      </w:r>
      <w:r>
        <w:rPr>
          <w:rFonts w:ascii="Times New Roman" w:eastAsia="Times New Roman" w:hAnsi="Times New Roman"/>
        </w:rPr>
        <w:t>h</w:t>
      </w:r>
      <w:r w:rsidR="00D271CC">
        <w:rPr>
          <w:rFonts w:ascii="Times New Roman" w:eastAsia="Times New Roman" w:hAnsi="Times New Roman"/>
        </w:rPr>
        <w:t>e stop question and frisk era in 2011</w:t>
      </w:r>
      <w:r w:rsidR="007933C3">
        <w:rPr>
          <w:rFonts w:ascii="Times New Roman" w:eastAsia="Times New Roman" w:hAnsi="Times New Roman"/>
        </w:rPr>
        <w:t>, the NYPD made nearly 700,000 stops</w:t>
      </w:r>
      <w:r w:rsidR="00642236">
        <w:rPr>
          <w:rFonts w:ascii="Times New Roman" w:eastAsia="Times New Roman" w:hAnsi="Times New Roman"/>
        </w:rPr>
        <w:t xml:space="preserve"> of civilians</w:t>
      </w:r>
      <w:r w:rsidR="00D271CC">
        <w:rPr>
          <w:rFonts w:ascii="Times New Roman" w:eastAsia="Times New Roman" w:hAnsi="Times New Roman"/>
        </w:rPr>
        <w:t xml:space="preserve">. </w:t>
      </w:r>
      <w:r w:rsidR="007933C3">
        <w:rPr>
          <w:rFonts w:ascii="Times New Roman" w:eastAsia="Times New Roman" w:hAnsi="Times New Roman"/>
        </w:rPr>
        <w:t xml:space="preserve"> 84% of </w:t>
      </w:r>
      <w:r w:rsidR="00257692">
        <w:rPr>
          <w:rFonts w:ascii="Times New Roman" w:eastAsia="Times New Roman" w:hAnsi="Times New Roman"/>
        </w:rPr>
        <w:t>the people stopped</w:t>
      </w:r>
      <w:r w:rsidR="007933C3">
        <w:rPr>
          <w:rFonts w:ascii="Times New Roman" w:eastAsia="Times New Roman" w:hAnsi="Times New Roman"/>
        </w:rPr>
        <w:t xml:space="preserve"> were Black or Latino.</w:t>
      </w:r>
      <w:r w:rsidR="007933C3">
        <w:rPr>
          <w:rStyle w:val="FootnoteReference"/>
          <w:rFonts w:ascii="Times New Roman" w:eastAsia="Times New Roman" w:hAnsi="Times New Roman"/>
        </w:rPr>
        <w:footnoteReference w:id="1"/>
      </w:r>
      <w:r w:rsidR="007933C3">
        <w:rPr>
          <w:rFonts w:ascii="Times New Roman" w:eastAsia="Times New Roman" w:hAnsi="Times New Roman"/>
        </w:rPr>
        <w:t xml:space="preserve"> Advocates against the practice believed it disproportionately and unfairly targeted young men of color. A class action lawsuit was filed in federal court alleging that the manner by which the department used stop, </w:t>
      </w:r>
      <w:r w:rsidR="007933C3">
        <w:rPr>
          <w:rFonts w:ascii="Times New Roman" w:eastAsia="Times New Roman" w:hAnsi="Times New Roman"/>
        </w:rPr>
        <w:lastRenderedPageBreak/>
        <w:t xml:space="preserve">question, and frisk was in violation of fourth and fourteenth amendments of the </w:t>
      </w:r>
      <w:r w:rsidR="004D69CF">
        <w:rPr>
          <w:rFonts w:ascii="Times New Roman" w:eastAsia="Times New Roman" w:hAnsi="Times New Roman"/>
        </w:rPr>
        <w:t xml:space="preserve">United States </w:t>
      </w:r>
      <w:r w:rsidR="007933C3">
        <w:rPr>
          <w:rFonts w:ascii="Times New Roman" w:eastAsia="Times New Roman" w:hAnsi="Times New Roman"/>
        </w:rPr>
        <w:t>Constitution.</w:t>
      </w:r>
      <w:r w:rsidR="007933C3">
        <w:rPr>
          <w:rStyle w:val="FootnoteReference"/>
          <w:rFonts w:ascii="Times New Roman" w:eastAsia="Times New Roman" w:hAnsi="Times New Roman"/>
        </w:rPr>
        <w:footnoteReference w:id="2"/>
      </w:r>
      <w:r w:rsidR="007933C3">
        <w:rPr>
          <w:rFonts w:ascii="Times New Roman" w:eastAsia="Times New Roman" w:hAnsi="Times New Roman"/>
        </w:rPr>
        <w:t xml:space="preserve"> In 2013, a federal judge ruled that the NYPD’s aggressive use of such stops were conducted in racially discriminatory manner and were unconstitutional.</w:t>
      </w:r>
      <w:r w:rsidR="007933C3">
        <w:rPr>
          <w:rStyle w:val="FootnoteReference"/>
          <w:rFonts w:ascii="Times New Roman" w:eastAsia="Times New Roman" w:hAnsi="Times New Roman"/>
        </w:rPr>
        <w:footnoteReference w:id="3"/>
      </w:r>
      <w:r w:rsidR="007933C3">
        <w:rPr>
          <w:rFonts w:ascii="Times New Roman" w:eastAsia="Times New Roman" w:hAnsi="Times New Roman"/>
        </w:rPr>
        <w:t xml:space="preserve"> </w:t>
      </w:r>
      <w:r w:rsidR="007933C3" w:rsidRPr="00F21F86">
        <w:rPr>
          <w:rFonts w:ascii="Times New Roman" w:eastAsia="Times New Roman" w:hAnsi="Times New Roman"/>
        </w:rPr>
        <w:t>In her order, the judge required the City to implement reforms including the use of body-worn cameras, which would be supervised by a court-appointed monitor.</w:t>
      </w:r>
      <w:r w:rsidR="007933C3" w:rsidRPr="00F21F86">
        <w:rPr>
          <w:rFonts w:ascii="Times New Roman" w:eastAsia="Times New Roman" w:hAnsi="Times New Roman"/>
          <w:vertAlign w:val="superscript"/>
        </w:rPr>
        <w:footnoteReference w:id="4"/>
      </w:r>
    </w:p>
    <w:p w14:paraId="1D0CC56C" w14:textId="267D9B0D" w:rsidR="00712A47" w:rsidRPr="007933C3" w:rsidRDefault="007933C3" w:rsidP="007933C3">
      <w:pPr>
        <w:spacing w:line="480" w:lineRule="auto"/>
        <w:rPr>
          <w:rFonts w:ascii="Times New Roman" w:eastAsia="Times New Roman" w:hAnsi="Times New Roman"/>
        </w:rPr>
      </w:pPr>
      <w:r>
        <w:rPr>
          <w:rFonts w:ascii="Times New Roman" w:eastAsia="Times New Roman" w:hAnsi="Times New Roman"/>
        </w:rPr>
        <w:tab/>
        <w:t xml:space="preserve">Additionally, </w:t>
      </w:r>
      <w:r w:rsidR="004D69CF">
        <w:rPr>
          <w:rFonts w:ascii="Times New Roman" w:eastAsia="Times New Roman" w:hAnsi="Times New Roman"/>
        </w:rPr>
        <w:t>the New York City Council</w:t>
      </w:r>
      <w:r>
        <w:rPr>
          <w:rFonts w:ascii="Times New Roman" w:eastAsia="Times New Roman" w:hAnsi="Times New Roman"/>
        </w:rPr>
        <w:t xml:space="preserve"> and community advocates engaged in a robust campaign against stop, question, and frisk practices. The campaign led to the introduction of the Community Safety Act of 2012, a package of four bills aimed at prohibiting discriminatory police practices, and increasing accountability and transparency of the NYPD.</w:t>
      </w:r>
      <w:r>
        <w:rPr>
          <w:rStyle w:val="FootnoteReference"/>
          <w:rFonts w:ascii="Times New Roman" w:eastAsia="Times New Roman" w:hAnsi="Times New Roman"/>
        </w:rPr>
        <w:footnoteReference w:id="5"/>
      </w:r>
      <w:r>
        <w:rPr>
          <w:rFonts w:ascii="Times New Roman" w:eastAsia="Times New Roman" w:hAnsi="Times New Roman"/>
        </w:rPr>
        <w:t xml:space="preserve"> Two of the four bills became law on January 1, 2014</w:t>
      </w:r>
      <w:r w:rsidR="00257692">
        <w:rPr>
          <w:rFonts w:ascii="Times New Roman" w:eastAsia="Times New Roman" w:hAnsi="Times New Roman"/>
        </w:rPr>
        <w:t>.</w:t>
      </w:r>
      <w:r>
        <w:rPr>
          <w:rFonts w:ascii="Times New Roman" w:eastAsia="Times New Roman" w:hAnsi="Times New Roman"/>
        </w:rPr>
        <w:t xml:space="preserve"> The remaining two bills were </w:t>
      </w:r>
      <w:r w:rsidR="007E782E">
        <w:rPr>
          <w:rFonts w:ascii="Times New Roman" w:eastAsia="Times New Roman" w:hAnsi="Times New Roman"/>
        </w:rPr>
        <w:t xml:space="preserve">re-introduced in 2014 and </w:t>
      </w:r>
      <w:r w:rsidR="00712A47">
        <w:rPr>
          <w:rFonts w:ascii="Times New Roman" w:eastAsia="Times New Roman" w:hAnsi="Times New Roman"/>
        </w:rPr>
        <w:t xml:space="preserve">were </w:t>
      </w:r>
      <w:r>
        <w:rPr>
          <w:rFonts w:ascii="Times New Roman" w:eastAsia="Times New Roman" w:hAnsi="Times New Roman"/>
        </w:rPr>
        <w:t xml:space="preserve">passed by the Council on December 19, 2017 are known as the Right to Know Act. </w:t>
      </w:r>
    </w:p>
    <w:p w14:paraId="0DFE84A6" w14:textId="77777777" w:rsidR="007933C3" w:rsidRDefault="007933C3" w:rsidP="00324FDE">
      <w:pPr>
        <w:pStyle w:val="ListParagraph"/>
        <w:numPr>
          <w:ilvl w:val="0"/>
          <w:numId w:val="1"/>
        </w:numPr>
        <w:spacing w:after="200" w:line="276" w:lineRule="auto"/>
        <w:ind w:left="0"/>
        <w:rPr>
          <w:rFonts w:ascii="Times New Roman" w:eastAsia="Times New Roman" w:hAnsi="Times New Roman"/>
          <w:b/>
          <w:u w:val="single"/>
        </w:rPr>
      </w:pPr>
      <w:r>
        <w:rPr>
          <w:rFonts w:ascii="Times New Roman" w:eastAsia="Times New Roman" w:hAnsi="Times New Roman"/>
          <w:b/>
          <w:u w:val="single"/>
        </w:rPr>
        <w:t xml:space="preserve">THE RIGHT TO KNOW ACT </w:t>
      </w:r>
    </w:p>
    <w:p w14:paraId="7833818F" w14:textId="77777777" w:rsidR="00414029" w:rsidRDefault="00414029" w:rsidP="00D96C38">
      <w:pPr>
        <w:pStyle w:val="ListParagraph"/>
        <w:spacing w:after="200" w:line="276" w:lineRule="auto"/>
        <w:ind w:left="0" w:firstLine="720"/>
        <w:rPr>
          <w:rFonts w:ascii="Times New Roman" w:eastAsia="Times New Roman" w:hAnsi="Times New Roman"/>
          <w:i/>
        </w:rPr>
      </w:pPr>
    </w:p>
    <w:p w14:paraId="6AFE400F" w14:textId="77777777" w:rsidR="00DF0329" w:rsidRPr="00DF0329" w:rsidRDefault="00DF0329" w:rsidP="00D96C38">
      <w:pPr>
        <w:pStyle w:val="ListParagraph"/>
        <w:spacing w:after="200" w:line="276" w:lineRule="auto"/>
        <w:ind w:left="0" w:firstLine="720"/>
        <w:rPr>
          <w:rFonts w:ascii="Times New Roman" w:eastAsia="Times New Roman" w:hAnsi="Times New Roman"/>
          <w:i/>
        </w:rPr>
      </w:pPr>
      <w:r w:rsidRPr="00DF0329">
        <w:rPr>
          <w:rFonts w:ascii="Times New Roman" w:eastAsia="Times New Roman" w:hAnsi="Times New Roman"/>
          <w:i/>
        </w:rPr>
        <w:t xml:space="preserve">Identification of Officers </w:t>
      </w:r>
    </w:p>
    <w:p w14:paraId="36EC7C0E" w14:textId="1B718178" w:rsidR="00414029" w:rsidRDefault="00414029" w:rsidP="00FB3382">
      <w:pPr>
        <w:spacing w:line="480" w:lineRule="auto"/>
        <w:ind w:firstLine="720"/>
        <w:rPr>
          <w:rFonts w:ascii="Times New Roman" w:eastAsia="Times New Roman" w:hAnsi="Times New Roman"/>
        </w:rPr>
      </w:pPr>
      <w:r>
        <w:rPr>
          <w:rFonts w:ascii="Times New Roman" w:eastAsia="Times New Roman" w:hAnsi="Times New Roman"/>
        </w:rPr>
        <w:t xml:space="preserve">Local Law 54 of 2018 </w:t>
      </w:r>
      <w:r w:rsidR="00A21B98">
        <w:rPr>
          <w:rFonts w:ascii="Times New Roman" w:eastAsia="Times New Roman" w:hAnsi="Times New Roman"/>
        </w:rPr>
        <w:t xml:space="preserve">requires </w:t>
      </w:r>
      <w:r w:rsidR="004D69CF">
        <w:rPr>
          <w:rFonts w:ascii="Times New Roman" w:eastAsia="Times New Roman" w:hAnsi="Times New Roman"/>
        </w:rPr>
        <w:t xml:space="preserve">police </w:t>
      </w:r>
      <w:r w:rsidR="00A21B98">
        <w:rPr>
          <w:rFonts w:ascii="Times New Roman" w:eastAsia="Times New Roman" w:hAnsi="Times New Roman"/>
        </w:rPr>
        <w:t>officers to identify themselves during</w:t>
      </w:r>
      <w:r>
        <w:rPr>
          <w:rFonts w:ascii="Times New Roman" w:eastAsia="Times New Roman" w:hAnsi="Times New Roman"/>
        </w:rPr>
        <w:t xml:space="preserve"> certain street encounters with civilians. </w:t>
      </w:r>
      <w:r w:rsidR="00A2110E">
        <w:rPr>
          <w:rFonts w:ascii="Times New Roman" w:eastAsia="Times New Roman" w:hAnsi="Times New Roman"/>
        </w:rPr>
        <w:t>In general, the rules applied to officers during street encounters</w:t>
      </w:r>
      <w:r>
        <w:rPr>
          <w:rFonts w:ascii="Times New Roman" w:eastAsia="Times New Roman" w:hAnsi="Times New Roman"/>
        </w:rPr>
        <w:t xml:space="preserve"> are based on the level of encounter</w:t>
      </w:r>
      <w:r w:rsidR="004D69CF">
        <w:rPr>
          <w:rFonts w:ascii="Times New Roman" w:eastAsia="Times New Roman" w:hAnsi="Times New Roman"/>
        </w:rPr>
        <w:t xml:space="preserve"> with the civilian</w:t>
      </w:r>
      <w:r w:rsidR="00A2110E">
        <w:rPr>
          <w:rFonts w:ascii="Times New Roman" w:eastAsia="Times New Roman" w:hAnsi="Times New Roman"/>
        </w:rPr>
        <w:t>, a framework that was</w:t>
      </w:r>
      <w:r w:rsidR="00206518">
        <w:rPr>
          <w:rFonts w:ascii="Times New Roman" w:eastAsia="Times New Roman" w:hAnsi="Times New Roman"/>
        </w:rPr>
        <w:t xml:space="preserve"> derived from a </w:t>
      </w:r>
      <w:r w:rsidR="00A21B98">
        <w:rPr>
          <w:rFonts w:ascii="Times New Roman" w:eastAsia="Times New Roman" w:hAnsi="Times New Roman"/>
        </w:rPr>
        <w:t>C</w:t>
      </w:r>
      <w:r w:rsidR="00206518">
        <w:rPr>
          <w:rFonts w:ascii="Times New Roman" w:eastAsia="Times New Roman" w:hAnsi="Times New Roman"/>
        </w:rPr>
        <w:t>ourt of Appeals decision,</w:t>
      </w:r>
      <w:r w:rsidR="00A2110E">
        <w:rPr>
          <w:rFonts w:ascii="Times New Roman" w:eastAsia="Times New Roman" w:hAnsi="Times New Roman"/>
        </w:rPr>
        <w:t xml:space="preserve"> People v. DeBour 40 NY 2d 210 (1976). The level of encounter is based on the amount of information an officer has at the time of the officer’s actions</w:t>
      </w:r>
      <w:r w:rsidR="004D69CF">
        <w:rPr>
          <w:rFonts w:ascii="Times New Roman" w:eastAsia="Times New Roman" w:hAnsi="Times New Roman"/>
        </w:rPr>
        <w:t xml:space="preserve"> and is categorized from Level 1 through Level 4</w:t>
      </w:r>
      <w:r w:rsidR="00A2110E">
        <w:rPr>
          <w:rFonts w:ascii="Times New Roman" w:eastAsia="Times New Roman" w:hAnsi="Times New Roman"/>
        </w:rPr>
        <w:t xml:space="preserve">. </w:t>
      </w:r>
    </w:p>
    <w:p w14:paraId="296001A0" w14:textId="77777777" w:rsidR="00414029" w:rsidRDefault="00414029" w:rsidP="00FB3382">
      <w:pPr>
        <w:spacing w:line="480" w:lineRule="auto"/>
        <w:ind w:firstLine="720"/>
        <w:rPr>
          <w:rFonts w:ascii="Times New Roman" w:eastAsia="Times New Roman" w:hAnsi="Times New Roman"/>
        </w:rPr>
      </w:pPr>
      <w:r w:rsidRPr="00D96C38">
        <w:rPr>
          <w:rFonts w:ascii="Times New Roman" w:eastAsia="Times New Roman" w:hAnsi="Times New Roman"/>
          <w:b/>
        </w:rPr>
        <w:t xml:space="preserve">Level 1: Request for Information. </w:t>
      </w:r>
      <w:r>
        <w:rPr>
          <w:rFonts w:ascii="Times New Roman" w:eastAsia="Times New Roman" w:hAnsi="Times New Roman"/>
        </w:rPr>
        <w:t xml:space="preserve">The </w:t>
      </w:r>
      <w:r w:rsidR="000A3ADF">
        <w:rPr>
          <w:rFonts w:ascii="Times New Roman" w:eastAsia="Times New Roman" w:hAnsi="Times New Roman"/>
        </w:rPr>
        <w:t>o</w:t>
      </w:r>
      <w:r>
        <w:rPr>
          <w:rFonts w:ascii="Times New Roman" w:eastAsia="Times New Roman" w:hAnsi="Times New Roman"/>
        </w:rPr>
        <w:t>fficer has an objective basis to approach an individual and ask for basic information</w:t>
      </w:r>
      <w:r w:rsidR="00A2110E">
        <w:rPr>
          <w:rFonts w:ascii="Times New Roman" w:eastAsia="Times New Roman" w:hAnsi="Times New Roman"/>
        </w:rPr>
        <w:t xml:space="preserve"> such as the individual’s name and destination</w:t>
      </w:r>
      <w:r>
        <w:rPr>
          <w:rFonts w:ascii="Times New Roman" w:eastAsia="Times New Roman" w:hAnsi="Times New Roman"/>
        </w:rPr>
        <w:t xml:space="preserve">, but the individual is free to leave at any time. </w:t>
      </w:r>
    </w:p>
    <w:p w14:paraId="632B171D" w14:textId="77777777" w:rsidR="00D44056" w:rsidRDefault="00414029" w:rsidP="00FB3382">
      <w:pPr>
        <w:spacing w:line="480" w:lineRule="auto"/>
        <w:ind w:firstLine="720"/>
        <w:rPr>
          <w:rFonts w:ascii="Times New Roman" w:eastAsia="Times New Roman" w:hAnsi="Times New Roman"/>
        </w:rPr>
      </w:pPr>
      <w:r w:rsidRPr="00D96C38">
        <w:rPr>
          <w:rFonts w:ascii="Times New Roman" w:eastAsia="Times New Roman" w:hAnsi="Times New Roman"/>
          <w:b/>
        </w:rPr>
        <w:t>Level 2: Common Law Right of Inquiry.</w:t>
      </w:r>
      <w:r>
        <w:rPr>
          <w:rFonts w:ascii="Times New Roman" w:eastAsia="Times New Roman" w:hAnsi="Times New Roman"/>
        </w:rPr>
        <w:t xml:space="preserve"> The officer has a founded suspicion of criminal activity and may ask mo</w:t>
      </w:r>
      <w:r w:rsidR="00D44056">
        <w:rPr>
          <w:rFonts w:ascii="Times New Roman" w:eastAsia="Times New Roman" w:hAnsi="Times New Roman"/>
        </w:rPr>
        <w:t>re accusatory questions</w:t>
      </w:r>
      <w:r w:rsidR="00A2110E">
        <w:rPr>
          <w:rFonts w:ascii="Times New Roman" w:eastAsia="Times New Roman" w:hAnsi="Times New Roman"/>
        </w:rPr>
        <w:t xml:space="preserve"> such as “do you have any weapons?”</w:t>
      </w:r>
      <w:r w:rsidR="00D44056">
        <w:rPr>
          <w:rFonts w:ascii="Times New Roman" w:eastAsia="Times New Roman" w:hAnsi="Times New Roman"/>
        </w:rPr>
        <w:t xml:space="preserve"> but </w:t>
      </w:r>
      <w:r w:rsidR="00A2110E">
        <w:rPr>
          <w:rFonts w:ascii="Times New Roman" w:eastAsia="Times New Roman" w:hAnsi="Times New Roman"/>
        </w:rPr>
        <w:t xml:space="preserve">the individual is free to leave without answering. </w:t>
      </w:r>
    </w:p>
    <w:p w14:paraId="07229206" w14:textId="77777777" w:rsidR="00414029" w:rsidRDefault="00D44056" w:rsidP="00FB3382">
      <w:pPr>
        <w:spacing w:line="480" w:lineRule="auto"/>
        <w:ind w:firstLine="720"/>
        <w:rPr>
          <w:rFonts w:ascii="Times New Roman" w:eastAsia="Times New Roman" w:hAnsi="Times New Roman"/>
        </w:rPr>
      </w:pPr>
      <w:r w:rsidRPr="00D96C38">
        <w:rPr>
          <w:rFonts w:ascii="Times New Roman" w:eastAsia="Times New Roman" w:hAnsi="Times New Roman"/>
          <w:b/>
        </w:rPr>
        <w:t>Level 3: Reasonable Suspicion.</w:t>
      </w:r>
      <w:r>
        <w:rPr>
          <w:rFonts w:ascii="Times New Roman" w:eastAsia="Times New Roman" w:hAnsi="Times New Roman"/>
        </w:rPr>
        <w:t xml:space="preserve"> An officer has a reasonable suspicion that a person has committed, is committing, or is about to commit a crime. The person is not free to leave and the o</w:t>
      </w:r>
      <w:r w:rsidR="00A2110E">
        <w:rPr>
          <w:rFonts w:ascii="Times New Roman" w:eastAsia="Times New Roman" w:hAnsi="Times New Roman"/>
        </w:rPr>
        <w:t xml:space="preserve">fficer may frisk for weapons and in </w:t>
      </w:r>
      <w:r w:rsidR="00A21B98">
        <w:rPr>
          <w:rFonts w:ascii="Times New Roman" w:eastAsia="Times New Roman" w:hAnsi="Times New Roman"/>
        </w:rPr>
        <w:t>some</w:t>
      </w:r>
      <w:r w:rsidR="00A2110E">
        <w:rPr>
          <w:rFonts w:ascii="Times New Roman" w:eastAsia="Times New Roman" w:hAnsi="Times New Roman"/>
        </w:rPr>
        <w:t xml:space="preserve"> situations, conduct a search</w:t>
      </w:r>
      <w:r w:rsidR="008F51A2">
        <w:rPr>
          <w:rFonts w:ascii="Times New Roman" w:eastAsia="Times New Roman" w:hAnsi="Times New Roman"/>
        </w:rPr>
        <w:t>.</w:t>
      </w:r>
    </w:p>
    <w:p w14:paraId="5448A587" w14:textId="77777777" w:rsidR="00A2110E" w:rsidRDefault="00A2110E" w:rsidP="00FB3382">
      <w:pPr>
        <w:spacing w:line="480" w:lineRule="auto"/>
        <w:ind w:firstLine="720"/>
        <w:rPr>
          <w:rFonts w:ascii="Times New Roman" w:eastAsia="Times New Roman" w:hAnsi="Times New Roman"/>
        </w:rPr>
      </w:pPr>
      <w:r w:rsidRPr="001F7B8B">
        <w:rPr>
          <w:rFonts w:ascii="Times New Roman" w:eastAsia="Times New Roman" w:hAnsi="Times New Roman"/>
          <w:b/>
        </w:rPr>
        <w:t>Level 4: Probable Cause to A</w:t>
      </w:r>
      <w:r w:rsidRPr="00D96C38">
        <w:rPr>
          <w:rFonts w:ascii="Times New Roman" w:eastAsia="Times New Roman" w:hAnsi="Times New Roman"/>
          <w:b/>
        </w:rPr>
        <w:t>rrest</w:t>
      </w:r>
      <w:r>
        <w:rPr>
          <w:rFonts w:ascii="Times New Roman" w:eastAsia="Times New Roman" w:hAnsi="Times New Roman"/>
        </w:rPr>
        <w:t>. The individual is not free to leave and may be immediately detained</w:t>
      </w:r>
      <w:r w:rsidR="00D96C38">
        <w:rPr>
          <w:rFonts w:ascii="Times New Roman" w:eastAsia="Times New Roman" w:hAnsi="Times New Roman"/>
        </w:rPr>
        <w:t xml:space="preserve">, </w:t>
      </w:r>
      <w:r>
        <w:rPr>
          <w:rFonts w:ascii="Times New Roman" w:eastAsia="Times New Roman" w:hAnsi="Times New Roman"/>
        </w:rPr>
        <w:t>searched</w:t>
      </w:r>
      <w:r w:rsidR="00D96C38">
        <w:rPr>
          <w:rFonts w:ascii="Times New Roman" w:eastAsia="Times New Roman" w:hAnsi="Times New Roman"/>
        </w:rPr>
        <w:t>, and arrested</w:t>
      </w:r>
      <w:r>
        <w:rPr>
          <w:rFonts w:ascii="Times New Roman" w:eastAsia="Times New Roman" w:hAnsi="Times New Roman"/>
        </w:rPr>
        <w:t xml:space="preserve">.  </w:t>
      </w:r>
    </w:p>
    <w:p w14:paraId="02031279" w14:textId="77777777" w:rsidR="000B3DFF" w:rsidRDefault="00FB3382" w:rsidP="00FB3382">
      <w:pPr>
        <w:spacing w:line="480" w:lineRule="auto"/>
        <w:ind w:firstLine="720"/>
        <w:rPr>
          <w:rFonts w:ascii="Times New Roman" w:eastAsia="Times New Roman" w:hAnsi="Times New Roman"/>
        </w:rPr>
      </w:pPr>
      <w:r w:rsidRPr="00FB3382">
        <w:rPr>
          <w:rFonts w:ascii="Times New Roman" w:eastAsia="Times New Roman" w:hAnsi="Times New Roman"/>
        </w:rPr>
        <w:t xml:space="preserve"> </w:t>
      </w:r>
      <w:r w:rsidR="001D6862">
        <w:rPr>
          <w:rFonts w:ascii="Times New Roman" w:eastAsia="Times New Roman" w:hAnsi="Times New Roman"/>
        </w:rPr>
        <w:t>With respect to street encounters, t</w:t>
      </w:r>
      <w:r>
        <w:rPr>
          <w:rFonts w:ascii="Times New Roman" w:eastAsia="Times New Roman" w:hAnsi="Times New Roman"/>
        </w:rPr>
        <w:t xml:space="preserve">he </w:t>
      </w:r>
      <w:r w:rsidR="00A21B98">
        <w:rPr>
          <w:rFonts w:ascii="Times New Roman" w:eastAsia="Times New Roman" w:hAnsi="Times New Roman"/>
        </w:rPr>
        <w:t>Right to Know act</w:t>
      </w:r>
      <w:r>
        <w:rPr>
          <w:rFonts w:ascii="Times New Roman" w:eastAsia="Times New Roman" w:hAnsi="Times New Roman"/>
        </w:rPr>
        <w:t xml:space="preserve"> </w:t>
      </w:r>
      <w:r w:rsidR="00A2110E">
        <w:rPr>
          <w:rFonts w:ascii="Times New Roman" w:eastAsia="Times New Roman" w:hAnsi="Times New Roman"/>
        </w:rPr>
        <w:t>applies to level 2 and level 3 stops</w:t>
      </w:r>
      <w:r w:rsidR="00A21B98">
        <w:rPr>
          <w:rStyle w:val="FootnoteReference"/>
          <w:rFonts w:ascii="Times New Roman" w:eastAsia="Times New Roman" w:hAnsi="Times New Roman"/>
        </w:rPr>
        <w:footnoteReference w:id="6"/>
      </w:r>
      <w:r w:rsidR="000B3DFF">
        <w:rPr>
          <w:rFonts w:ascii="Times New Roman" w:eastAsia="Times New Roman" w:hAnsi="Times New Roman"/>
        </w:rPr>
        <w:t>, defined as “noncustodial questioning” and “pedestrian stops where an officer has an individualized, reasonable suspicion that the person stopped has committed, is committing, or is about to commit a crime and where a reasonable person would not feel free to end the encounter at will</w:t>
      </w:r>
      <w:r w:rsidR="00A2110E">
        <w:rPr>
          <w:rFonts w:ascii="Times New Roman" w:eastAsia="Times New Roman" w:hAnsi="Times New Roman"/>
        </w:rPr>
        <w:t>.</w:t>
      </w:r>
      <w:r w:rsidR="000B3DFF">
        <w:rPr>
          <w:rFonts w:ascii="Times New Roman" w:eastAsia="Times New Roman" w:hAnsi="Times New Roman"/>
        </w:rPr>
        <w:t>”</w:t>
      </w:r>
      <w:r w:rsidR="000B3DFF">
        <w:rPr>
          <w:rStyle w:val="FootnoteReference"/>
          <w:rFonts w:ascii="Times New Roman" w:eastAsia="Times New Roman" w:hAnsi="Times New Roman"/>
        </w:rPr>
        <w:footnoteReference w:id="7"/>
      </w:r>
      <w:r w:rsidR="00A2110E">
        <w:rPr>
          <w:rFonts w:ascii="Times New Roman" w:eastAsia="Times New Roman" w:hAnsi="Times New Roman"/>
        </w:rPr>
        <w:t xml:space="preserve"> </w:t>
      </w:r>
      <w:r w:rsidR="000B3DFF">
        <w:rPr>
          <w:rFonts w:ascii="Times New Roman" w:eastAsia="Times New Roman" w:hAnsi="Times New Roman"/>
        </w:rPr>
        <w:t xml:space="preserve">In addition, the law applies to </w:t>
      </w:r>
      <w:r w:rsidR="001D6862">
        <w:rPr>
          <w:rFonts w:ascii="Times New Roman" w:eastAsia="Times New Roman" w:hAnsi="Times New Roman"/>
        </w:rPr>
        <w:t>frisks</w:t>
      </w:r>
      <w:r w:rsidR="000B3DFF">
        <w:rPr>
          <w:rFonts w:ascii="Times New Roman" w:eastAsia="Times New Roman" w:hAnsi="Times New Roman"/>
        </w:rPr>
        <w:t xml:space="preserve">, searches of persons or property including vehicles, roadblocks or checkpoints, home searches, and investigatory questioning of witnesses or victims. </w:t>
      </w:r>
    </w:p>
    <w:p w14:paraId="4AE86B0C" w14:textId="0B7A1F18" w:rsidR="001D6862" w:rsidRDefault="00A2110E" w:rsidP="00FB3382">
      <w:pPr>
        <w:spacing w:line="480" w:lineRule="auto"/>
        <w:ind w:firstLine="720"/>
        <w:rPr>
          <w:rFonts w:ascii="Times New Roman" w:eastAsia="Times New Roman" w:hAnsi="Times New Roman"/>
        </w:rPr>
      </w:pPr>
      <w:r>
        <w:rPr>
          <w:rFonts w:ascii="Times New Roman" w:eastAsia="Times New Roman" w:hAnsi="Times New Roman"/>
        </w:rPr>
        <w:t xml:space="preserve">During these encounters, the law </w:t>
      </w:r>
      <w:r w:rsidR="00FB3382">
        <w:rPr>
          <w:rFonts w:ascii="Times New Roman" w:eastAsia="Times New Roman" w:hAnsi="Times New Roman"/>
        </w:rPr>
        <w:t xml:space="preserve">requires police officers to </w:t>
      </w:r>
      <w:r w:rsidR="000B3DFF">
        <w:rPr>
          <w:rFonts w:ascii="Times New Roman" w:eastAsia="Times New Roman" w:hAnsi="Times New Roman"/>
        </w:rPr>
        <w:t xml:space="preserve">provide the individual </w:t>
      </w:r>
      <w:r w:rsidR="004D69CF">
        <w:rPr>
          <w:rFonts w:ascii="Times New Roman" w:eastAsia="Times New Roman" w:hAnsi="Times New Roman"/>
        </w:rPr>
        <w:t>with the officers’</w:t>
      </w:r>
      <w:r w:rsidR="000B3DFF">
        <w:rPr>
          <w:rFonts w:ascii="Times New Roman" w:eastAsia="Times New Roman" w:hAnsi="Times New Roman"/>
        </w:rPr>
        <w:t xml:space="preserve"> name, rank, and command, and</w:t>
      </w:r>
      <w:r w:rsidR="00394663">
        <w:rPr>
          <w:rFonts w:ascii="Times New Roman" w:eastAsia="Times New Roman" w:hAnsi="Times New Roman"/>
        </w:rPr>
        <w:t xml:space="preserve"> provide an explanation </w:t>
      </w:r>
      <w:r w:rsidR="000B3DFF">
        <w:rPr>
          <w:rFonts w:ascii="Times New Roman" w:eastAsia="Times New Roman" w:hAnsi="Times New Roman"/>
        </w:rPr>
        <w:t>for the stop</w:t>
      </w:r>
      <w:r w:rsidR="00394663">
        <w:rPr>
          <w:rFonts w:ascii="Times New Roman" w:eastAsia="Times New Roman" w:hAnsi="Times New Roman"/>
        </w:rPr>
        <w:t>, unless providing such information would impair a criminal investigation.</w:t>
      </w:r>
      <w:r w:rsidR="00394663">
        <w:rPr>
          <w:rStyle w:val="FootnoteReference"/>
          <w:rFonts w:ascii="Times New Roman" w:eastAsia="Times New Roman" w:hAnsi="Times New Roman"/>
        </w:rPr>
        <w:footnoteReference w:id="8"/>
      </w:r>
      <w:r w:rsidR="00394663">
        <w:rPr>
          <w:rFonts w:ascii="Times New Roman" w:eastAsia="Times New Roman" w:hAnsi="Times New Roman"/>
        </w:rPr>
        <w:t xml:space="preserve"> </w:t>
      </w:r>
      <w:r w:rsidR="000B3DFF">
        <w:rPr>
          <w:rFonts w:ascii="Times New Roman" w:eastAsia="Times New Roman" w:hAnsi="Times New Roman"/>
        </w:rPr>
        <w:t>In addition, the officer must offer a business card that contains the officer’s name, rank, and shield number as well as a phone number for the 311 customer service center that a person can call to submit comments about the encounter</w:t>
      </w:r>
      <w:r w:rsidR="001D6862">
        <w:rPr>
          <w:rFonts w:ascii="Times New Roman" w:eastAsia="Times New Roman" w:hAnsi="Times New Roman"/>
        </w:rPr>
        <w:t>, with some exceptions</w:t>
      </w:r>
      <w:r w:rsidR="000B3DFF">
        <w:rPr>
          <w:rFonts w:ascii="Times New Roman" w:eastAsia="Times New Roman" w:hAnsi="Times New Roman"/>
        </w:rPr>
        <w:t>.</w:t>
      </w:r>
      <w:r w:rsidR="001D6862">
        <w:rPr>
          <w:rStyle w:val="FootnoteReference"/>
          <w:rFonts w:ascii="Times New Roman" w:eastAsia="Times New Roman" w:hAnsi="Times New Roman"/>
        </w:rPr>
        <w:footnoteReference w:id="9"/>
      </w:r>
      <w:r w:rsidR="000B3DFF">
        <w:rPr>
          <w:rFonts w:ascii="Times New Roman" w:eastAsia="Times New Roman" w:hAnsi="Times New Roman"/>
        </w:rPr>
        <w:t xml:space="preserve"> </w:t>
      </w:r>
    </w:p>
    <w:p w14:paraId="515F82F4" w14:textId="77777777" w:rsidR="00894035" w:rsidRDefault="001D6862" w:rsidP="00FB3382">
      <w:pPr>
        <w:spacing w:line="480" w:lineRule="auto"/>
        <w:ind w:firstLine="720"/>
        <w:rPr>
          <w:rFonts w:ascii="Times New Roman" w:eastAsia="Times New Roman" w:hAnsi="Times New Roman"/>
        </w:rPr>
      </w:pPr>
      <w:r>
        <w:rPr>
          <w:rFonts w:ascii="Times New Roman" w:eastAsia="Times New Roman" w:hAnsi="Times New Roman"/>
        </w:rPr>
        <w:t xml:space="preserve">In order to comply with the law, the NYPD created preprinted business cards that also contain a link to a website that provides information on how to obtain body camera footage and stop report, as well as </w:t>
      </w:r>
      <w:r w:rsidR="00B333C5">
        <w:rPr>
          <w:rFonts w:ascii="Times New Roman" w:eastAsia="Times New Roman" w:hAnsi="Times New Roman"/>
        </w:rPr>
        <w:t>make a complaint.</w:t>
      </w:r>
      <w:r w:rsidR="00B333C5">
        <w:rPr>
          <w:rStyle w:val="FootnoteReference"/>
          <w:rFonts w:ascii="Times New Roman" w:eastAsia="Times New Roman" w:hAnsi="Times New Roman"/>
        </w:rPr>
        <w:footnoteReference w:id="10"/>
      </w:r>
      <w:r w:rsidR="00B333C5">
        <w:rPr>
          <w:rFonts w:ascii="Times New Roman" w:eastAsia="Times New Roman" w:hAnsi="Times New Roman"/>
        </w:rPr>
        <w:t xml:space="preserve"> </w:t>
      </w:r>
    </w:p>
    <w:p w14:paraId="582FA215" w14:textId="77777777" w:rsidR="00DF0329" w:rsidRDefault="00DF0329" w:rsidP="00DF0329">
      <w:pPr>
        <w:pStyle w:val="ListParagraph"/>
        <w:ind w:left="1080"/>
        <w:rPr>
          <w:rFonts w:ascii="Times New Roman" w:eastAsia="Times New Roman" w:hAnsi="Times New Roman"/>
        </w:rPr>
      </w:pPr>
    </w:p>
    <w:p w14:paraId="3669D87F" w14:textId="77777777" w:rsidR="00DF0329" w:rsidRPr="00DF0329" w:rsidRDefault="00DF0329" w:rsidP="00DF0329">
      <w:pPr>
        <w:rPr>
          <w:rFonts w:ascii="Times New Roman" w:eastAsia="Times New Roman" w:hAnsi="Times New Roman"/>
          <w:i/>
        </w:rPr>
      </w:pPr>
      <w:r w:rsidRPr="00DF0329">
        <w:rPr>
          <w:rFonts w:ascii="Times New Roman" w:eastAsia="Times New Roman" w:hAnsi="Times New Roman"/>
          <w:i/>
        </w:rPr>
        <w:t xml:space="preserve">Consent to Search Encounters </w:t>
      </w:r>
    </w:p>
    <w:p w14:paraId="15A343F3" w14:textId="77777777" w:rsidR="00694446" w:rsidRPr="00694446" w:rsidRDefault="00694446" w:rsidP="00694446">
      <w:pPr>
        <w:pStyle w:val="ListParagraph"/>
        <w:ind w:left="1080"/>
        <w:rPr>
          <w:rFonts w:ascii="Times New Roman" w:eastAsia="Times New Roman" w:hAnsi="Times New Roman"/>
        </w:rPr>
      </w:pPr>
    </w:p>
    <w:p w14:paraId="33728384" w14:textId="564E87C9" w:rsidR="000A3ADF" w:rsidRDefault="001D6862" w:rsidP="00BF2894">
      <w:pPr>
        <w:spacing w:line="480" w:lineRule="auto"/>
        <w:ind w:firstLine="720"/>
        <w:rPr>
          <w:rFonts w:ascii="Times New Roman" w:eastAsia="Times New Roman" w:hAnsi="Times New Roman"/>
        </w:rPr>
      </w:pPr>
      <w:r>
        <w:rPr>
          <w:rFonts w:ascii="Times New Roman" w:eastAsia="Times New Roman" w:hAnsi="Times New Roman"/>
        </w:rPr>
        <w:t>Local Law 56 of 2018</w:t>
      </w:r>
      <w:r w:rsidR="00B065E2">
        <w:rPr>
          <w:rFonts w:ascii="Times New Roman" w:eastAsia="Times New Roman" w:hAnsi="Times New Roman"/>
        </w:rPr>
        <w:t xml:space="preserve"> required the NYPD to develop and provide guidance for its </w:t>
      </w:r>
      <w:r w:rsidR="00BF2894">
        <w:rPr>
          <w:rFonts w:ascii="Times New Roman" w:eastAsia="Times New Roman" w:hAnsi="Times New Roman"/>
        </w:rPr>
        <w:t>officers regarding consent searches</w:t>
      </w:r>
      <w:r>
        <w:rPr>
          <w:rFonts w:ascii="Times New Roman" w:eastAsia="Times New Roman" w:hAnsi="Times New Roman"/>
        </w:rPr>
        <w:t>,</w:t>
      </w:r>
      <w:r w:rsidR="0036405C">
        <w:rPr>
          <w:rFonts w:ascii="Times New Roman" w:eastAsia="Times New Roman" w:hAnsi="Times New Roman"/>
        </w:rPr>
        <w:t xml:space="preserve"> and issue quarterly reports</w:t>
      </w:r>
      <w:r w:rsidR="00BF2894">
        <w:rPr>
          <w:rFonts w:ascii="Times New Roman" w:eastAsia="Times New Roman" w:hAnsi="Times New Roman"/>
        </w:rPr>
        <w:t>.</w:t>
      </w:r>
      <w:r w:rsidR="00DF0329">
        <w:rPr>
          <w:rStyle w:val="FootnoteReference"/>
          <w:rFonts w:ascii="Times New Roman" w:eastAsia="Times New Roman" w:hAnsi="Times New Roman"/>
        </w:rPr>
        <w:footnoteReference w:id="11"/>
      </w:r>
      <w:r w:rsidR="00BF2894">
        <w:rPr>
          <w:rFonts w:ascii="Times New Roman" w:eastAsia="Times New Roman" w:hAnsi="Times New Roman"/>
        </w:rPr>
        <w:t xml:space="preserve"> </w:t>
      </w:r>
      <w:r w:rsidR="00A21B98">
        <w:rPr>
          <w:rFonts w:ascii="Times New Roman" w:eastAsia="Times New Roman" w:hAnsi="Times New Roman"/>
        </w:rPr>
        <w:t xml:space="preserve">Consent searches </w:t>
      </w:r>
      <w:r w:rsidR="000A3ADF">
        <w:rPr>
          <w:rFonts w:ascii="Times New Roman" w:eastAsia="Times New Roman" w:hAnsi="Times New Roman"/>
        </w:rPr>
        <w:t>refer to circumstances in which an officer may only conduct a search with the individual’s consent, which is all encounters in which the officer does not already have probable cause to arrest, including level 1, 2</w:t>
      </w:r>
      <w:r w:rsidR="00642236">
        <w:rPr>
          <w:rFonts w:ascii="Times New Roman" w:eastAsia="Times New Roman" w:hAnsi="Times New Roman"/>
        </w:rPr>
        <w:t>,</w:t>
      </w:r>
      <w:r w:rsidR="000A3ADF">
        <w:rPr>
          <w:rFonts w:ascii="Times New Roman" w:eastAsia="Times New Roman" w:hAnsi="Times New Roman"/>
        </w:rPr>
        <w:t xml:space="preserve"> and 3 encounters</w:t>
      </w:r>
      <w:r w:rsidR="00A21B98">
        <w:rPr>
          <w:rFonts w:ascii="Times New Roman" w:eastAsia="Times New Roman" w:hAnsi="Times New Roman"/>
        </w:rPr>
        <w:t xml:space="preserve">. </w:t>
      </w:r>
    </w:p>
    <w:p w14:paraId="4B2C284F" w14:textId="719C5D2B" w:rsidR="00712A47" w:rsidRPr="00712A47" w:rsidRDefault="000A3ADF" w:rsidP="00D96C38">
      <w:pPr>
        <w:spacing w:line="480" w:lineRule="auto"/>
        <w:ind w:firstLine="720"/>
        <w:rPr>
          <w:rFonts w:ascii="Times New Roman" w:eastAsia="Times New Roman" w:hAnsi="Times New Roman"/>
        </w:rPr>
      </w:pPr>
      <w:r>
        <w:rPr>
          <w:rFonts w:ascii="Times New Roman" w:eastAsia="Times New Roman" w:hAnsi="Times New Roman"/>
        </w:rPr>
        <w:t>The Right to Know Act require</w:t>
      </w:r>
      <w:r w:rsidR="004D69CF">
        <w:rPr>
          <w:rFonts w:ascii="Times New Roman" w:eastAsia="Times New Roman" w:hAnsi="Times New Roman"/>
        </w:rPr>
        <w:t>s</w:t>
      </w:r>
      <w:r w:rsidR="00BF2894">
        <w:rPr>
          <w:rFonts w:ascii="Times New Roman" w:eastAsia="Times New Roman" w:hAnsi="Times New Roman"/>
        </w:rPr>
        <w:t xml:space="preserve"> the department to specify conduct for</w:t>
      </w:r>
      <w:r>
        <w:rPr>
          <w:rFonts w:ascii="Times New Roman" w:eastAsia="Times New Roman" w:hAnsi="Times New Roman"/>
        </w:rPr>
        <w:t xml:space="preserve"> a</w:t>
      </w:r>
      <w:r w:rsidR="00BF2894" w:rsidRPr="00BF2894">
        <w:rPr>
          <w:rFonts w:ascii="Times New Roman" w:eastAsia="Times New Roman" w:hAnsi="Times New Roman"/>
        </w:rPr>
        <w:t>rticulating, using plain and simple language, that the person is being asked to voluntarily, knowingly and intelligently consent to a search and explaining that such s</w:t>
      </w:r>
      <w:r w:rsidR="00DF0329">
        <w:rPr>
          <w:rFonts w:ascii="Times New Roman" w:eastAsia="Times New Roman" w:hAnsi="Times New Roman"/>
        </w:rPr>
        <w:t xml:space="preserve">earch will not be conducted if the </w:t>
      </w:r>
      <w:r w:rsidR="00BF2894" w:rsidRPr="00BF2894">
        <w:rPr>
          <w:rFonts w:ascii="Times New Roman" w:eastAsia="Times New Roman" w:hAnsi="Times New Roman"/>
        </w:rPr>
        <w:t>person refuses to provide consent</w:t>
      </w:r>
      <w:r>
        <w:rPr>
          <w:rFonts w:ascii="Times New Roman" w:eastAsia="Times New Roman" w:hAnsi="Times New Roman"/>
        </w:rPr>
        <w:t xml:space="preserve">. In addition, the law requires officers to </w:t>
      </w:r>
      <w:r w:rsidR="004D69CF">
        <w:rPr>
          <w:rFonts w:ascii="Times New Roman" w:eastAsia="Times New Roman" w:hAnsi="Times New Roman"/>
        </w:rPr>
        <w:t>s</w:t>
      </w:r>
      <w:r w:rsidR="00BF2894" w:rsidRPr="00BF2894">
        <w:rPr>
          <w:rFonts w:ascii="Times New Roman" w:eastAsia="Times New Roman" w:hAnsi="Times New Roman"/>
        </w:rPr>
        <w:t>ecure consent without threats or promises</w:t>
      </w:r>
      <w:r>
        <w:rPr>
          <w:rFonts w:ascii="Times New Roman" w:eastAsia="Times New Roman" w:hAnsi="Times New Roman"/>
        </w:rPr>
        <w:t>, a</w:t>
      </w:r>
      <w:r w:rsidR="00BF2894" w:rsidRPr="00BF2894">
        <w:rPr>
          <w:rFonts w:ascii="Times New Roman" w:eastAsia="Times New Roman" w:hAnsi="Times New Roman"/>
        </w:rPr>
        <w:t>ffirm that the person understood what was being communicated</w:t>
      </w:r>
      <w:r>
        <w:rPr>
          <w:rFonts w:ascii="Times New Roman" w:eastAsia="Times New Roman" w:hAnsi="Times New Roman"/>
        </w:rPr>
        <w:t xml:space="preserve">, </w:t>
      </w:r>
      <w:r w:rsidR="00BF2894" w:rsidRPr="00BF2894">
        <w:rPr>
          <w:rFonts w:ascii="Times New Roman" w:eastAsia="Times New Roman" w:hAnsi="Times New Roman"/>
        </w:rPr>
        <w:t xml:space="preserve">  </w:t>
      </w:r>
      <w:r>
        <w:rPr>
          <w:rFonts w:ascii="Times New Roman" w:eastAsia="Times New Roman" w:hAnsi="Times New Roman"/>
        </w:rPr>
        <w:t>re</w:t>
      </w:r>
      <w:r w:rsidR="00BF2894" w:rsidRPr="00BF2894">
        <w:rPr>
          <w:rFonts w:ascii="Times New Roman" w:eastAsia="Times New Roman" w:hAnsi="Times New Roman"/>
        </w:rPr>
        <w:t>frain from conducing the search if the person does not consent</w:t>
      </w:r>
      <w:r>
        <w:rPr>
          <w:rFonts w:ascii="Times New Roman" w:eastAsia="Times New Roman" w:hAnsi="Times New Roman"/>
        </w:rPr>
        <w:t>, and u</w:t>
      </w:r>
      <w:r w:rsidR="00BF2894" w:rsidRPr="00BF2894">
        <w:rPr>
          <w:rFonts w:ascii="Times New Roman" w:eastAsia="Times New Roman" w:hAnsi="Times New Roman"/>
        </w:rPr>
        <w:t>tilize interpretation services when communicating with a person with limited English proficiency.</w:t>
      </w:r>
      <w:r w:rsidR="00DF0329">
        <w:rPr>
          <w:rStyle w:val="FootnoteReference"/>
          <w:rFonts w:ascii="Times New Roman" w:eastAsia="Times New Roman" w:hAnsi="Times New Roman"/>
        </w:rPr>
        <w:footnoteReference w:id="12"/>
      </w:r>
      <w:r w:rsidR="0036405C">
        <w:rPr>
          <w:rFonts w:ascii="Times New Roman" w:eastAsia="Times New Roman" w:hAnsi="Times New Roman"/>
        </w:rPr>
        <w:t xml:space="preserve"> </w:t>
      </w:r>
    </w:p>
    <w:p w14:paraId="781331DE" w14:textId="77777777" w:rsidR="00712A47" w:rsidRDefault="00BF2894" w:rsidP="002E4E5D">
      <w:pPr>
        <w:spacing w:line="480" w:lineRule="auto"/>
        <w:ind w:firstLine="720"/>
        <w:rPr>
          <w:rFonts w:ascii="Times New Roman" w:eastAsia="Times New Roman" w:hAnsi="Times New Roman"/>
        </w:rPr>
      </w:pPr>
      <w:r>
        <w:rPr>
          <w:rFonts w:ascii="Times New Roman" w:eastAsia="Times New Roman" w:hAnsi="Times New Roman"/>
        </w:rPr>
        <w:t>Officers e</w:t>
      </w:r>
      <w:r w:rsidR="008825AF">
        <w:rPr>
          <w:rFonts w:ascii="Times New Roman" w:eastAsia="Times New Roman" w:hAnsi="Times New Roman"/>
        </w:rPr>
        <w:t>quipped with a body worn cam</w:t>
      </w:r>
      <w:r w:rsidR="00DF0329">
        <w:rPr>
          <w:rFonts w:ascii="Times New Roman" w:eastAsia="Times New Roman" w:hAnsi="Times New Roman"/>
        </w:rPr>
        <w:t>era</w:t>
      </w:r>
      <w:r w:rsidR="008825AF">
        <w:rPr>
          <w:rFonts w:ascii="Times New Roman" w:eastAsia="Times New Roman" w:hAnsi="Times New Roman"/>
        </w:rPr>
        <w:t xml:space="preserve"> </w:t>
      </w:r>
      <w:r>
        <w:rPr>
          <w:rFonts w:ascii="Times New Roman" w:eastAsia="Times New Roman" w:hAnsi="Times New Roman"/>
        </w:rPr>
        <w:t>are required to record t</w:t>
      </w:r>
      <w:r w:rsidR="00DF0329">
        <w:rPr>
          <w:rFonts w:ascii="Times New Roman" w:eastAsia="Times New Roman" w:hAnsi="Times New Roman"/>
        </w:rPr>
        <w:t xml:space="preserve">he information communicated, </w:t>
      </w:r>
      <w:r>
        <w:rPr>
          <w:rFonts w:ascii="Times New Roman" w:eastAsia="Times New Roman" w:hAnsi="Times New Roman"/>
        </w:rPr>
        <w:t>the person’s response</w:t>
      </w:r>
      <w:r w:rsidR="00DF0329">
        <w:rPr>
          <w:rFonts w:ascii="Times New Roman" w:eastAsia="Times New Roman" w:hAnsi="Times New Roman"/>
        </w:rPr>
        <w:t>,</w:t>
      </w:r>
      <w:r>
        <w:rPr>
          <w:rFonts w:ascii="Times New Roman" w:eastAsia="Times New Roman" w:hAnsi="Times New Roman"/>
        </w:rPr>
        <w:t xml:space="preserve"> and offer the individual information of how to obtain a copy of the video.</w:t>
      </w:r>
      <w:r w:rsidR="008825AF">
        <w:rPr>
          <w:rStyle w:val="FootnoteReference"/>
          <w:rFonts w:ascii="Times New Roman" w:eastAsia="Times New Roman" w:hAnsi="Times New Roman"/>
        </w:rPr>
        <w:footnoteReference w:id="13"/>
      </w:r>
      <w:r w:rsidR="008825AF">
        <w:rPr>
          <w:rFonts w:ascii="Times New Roman" w:eastAsia="Times New Roman" w:hAnsi="Times New Roman"/>
        </w:rPr>
        <w:t xml:space="preserve"> </w:t>
      </w:r>
      <w:r w:rsidR="000A3ADF">
        <w:rPr>
          <w:rFonts w:ascii="Times New Roman" w:eastAsia="Times New Roman" w:hAnsi="Times New Roman"/>
        </w:rPr>
        <w:t xml:space="preserve">Any consent not captured on a body worn camera must be obtained in writing. </w:t>
      </w:r>
      <w:r w:rsidR="00DF0329">
        <w:rPr>
          <w:rFonts w:ascii="Times New Roman" w:eastAsia="Times New Roman" w:hAnsi="Times New Roman"/>
        </w:rPr>
        <w:t>The department is required to provide a copy of the video within 90 days of the request, or in 120 days for extenuating circumstances.</w:t>
      </w:r>
      <w:r w:rsidR="00DF0329">
        <w:rPr>
          <w:rStyle w:val="FootnoteReference"/>
          <w:rFonts w:ascii="Times New Roman" w:eastAsia="Times New Roman" w:hAnsi="Times New Roman"/>
        </w:rPr>
        <w:footnoteReference w:id="14"/>
      </w:r>
      <w:r w:rsidR="00DF0329">
        <w:rPr>
          <w:rFonts w:ascii="Times New Roman" w:eastAsia="Times New Roman" w:hAnsi="Times New Roman"/>
        </w:rPr>
        <w:t xml:space="preserve"> </w:t>
      </w:r>
      <w:r>
        <w:rPr>
          <w:rFonts w:ascii="Times New Roman" w:eastAsia="Times New Roman" w:hAnsi="Times New Roman"/>
        </w:rPr>
        <w:t>An officer who has conducted a consent</w:t>
      </w:r>
      <w:r w:rsidR="008825AF">
        <w:rPr>
          <w:rFonts w:ascii="Times New Roman" w:eastAsia="Times New Roman" w:hAnsi="Times New Roman"/>
        </w:rPr>
        <w:t>ed</w:t>
      </w:r>
      <w:r>
        <w:rPr>
          <w:rFonts w:ascii="Times New Roman" w:eastAsia="Times New Roman" w:hAnsi="Times New Roman"/>
        </w:rPr>
        <w:t xml:space="preserve"> search is required to document the time, location, date of search, and the race/ethnicity, </w:t>
      </w:r>
      <w:r w:rsidR="008825AF">
        <w:rPr>
          <w:rFonts w:ascii="Times New Roman" w:eastAsia="Times New Roman" w:hAnsi="Times New Roman"/>
        </w:rPr>
        <w:t>gender, and age of the person who has been subject to the search as well as the officer’s name, precinct and shi</w:t>
      </w:r>
      <w:r w:rsidR="00DF0329">
        <w:rPr>
          <w:rFonts w:ascii="Times New Roman" w:eastAsia="Times New Roman" w:hAnsi="Times New Roman"/>
        </w:rPr>
        <w:t>eld number.</w:t>
      </w:r>
      <w:r w:rsidR="00DF0329">
        <w:rPr>
          <w:rStyle w:val="FootnoteReference"/>
          <w:rFonts w:ascii="Times New Roman" w:eastAsia="Times New Roman" w:hAnsi="Times New Roman"/>
        </w:rPr>
        <w:footnoteReference w:id="15"/>
      </w:r>
    </w:p>
    <w:p w14:paraId="136D0351" w14:textId="4CC979F3" w:rsidR="00B333C5" w:rsidRDefault="004D69CF" w:rsidP="002E4E5D">
      <w:pPr>
        <w:spacing w:line="480" w:lineRule="auto"/>
        <w:ind w:firstLine="720"/>
        <w:rPr>
          <w:rFonts w:ascii="Times New Roman" w:eastAsia="Times New Roman" w:hAnsi="Times New Roman"/>
        </w:rPr>
      </w:pPr>
      <w:r>
        <w:rPr>
          <w:rFonts w:ascii="Times New Roman" w:eastAsia="Times New Roman" w:hAnsi="Times New Roman"/>
        </w:rPr>
        <w:t>Subsequent to passage of the laws, t</w:t>
      </w:r>
      <w:r w:rsidR="00B333C5">
        <w:rPr>
          <w:rFonts w:ascii="Times New Roman" w:eastAsia="Times New Roman" w:hAnsi="Times New Roman"/>
        </w:rPr>
        <w:t>he NYPD updated the patrol guide to reflect the manner in which officers are instructed to request consent. The instructions are as follows</w:t>
      </w:r>
      <w:r w:rsidR="00BB3D2F">
        <w:rPr>
          <w:rStyle w:val="FootnoteReference"/>
          <w:rFonts w:ascii="Times New Roman" w:eastAsia="Times New Roman" w:hAnsi="Times New Roman"/>
        </w:rPr>
        <w:footnoteReference w:id="16"/>
      </w:r>
      <w:r w:rsidR="00B333C5">
        <w:rPr>
          <w:rFonts w:ascii="Times New Roman" w:eastAsia="Times New Roman" w:hAnsi="Times New Roman"/>
        </w:rPr>
        <w:t>:</w:t>
      </w:r>
    </w:p>
    <w:p w14:paraId="58250308" w14:textId="77777777" w:rsidR="00B333C5" w:rsidRDefault="00B333C5" w:rsidP="00D96C38">
      <w:pPr>
        <w:ind w:firstLine="720"/>
        <w:rPr>
          <w:rFonts w:ascii="Times New Roman" w:eastAsia="Times New Roman" w:hAnsi="Times New Roman"/>
        </w:rPr>
      </w:pPr>
      <w:r>
        <w:rPr>
          <w:rFonts w:ascii="Times New Roman" w:eastAsia="Times New Roman" w:hAnsi="Times New Roman"/>
        </w:rPr>
        <w:t xml:space="preserve">You may request consent to search; the consent must be voluntarily given. </w:t>
      </w:r>
    </w:p>
    <w:p w14:paraId="1EF2241F" w14:textId="77777777" w:rsidR="00C42E4F" w:rsidRDefault="00C42E4F" w:rsidP="00D96C38">
      <w:pPr>
        <w:ind w:firstLine="720"/>
        <w:rPr>
          <w:rFonts w:ascii="Times New Roman" w:eastAsia="Times New Roman" w:hAnsi="Times New Roman"/>
        </w:rPr>
      </w:pPr>
    </w:p>
    <w:p w14:paraId="4A608769" w14:textId="77777777" w:rsidR="00B333C5" w:rsidRDefault="00B333C5" w:rsidP="00D96C38">
      <w:pPr>
        <w:pStyle w:val="ListParagraph"/>
        <w:numPr>
          <w:ilvl w:val="0"/>
          <w:numId w:val="4"/>
        </w:numPr>
        <w:rPr>
          <w:rFonts w:ascii="Times New Roman" w:eastAsia="Times New Roman" w:hAnsi="Times New Roman"/>
        </w:rPr>
      </w:pPr>
      <w:r>
        <w:rPr>
          <w:rFonts w:ascii="Times New Roman" w:eastAsia="Times New Roman" w:hAnsi="Times New Roman"/>
        </w:rPr>
        <w:t>Ask for consent to search in a manner that elicits a clear ‘yes’ or ‘no’ response. When seeking consent, make clear that the search will not occur if the person does not consent. For example, in a non-threatening manger and without making promises, you may ask the following: “</w:t>
      </w:r>
      <w:r>
        <w:rPr>
          <w:rFonts w:ascii="Times New Roman" w:eastAsia="Times New Roman" w:hAnsi="Times New Roman"/>
          <w:i/>
        </w:rPr>
        <w:t>I can only search you, if you consent. Do you understand? May I search you?”</w:t>
      </w:r>
    </w:p>
    <w:p w14:paraId="7437B24A" w14:textId="77777777" w:rsidR="00B333C5" w:rsidRDefault="00B333C5" w:rsidP="00D96C38">
      <w:pPr>
        <w:pStyle w:val="ListParagraph"/>
        <w:numPr>
          <w:ilvl w:val="0"/>
          <w:numId w:val="4"/>
        </w:numPr>
        <w:rPr>
          <w:rFonts w:ascii="Times New Roman" w:eastAsia="Times New Roman" w:hAnsi="Times New Roman"/>
        </w:rPr>
      </w:pPr>
      <w:r>
        <w:rPr>
          <w:rFonts w:ascii="Times New Roman" w:eastAsia="Times New Roman" w:hAnsi="Times New Roman"/>
        </w:rPr>
        <w:t xml:space="preserve">If a person does not consent to a search, you cannot conduct a search. </w:t>
      </w:r>
    </w:p>
    <w:p w14:paraId="17BFB759" w14:textId="77777777" w:rsidR="00B333C5" w:rsidRDefault="00B333C5" w:rsidP="00D96C38">
      <w:pPr>
        <w:pStyle w:val="ListParagraph"/>
        <w:numPr>
          <w:ilvl w:val="0"/>
          <w:numId w:val="4"/>
        </w:numPr>
        <w:rPr>
          <w:rFonts w:ascii="Times New Roman" w:eastAsia="Times New Roman" w:hAnsi="Times New Roman"/>
        </w:rPr>
      </w:pPr>
      <w:r>
        <w:rPr>
          <w:rFonts w:ascii="Times New Roman" w:eastAsia="Times New Roman" w:hAnsi="Times New Roman"/>
        </w:rPr>
        <w:t xml:space="preserve">If you are seeking consent to search, you must video record the request and the person’s response, if you have a Body-Worn Camera. </w:t>
      </w:r>
    </w:p>
    <w:p w14:paraId="30E98B8D" w14:textId="77777777" w:rsidR="00B333C5" w:rsidRDefault="00B333C5" w:rsidP="00D96C38">
      <w:pPr>
        <w:pStyle w:val="ListParagraph"/>
        <w:numPr>
          <w:ilvl w:val="0"/>
          <w:numId w:val="4"/>
        </w:numPr>
        <w:rPr>
          <w:rFonts w:ascii="Times New Roman" w:eastAsia="Times New Roman" w:hAnsi="Times New Roman"/>
        </w:rPr>
      </w:pPr>
      <w:r>
        <w:rPr>
          <w:rFonts w:ascii="Times New Roman" w:eastAsia="Times New Roman" w:hAnsi="Times New Roman"/>
        </w:rPr>
        <w:t>Document the time, location, and date of such request, consent, refusal, and search (if performed), and the apparent race, ethnicity, gender, and age of the person who was the subject of such request and search, and your name, precinct, tax number and/or shield number</w:t>
      </w:r>
      <w:r w:rsidR="00A21B98">
        <w:rPr>
          <w:rFonts w:ascii="Times New Roman" w:eastAsia="Times New Roman" w:hAnsi="Times New Roman"/>
        </w:rPr>
        <w:t xml:space="preserve"> on the [consent search report]</w:t>
      </w:r>
    </w:p>
    <w:p w14:paraId="0A9B7F3C" w14:textId="77777777" w:rsidR="00B333C5" w:rsidRDefault="00B333C5" w:rsidP="00D96C38">
      <w:pPr>
        <w:pStyle w:val="ListParagraph"/>
        <w:numPr>
          <w:ilvl w:val="0"/>
          <w:numId w:val="4"/>
        </w:numPr>
        <w:rPr>
          <w:rFonts w:ascii="Times New Roman" w:eastAsia="Times New Roman" w:hAnsi="Times New Roman"/>
        </w:rPr>
      </w:pPr>
      <w:r>
        <w:rPr>
          <w:rFonts w:ascii="Times New Roman" w:eastAsia="Times New Roman" w:hAnsi="Times New Roman"/>
        </w:rPr>
        <w:t xml:space="preserve">Offer the person </w:t>
      </w:r>
      <w:r w:rsidR="00A21B98">
        <w:rPr>
          <w:rFonts w:ascii="Times New Roman" w:eastAsia="Times New Roman" w:hAnsi="Times New Roman"/>
        </w:rPr>
        <w:t xml:space="preserve">who is the subject of the request a </w:t>
      </w:r>
      <w:r w:rsidR="00A21B98" w:rsidRPr="00D96C38">
        <w:rPr>
          <w:rFonts w:ascii="Times New Roman" w:eastAsia="Times New Roman" w:hAnsi="Times New Roman"/>
          <w:b/>
        </w:rPr>
        <w:t>RIGHT TO KNOW BUSINESS CARD</w:t>
      </w:r>
      <w:r w:rsidR="00A21B98">
        <w:rPr>
          <w:rFonts w:ascii="Times New Roman" w:eastAsia="Times New Roman" w:hAnsi="Times New Roman"/>
        </w:rPr>
        <w:t xml:space="preserve">, as appropriate, in all cases, and, if applicable, provide information on how to obtain a copy of the video record of the request and search (if performed). </w:t>
      </w:r>
    </w:p>
    <w:p w14:paraId="0A6CE090" w14:textId="77777777" w:rsidR="00B44E55" w:rsidRPr="00D96C38" w:rsidRDefault="00B44E55" w:rsidP="00D96C38">
      <w:pPr>
        <w:pStyle w:val="ListParagraph"/>
        <w:ind w:left="1800"/>
        <w:rPr>
          <w:rFonts w:ascii="Times New Roman" w:eastAsia="Times New Roman" w:hAnsi="Times New Roman"/>
        </w:rPr>
      </w:pPr>
    </w:p>
    <w:p w14:paraId="0DEFBDE5" w14:textId="43889942" w:rsidR="00FE5F89" w:rsidRDefault="008F51A2" w:rsidP="00DD41E1">
      <w:pPr>
        <w:spacing w:line="480" w:lineRule="auto"/>
        <w:ind w:firstLine="720"/>
        <w:rPr>
          <w:rFonts w:ascii="Times New Roman" w:eastAsia="Times New Roman" w:hAnsi="Times New Roman"/>
          <w:b/>
          <w:u w:val="single"/>
        </w:rPr>
      </w:pPr>
      <w:r>
        <w:rPr>
          <w:rFonts w:ascii="Times New Roman" w:eastAsia="Times New Roman" w:hAnsi="Times New Roman"/>
        </w:rPr>
        <w:t>The law also requires the NYPD to report quarterly on the number of consent searches conducted during the preceding quarter</w:t>
      </w:r>
      <w:r w:rsidR="00B44E55">
        <w:rPr>
          <w:rFonts w:ascii="Times New Roman" w:eastAsia="Times New Roman" w:hAnsi="Times New Roman"/>
        </w:rPr>
        <w:t>, disaggregated by race, age, and gender</w:t>
      </w:r>
      <w:r w:rsidR="00BB3D2F">
        <w:rPr>
          <w:rFonts w:ascii="Times New Roman" w:eastAsia="Times New Roman" w:hAnsi="Times New Roman"/>
        </w:rPr>
        <w:t xml:space="preserve">. </w:t>
      </w:r>
      <w:r w:rsidR="00B44E55">
        <w:rPr>
          <w:rFonts w:ascii="Times New Roman" w:eastAsia="Times New Roman" w:hAnsi="Times New Roman"/>
        </w:rPr>
        <w:t>During the last quarter of 2018</w:t>
      </w:r>
      <w:r w:rsidR="00B44E55">
        <w:rPr>
          <w:rStyle w:val="FootnoteReference"/>
          <w:rFonts w:ascii="Times New Roman" w:eastAsia="Times New Roman" w:hAnsi="Times New Roman"/>
        </w:rPr>
        <w:footnoteReference w:id="17"/>
      </w:r>
      <w:r w:rsidR="00B44E55">
        <w:rPr>
          <w:rFonts w:ascii="Times New Roman" w:eastAsia="Times New Roman" w:hAnsi="Times New Roman"/>
        </w:rPr>
        <w:t xml:space="preserve"> </w:t>
      </w:r>
      <w:r>
        <w:rPr>
          <w:rFonts w:ascii="Times New Roman" w:eastAsia="Times New Roman" w:hAnsi="Times New Roman"/>
        </w:rPr>
        <w:t>the NYPD documented 419 requests to search</w:t>
      </w:r>
      <w:r w:rsidR="00AC59E1">
        <w:rPr>
          <w:rFonts w:ascii="Times New Roman" w:eastAsia="Times New Roman" w:hAnsi="Times New Roman"/>
        </w:rPr>
        <w:t xml:space="preserve"> and in 368 of those instances the individual consented to the search</w:t>
      </w:r>
      <w:r w:rsidR="00B44E55">
        <w:rPr>
          <w:rFonts w:ascii="Times New Roman" w:eastAsia="Times New Roman" w:hAnsi="Times New Roman"/>
        </w:rPr>
        <w:t xml:space="preserve">. </w:t>
      </w:r>
      <w:r w:rsidR="00D027F0">
        <w:rPr>
          <w:rFonts w:ascii="Times New Roman" w:eastAsia="Times New Roman" w:hAnsi="Times New Roman"/>
        </w:rPr>
        <w:t xml:space="preserve">86.87% of </w:t>
      </w:r>
      <w:r w:rsidR="00FE3C98">
        <w:rPr>
          <w:rFonts w:ascii="Times New Roman" w:eastAsia="Times New Roman" w:hAnsi="Times New Roman"/>
        </w:rPr>
        <w:t xml:space="preserve">people from whom </w:t>
      </w:r>
      <w:r w:rsidR="00D027F0">
        <w:rPr>
          <w:rFonts w:ascii="Times New Roman" w:eastAsia="Times New Roman" w:hAnsi="Times New Roman"/>
        </w:rPr>
        <w:t xml:space="preserve">officers requested </w:t>
      </w:r>
      <w:r w:rsidR="00FE3C98">
        <w:rPr>
          <w:rFonts w:ascii="Times New Roman" w:eastAsia="Times New Roman" w:hAnsi="Times New Roman"/>
        </w:rPr>
        <w:t xml:space="preserve">consent </w:t>
      </w:r>
      <w:r w:rsidR="00D027F0">
        <w:rPr>
          <w:rFonts w:ascii="Times New Roman" w:eastAsia="Times New Roman" w:hAnsi="Times New Roman"/>
        </w:rPr>
        <w:t>to search were Black or Latino, nearly 90% were male, and 55% were between the ages of 10-29.</w:t>
      </w:r>
      <w:r w:rsidR="00D027F0">
        <w:rPr>
          <w:rStyle w:val="FootnoteReference"/>
          <w:rFonts w:ascii="Times New Roman" w:eastAsia="Times New Roman" w:hAnsi="Times New Roman"/>
        </w:rPr>
        <w:footnoteReference w:id="18"/>
      </w:r>
      <w:r w:rsidR="00D027F0">
        <w:rPr>
          <w:rFonts w:ascii="Times New Roman" w:eastAsia="Times New Roman" w:hAnsi="Times New Roman"/>
        </w:rPr>
        <w:t xml:space="preserve"> </w:t>
      </w:r>
    </w:p>
    <w:p w14:paraId="4154BBE7" w14:textId="77777777" w:rsidR="00DD41E1" w:rsidRDefault="00DD41E1" w:rsidP="00DD41E1">
      <w:pPr>
        <w:spacing w:line="480" w:lineRule="auto"/>
        <w:rPr>
          <w:rFonts w:ascii="Times New Roman" w:eastAsia="Times New Roman" w:hAnsi="Times New Roman"/>
          <w:b/>
          <w:u w:val="single"/>
        </w:rPr>
      </w:pPr>
    </w:p>
    <w:p w14:paraId="6AB97238" w14:textId="77777777" w:rsidR="00DD41E1" w:rsidRPr="00DD41E1" w:rsidRDefault="00152983" w:rsidP="00DD41E1">
      <w:pPr>
        <w:spacing w:line="480" w:lineRule="auto"/>
        <w:rPr>
          <w:rFonts w:ascii="Times New Roman" w:eastAsia="Times New Roman" w:hAnsi="Times New Roman"/>
          <w:b/>
          <w:u w:val="single"/>
        </w:rPr>
        <w:sectPr w:rsidR="00DD41E1" w:rsidRPr="00DD41E1" w:rsidSect="000B7FE0">
          <w:type w:val="continuous"/>
          <w:pgSz w:w="12240" w:h="15840"/>
          <w:pgMar w:top="1440" w:right="1440" w:bottom="1440" w:left="1440" w:header="720" w:footer="720" w:gutter="0"/>
          <w:cols w:space="720"/>
          <w:docGrid w:linePitch="360"/>
        </w:sectPr>
      </w:pPr>
      <w:r>
        <w:rPr>
          <w:rFonts w:ascii="Times New Roman" w:eastAsia="Times New Roman" w:hAnsi="Times New Roman"/>
          <w:b/>
          <w:u w:val="single"/>
        </w:rPr>
        <w:t xml:space="preserve">Officer </w:t>
      </w:r>
      <w:r w:rsidR="00DD41E1" w:rsidRPr="00DD41E1">
        <w:rPr>
          <w:rFonts w:ascii="Times New Roman" w:eastAsia="Times New Roman" w:hAnsi="Times New Roman"/>
          <w:b/>
          <w:u w:val="single"/>
        </w:rPr>
        <w:t>Requests to Search</w:t>
      </w:r>
      <w:r>
        <w:rPr>
          <w:rFonts w:ascii="Times New Roman" w:eastAsia="Times New Roman" w:hAnsi="Times New Roman"/>
          <w:b/>
          <w:u w:val="single"/>
        </w:rPr>
        <w:t>:</w:t>
      </w:r>
      <w:r w:rsidR="00DD41E1" w:rsidRPr="00DD41E1">
        <w:rPr>
          <w:rFonts w:ascii="Times New Roman" w:eastAsia="Times New Roman" w:hAnsi="Times New Roman"/>
          <w:b/>
          <w:u w:val="single"/>
        </w:rPr>
        <w:t xml:space="preserve"> October 19- December 31, 2019</w:t>
      </w:r>
    </w:p>
    <w:tbl>
      <w:tblPr>
        <w:tblStyle w:val="TableGrid"/>
        <w:tblW w:w="2965" w:type="dxa"/>
        <w:tblLayout w:type="fixed"/>
        <w:tblLook w:val="04A0" w:firstRow="1" w:lastRow="0" w:firstColumn="1" w:lastColumn="0" w:noHBand="0" w:noVBand="1"/>
      </w:tblPr>
      <w:tblGrid>
        <w:gridCol w:w="1345"/>
        <w:gridCol w:w="1620"/>
      </w:tblGrid>
      <w:tr w:rsidR="000B7FE0" w14:paraId="0695BC6B" w14:textId="77777777" w:rsidTr="00FE3C98">
        <w:tc>
          <w:tcPr>
            <w:tcW w:w="1345" w:type="dxa"/>
          </w:tcPr>
          <w:p w14:paraId="675FBE5C" w14:textId="77777777" w:rsidR="000B7FE0" w:rsidRPr="00FE3C98" w:rsidRDefault="000B7FE0" w:rsidP="00B44E55">
            <w:pPr>
              <w:spacing w:line="480" w:lineRule="auto"/>
              <w:rPr>
                <w:rFonts w:ascii="Times New Roman" w:eastAsia="Times New Roman" w:hAnsi="Times New Roman"/>
                <w:b/>
              </w:rPr>
            </w:pPr>
            <w:r w:rsidRPr="00FE3C98">
              <w:rPr>
                <w:rFonts w:ascii="Times New Roman" w:eastAsia="Times New Roman" w:hAnsi="Times New Roman"/>
                <w:b/>
              </w:rPr>
              <w:t>Race</w:t>
            </w:r>
          </w:p>
        </w:tc>
        <w:tc>
          <w:tcPr>
            <w:tcW w:w="1620" w:type="dxa"/>
          </w:tcPr>
          <w:p w14:paraId="5F16BE77" w14:textId="77777777" w:rsidR="000B7FE0" w:rsidRDefault="000B7FE0" w:rsidP="00B44E55">
            <w:pPr>
              <w:spacing w:line="480" w:lineRule="auto"/>
              <w:rPr>
                <w:rFonts w:ascii="Times New Roman" w:eastAsia="Times New Roman" w:hAnsi="Times New Roman"/>
              </w:rPr>
            </w:pPr>
          </w:p>
        </w:tc>
      </w:tr>
      <w:tr w:rsidR="000B7FE0" w14:paraId="459C88D3" w14:textId="77777777" w:rsidTr="00FE3C98">
        <w:tc>
          <w:tcPr>
            <w:tcW w:w="1345" w:type="dxa"/>
          </w:tcPr>
          <w:p w14:paraId="3969F88A" w14:textId="77777777" w:rsidR="000B7FE0" w:rsidRDefault="000B7FE0" w:rsidP="00FE3C98">
            <w:pPr>
              <w:rPr>
                <w:rFonts w:ascii="Times New Roman" w:eastAsia="Times New Roman" w:hAnsi="Times New Roman"/>
              </w:rPr>
            </w:pPr>
            <w:r>
              <w:rPr>
                <w:rFonts w:ascii="Times New Roman" w:eastAsia="Times New Roman" w:hAnsi="Times New Roman"/>
              </w:rPr>
              <w:t>American Indian/ Alaskan Native</w:t>
            </w:r>
          </w:p>
        </w:tc>
        <w:tc>
          <w:tcPr>
            <w:tcW w:w="1620" w:type="dxa"/>
          </w:tcPr>
          <w:p w14:paraId="31708B4B" w14:textId="77777777" w:rsidR="000B7FE0" w:rsidRDefault="000B7FE0" w:rsidP="00FE3C98">
            <w:pPr>
              <w:rPr>
                <w:rFonts w:ascii="Times New Roman" w:eastAsia="Times New Roman" w:hAnsi="Times New Roman"/>
              </w:rPr>
            </w:pPr>
            <w:r>
              <w:rPr>
                <w:rFonts w:ascii="Times New Roman" w:eastAsia="Times New Roman" w:hAnsi="Times New Roman"/>
              </w:rPr>
              <w:t>3 (0.72%)</w:t>
            </w:r>
          </w:p>
        </w:tc>
      </w:tr>
      <w:tr w:rsidR="000B7FE0" w14:paraId="7BDBE623" w14:textId="77777777" w:rsidTr="00FE3C98">
        <w:tc>
          <w:tcPr>
            <w:tcW w:w="1345" w:type="dxa"/>
          </w:tcPr>
          <w:p w14:paraId="2139D28F" w14:textId="77777777" w:rsidR="000B7FE0" w:rsidRDefault="000B7FE0" w:rsidP="00FE3C98">
            <w:pPr>
              <w:rPr>
                <w:rFonts w:ascii="Times New Roman" w:eastAsia="Times New Roman" w:hAnsi="Times New Roman"/>
              </w:rPr>
            </w:pPr>
            <w:r>
              <w:rPr>
                <w:rFonts w:ascii="Times New Roman" w:eastAsia="Times New Roman" w:hAnsi="Times New Roman"/>
              </w:rPr>
              <w:t>Asian/Pacific Islander</w:t>
            </w:r>
          </w:p>
        </w:tc>
        <w:tc>
          <w:tcPr>
            <w:tcW w:w="1620" w:type="dxa"/>
          </w:tcPr>
          <w:p w14:paraId="424F6B80" w14:textId="77777777" w:rsidR="000B7FE0" w:rsidRDefault="000B7FE0" w:rsidP="00FE3C98">
            <w:pPr>
              <w:rPr>
                <w:rFonts w:ascii="Times New Roman" w:eastAsia="Times New Roman" w:hAnsi="Times New Roman"/>
              </w:rPr>
            </w:pPr>
            <w:r>
              <w:rPr>
                <w:rFonts w:ascii="Times New Roman" w:eastAsia="Times New Roman" w:hAnsi="Times New Roman"/>
              </w:rPr>
              <w:t>11</w:t>
            </w:r>
            <w:r w:rsidR="0005789E">
              <w:rPr>
                <w:rFonts w:ascii="Times New Roman" w:eastAsia="Times New Roman" w:hAnsi="Times New Roman"/>
              </w:rPr>
              <w:t xml:space="preserve"> </w:t>
            </w:r>
            <w:r>
              <w:rPr>
                <w:rFonts w:ascii="Times New Roman" w:eastAsia="Times New Roman" w:hAnsi="Times New Roman"/>
              </w:rPr>
              <w:t>(2.63%)</w:t>
            </w:r>
          </w:p>
        </w:tc>
      </w:tr>
      <w:tr w:rsidR="000B7FE0" w14:paraId="1A2A74CD" w14:textId="77777777" w:rsidTr="00FE3C98">
        <w:tc>
          <w:tcPr>
            <w:tcW w:w="1345" w:type="dxa"/>
          </w:tcPr>
          <w:p w14:paraId="3E18C859" w14:textId="77777777" w:rsidR="000B7FE0" w:rsidRDefault="000B7FE0" w:rsidP="00FE3C98">
            <w:pPr>
              <w:rPr>
                <w:rFonts w:ascii="Times New Roman" w:eastAsia="Times New Roman" w:hAnsi="Times New Roman"/>
              </w:rPr>
            </w:pPr>
            <w:r>
              <w:rPr>
                <w:rFonts w:ascii="Times New Roman" w:eastAsia="Times New Roman" w:hAnsi="Times New Roman"/>
              </w:rPr>
              <w:t>Black</w:t>
            </w:r>
          </w:p>
        </w:tc>
        <w:tc>
          <w:tcPr>
            <w:tcW w:w="1620" w:type="dxa"/>
          </w:tcPr>
          <w:p w14:paraId="57CACD15" w14:textId="77777777" w:rsidR="000B7FE0" w:rsidRDefault="000B7FE0" w:rsidP="00FE3C98">
            <w:pPr>
              <w:rPr>
                <w:rFonts w:ascii="Times New Roman" w:eastAsia="Times New Roman" w:hAnsi="Times New Roman"/>
              </w:rPr>
            </w:pPr>
            <w:r>
              <w:rPr>
                <w:rFonts w:ascii="Times New Roman" w:eastAsia="Times New Roman" w:hAnsi="Times New Roman"/>
              </w:rPr>
              <w:t>240 (57.28%)</w:t>
            </w:r>
          </w:p>
        </w:tc>
      </w:tr>
      <w:tr w:rsidR="000B7FE0" w14:paraId="506BFC02" w14:textId="77777777" w:rsidTr="00FE3C98">
        <w:tc>
          <w:tcPr>
            <w:tcW w:w="1345" w:type="dxa"/>
          </w:tcPr>
          <w:p w14:paraId="69CF8B9A" w14:textId="77777777" w:rsidR="000B7FE0" w:rsidRDefault="000B7FE0" w:rsidP="00FE3C98">
            <w:pPr>
              <w:rPr>
                <w:rFonts w:ascii="Times New Roman" w:eastAsia="Times New Roman" w:hAnsi="Times New Roman"/>
              </w:rPr>
            </w:pPr>
            <w:r>
              <w:rPr>
                <w:rFonts w:ascii="Times New Roman" w:eastAsia="Times New Roman" w:hAnsi="Times New Roman"/>
              </w:rPr>
              <w:t>Hispanic</w:t>
            </w:r>
          </w:p>
        </w:tc>
        <w:tc>
          <w:tcPr>
            <w:tcW w:w="1620" w:type="dxa"/>
          </w:tcPr>
          <w:p w14:paraId="5A2B7673" w14:textId="77777777" w:rsidR="000B7FE0" w:rsidRDefault="000B7FE0" w:rsidP="00FE3C98">
            <w:pPr>
              <w:rPr>
                <w:rFonts w:ascii="Times New Roman" w:eastAsia="Times New Roman" w:hAnsi="Times New Roman"/>
              </w:rPr>
            </w:pPr>
            <w:r>
              <w:rPr>
                <w:rFonts w:ascii="Times New Roman" w:eastAsia="Times New Roman" w:hAnsi="Times New Roman"/>
              </w:rPr>
              <w:t>124 (29.59%)</w:t>
            </w:r>
          </w:p>
        </w:tc>
      </w:tr>
      <w:tr w:rsidR="000B7FE0" w14:paraId="63398465" w14:textId="77777777" w:rsidTr="00FE3C98">
        <w:tc>
          <w:tcPr>
            <w:tcW w:w="1345" w:type="dxa"/>
          </w:tcPr>
          <w:p w14:paraId="59AFB796" w14:textId="77777777" w:rsidR="000B7FE0" w:rsidRDefault="000B7FE0" w:rsidP="00FE3C98">
            <w:pPr>
              <w:rPr>
                <w:rFonts w:ascii="Times New Roman" w:eastAsia="Times New Roman" w:hAnsi="Times New Roman"/>
              </w:rPr>
            </w:pPr>
            <w:r>
              <w:rPr>
                <w:rFonts w:ascii="Times New Roman" w:eastAsia="Times New Roman" w:hAnsi="Times New Roman"/>
              </w:rPr>
              <w:t>White</w:t>
            </w:r>
          </w:p>
        </w:tc>
        <w:tc>
          <w:tcPr>
            <w:tcW w:w="1620" w:type="dxa"/>
          </w:tcPr>
          <w:p w14:paraId="4522CDAF" w14:textId="77777777" w:rsidR="000B7FE0" w:rsidRDefault="000B7FE0" w:rsidP="00FE3C98">
            <w:pPr>
              <w:rPr>
                <w:rFonts w:ascii="Times New Roman" w:eastAsia="Times New Roman" w:hAnsi="Times New Roman"/>
              </w:rPr>
            </w:pPr>
            <w:r>
              <w:rPr>
                <w:rFonts w:ascii="Times New Roman" w:eastAsia="Times New Roman" w:hAnsi="Times New Roman"/>
              </w:rPr>
              <w:t>39 (9.31%)</w:t>
            </w:r>
          </w:p>
        </w:tc>
      </w:tr>
      <w:tr w:rsidR="000B7FE0" w14:paraId="0E7843FA" w14:textId="77777777" w:rsidTr="00FE3C98">
        <w:tc>
          <w:tcPr>
            <w:tcW w:w="1345" w:type="dxa"/>
          </w:tcPr>
          <w:p w14:paraId="3098FE05" w14:textId="77777777" w:rsidR="000B7FE0" w:rsidRDefault="000B7FE0" w:rsidP="00FE3C98">
            <w:pPr>
              <w:rPr>
                <w:rFonts w:ascii="Times New Roman" w:eastAsia="Times New Roman" w:hAnsi="Times New Roman"/>
              </w:rPr>
            </w:pPr>
            <w:r>
              <w:rPr>
                <w:rFonts w:ascii="Times New Roman" w:eastAsia="Times New Roman" w:hAnsi="Times New Roman"/>
              </w:rPr>
              <w:t>Unknown</w:t>
            </w:r>
          </w:p>
        </w:tc>
        <w:tc>
          <w:tcPr>
            <w:tcW w:w="1620" w:type="dxa"/>
          </w:tcPr>
          <w:p w14:paraId="7855CBCC" w14:textId="77777777" w:rsidR="000B7FE0" w:rsidRDefault="000B7FE0" w:rsidP="00FE3C98">
            <w:pPr>
              <w:rPr>
                <w:rFonts w:ascii="Times New Roman" w:eastAsia="Times New Roman" w:hAnsi="Times New Roman"/>
              </w:rPr>
            </w:pPr>
            <w:r>
              <w:rPr>
                <w:rFonts w:ascii="Times New Roman" w:eastAsia="Times New Roman" w:hAnsi="Times New Roman"/>
              </w:rPr>
              <w:t>2 (.48%)</w:t>
            </w:r>
          </w:p>
        </w:tc>
      </w:tr>
      <w:tr w:rsidR="00D96C38" w14:paraId="0633F7F7" w14:textId="77777777" w:rsidTr="00FE3C98">
        <w:tc>
          <w:tcPr>
            <w:tcW w:w="1345" w:type="dxa"/>
          </w:tcPr>
          <w:p w14:paraId="36D492D5" w14:textId="77777777" w:rsidR="00D96C38" w:rsidRDefault="00B33C30" w:rsidP="00FE3C98">
            <w:pPr>
              <w:rPr>
                <w:rFonts w:ascii="Times New Roman" w:eastAsia="Times New Roman" w:hAnsi="Times New Roman"/>
              </w:rPr>
            </w:pPr>
            <w:r>
              <w:rPr>
                <w:rFonts w:ascii="Times New Roman" w:eastAsia="Times New Roman" w:hAnsi="Times New Roman"/>
                <w:b/>
              </w:rPr>
              <w:t>Total</w:t>
            </w:r>
          </w:p>
        </w:tc>
        <w:tc>
          <w:tcPr>
            <w:tcW w:w="1620" w:type="dxa"/>
          </w:tcPr>
          <w:p w14:paraId="1411B406" w14:textId="77777777" w:rsidR="00D96C38" w:rsidRPr="00D96C38" w:rsidRDefault="00D96C38" w:rsidP="00D96C38">
            <w:pPr>
              <w:rPr>
                <w:rFonts w:ascii="Times New Roman" w:eastAsia="Times New Roman" w:hAnsi="Times New Roman"/>
                <w:b/>
              </w:rPr>
            </w:pPr>
            <w:r w:rsidRPr="00D96C38">
              <w:rPr>
                <w:rFonts w:ascii="Times New Roman" w:eastAsia="Times New Roman" w:hAnsi="Times New Roman"/>
                <w:b/>
              </w:rPr>
              <w:t>419</w:t>
            </w:r>
          </w:p>
        </w:tc>
      </w:tr>
    </w:tbl>
    <w:p w14:paraId="12BC7189" w14:textId="77777777" w:rsidR="00D96C38" w:rsidRDefault="00D96C38" w:rsidP="00B33C30">
      <w:pPr>
        <w:spacing w:after="480" w:line="480" w:lineRule="auto"/>
        <w:rPr>
          <w:rFonts w:ascii="Times New Roman" w:eastAsia="Times New Roman" w:hAnsi="Times New Roman"/>
        </w:rPr>
      </w:pPr>
    </w:p>
    <w:tbl>
      <w:tblPr>
        <w:tblStyle w:val="TableGrid"/>
        <w:tblW w:w="2610" w:type="dxa"/>
        <w:tblInd w:w="175" w:type="dxa"/>
        <w:tblLook w:val="04A0" w:firstRow="1" w:lastRow="0" w:firstColumn="1" w:lastColumn="0" w:noHBand="0" w:noVBand="1"/>
      </w:tblPr>
      <w:tblGrid>
        <w:gridCol w:w="990"/>
        <w:gridCol w:w="1620"/>
      </w:tblGrid>
      <w:tr w:rsidR="000B7FE0" w14:paraId="6D150CCF" w14:textId="77777777" w:rsidTr="00D96C38">
        <w:tc>
          <w:tcPr>
            <w:tcW w:w="990" w:type="dxa"/>
          </w:tcPr>
          <w:p w14:paraId="625C4E17" w14:textId="77777777" w:rsidR="000B7FE0" w:rsidRPr="00D96C38" w:rsidRDefault="000B7FE0" w:rsidP="00D96C38">
            <w:pPr>
              <w:rPr>
                <w:rFonts w:ascii="Times New Roman" w:eastAsia="Times New Roman" w:hAnsi="Times New Roman"/>
                <w:b/>
              </w:rPr>
            </w:pPr>
            <w:r w:rsidRPr="00D96C38">
              <w:rPr>
                <w:rFonts w:ascii="Times New Roman" w:eastAsia="Times New Roman" w:hAnsi="Times New Roman"/>
                <w:b/>
              </w:rPr>
              <w:t>Age</w:t>
            </w:r>
          </w:p>
        </w:tc>
        <w:tc>
          <w:tcPr>
            <w:tcW w:w="1620" w:type="dxa"/>
          </w:tcPr>
          <w:p w14:paraId="0A2CA07A" w14:textId="77777777" w:rsidR="000B7FE0" w:rsidRDefault="000B7FE0" w:rsidP="00D96C38">
            <w:pPr>
              <w:rPr>
                <w:rFonts w:ascii="Times New Roman" w:eastAsia="Times New Roman" w:hAnsi="Times New Roman"/>
              </w:rPr>
            </w:pPr>
          </w:p>
        </w:tc>
      </w:tr>
      <w:tr w:rsidR="000B7FE0" w14:paraId="5AD93DC5" w14:textId="77777777" w:rsidTr="00D96C38">
        <w:tc>
          <w:tcPr>
            <w:tcW w:w="990" w:type="dxa"/>
          </w:tcPr>
          <w:p w14:paraId="5B994CA5" w14:textId="77777777" w:rsidR="000B7FE0" w:rsidRDefault="0005789E" w:rsidP="00D96C38">
            <w:pPr>
              <w:rPr>
                <w:rFonts w:ascii="Times New Roman" w:eastAsia="Times New Roman" w:hAnsi="Times New Roman"/>
              </w:rPr>
            </w:pPr>
            <w:r>
              <w:rPr>
                <w:rFonts w:ascii="Times New Roman" w:eastAsia="Times New Roman" w:hAnsi="Times New Roman"/>
              </w:rPr>
              <w:t>10-19</w:t>
            </w:r>
          </w:p>
        </w:tc>
        <w:tc>
          <w:tcPr>
            <w:tcW w:w="1620" w:type="dxa"/>
          </w:tcPr>
          <w:p w14:paraId="231E4211" w14:textId="77777777" w:rsidR="000B7FE0" w:rsidRDefault="0005789E" w:rsidP="00D96C38">
            <w:pPr>
              <w:rPr>
                <w:rFonts w:ascii="Times New Roman" w:eastAsia="Times New Roman" w:hAnsi="Times New Roman"/>
              </w:rPr>
            </w:pPr>
            <w:r>
              <w:rPr>
                <w:rFonts w:ascii="Times New Roman" w:eastAsia="Times New Roman" w:hAnsi="Times New Roman"/>
              </w:rPr>
              <w:t>90 (21.48%)</w:t>
            </w:r>
          </w:p>
        </w:tc>
      </w:tr>
      <w:tr w:rsidR="000B7FE0" w14:paraId="5F800F03" w14:textId="77777777" w:rsidTr="00D96C38">
        <w:tc>
          <w:tcPr>
            <w:tcW w:w="990" w:type="dxa"/>
          </w:tcPr>
          <w:p w14:paraId="5B23A63A" w14:textId="77777777" w:rsidR="000B7FE0" w:rsidRDefault="0005789E" w:rsidP="00D96C38">
            <w:pPr>
              <w:rPr>
                <w:rFonts w:ascii="Times New Roman" w:eastAsia="Times New Roman" w:hAnsi="Times New Roman"/>
              </w:rPr>
            </w:pPr>
            <w:r>
              <w:rPr>
                <w:rFonts w:ascii="Times New Roman" w:eastAsia="Times New Roman" w:hAnsi="Times New Roman"/>
              </w:rPr>
              <w:t>20-29</w:t>
            </w:r>
          </w:p>
        </w:tc>
        <w:tc>
          <w:tcPr>
            <w:tcW w:w="1620" w:type="dxa"/>
          </w:tcPr>
          <w:p w14:paraId="01ACDBFC" w14:textId="77777777" w:rsidR="000B7FE0" w:rsidRDefault="0005789E" w:rsidP="00D96C38">
            <w:pPr>
              <w:rPr>
                <w:rFonts w:ascii="Times New Roman" w:eastAsia="Times New Roman" w:hAnsi="Times New Roman"/>
              </w:rPr>
            </w:pPr>
            <w:r>
              <w:rPr>
                <w:rFonts w:ascii="Times New Roman" w:eastAsia="Times New Roman" w:hAnsi="Times New Roman"/>
              </w:rPr>
              <w:t>140 (33.41%)</w:t>
            </w:r>
          </w:p>
        </w:tc>
      </w:tr>
      <w:tr w:rsidR="000B7FE0" w14:paraId="068C1A5A" w14:textId="77777777" w:rsidTr="00D96C38">
        <w:tc>
          <w:tcPr>
            <w:tcW w:w="990" w:type="dxa"/>
          </w:tcPr>
          <w:p w14:paraId="4ECCD656" w14:textId="77777777" w:rsidR="000B7FE0" w:rsidRDefault="0005789E" w:rsidP="00D96C38">
            <w:pPr>
              <w:rPr>
                <w:rFonts w:ascii="Times New Roman" w:eastAsia="Times New Roman" w:hAnsi="Times New Roman"/>
              </w:rPr>
            </w:pPr>
            <w:r>
              <w:rPr>
                <w:rFonts w:ascii="Times New Roman" w:eastAsia="Times New Roman" w:hAnsi="Times New Roman"/>
              </w:rPr>
              <w:t>30-39</w:t>
            </w:r>
          </w:p>
        </w:tc>
        <w:tc>
          <w:tcPr>
            <w:tcW w:w="1620" w:type="dxa"/>
          </w:tcPr>
          <w:p w14:paraId="23476F78" w14:textId="77777777" w:rsidR="000B7FE0" w:rsidRDefault="0005789E" w:rsidP="00D96C38">
            <w:pPr>
              <w:rPr>
                <w:rFonts w:ascii="Times New Roman" w:eastAsia="Times New Roman" w:hAnsi="Times New Roman"/>
              </w:rPr>
            </w:pPr>
            <w:r>
              <w:rPr>
                <w:rFonts w:ascii="Times New Roman" w:eastAsia="Times New Roman" w:hAnsi="Times New Roman"/>
              </w:rPr>
              <w:t>64 (15.27%)</w:t>
            </w:r>
          </w:p>
        </w:tc>
      </w:tr>
      <w:tr w:rsidR="000B7FE0" w14:paraId="11F2D7A7" w14:textId="77777777" w:rsidTr="00D96C38">
        <w:tc>
          <w:tcPr>
            <w:tcW w:w="990" w:type="dxa"/>
          </w:tcPr>
          <w:p w14:paraId="47DB944F" w14:textId="77777777" w:rsidR="000B7FE0" w:rsidRDefault="0005789E" w:rsidP="00D96C38">
            <w:pPr>
              <w:rPr>
                <w:rFonts w:ascii="Times New Roman" w:eastAsia="Times New Roman" w:hAnsi="Times New Roman"/>
              </w:rPr>
            </w:pPr>
            <w:r>
              <w:rPr>
                <w:rFonts w:ascii="Times New Roman" w:eastAsia="Times New Roman" w:hAnsi="Times New Roman"/>
              </w:rPr>
              <w:t>40-49</w:t>
            </w:r>
          </w:p>
        </w:tc>
        <w:tc>
          <w:tcPr>
            <w:tcW w:w="1620" w:type="dxa"/>
          </w:tcPr>
          <w:p w14:paraId="4DD57B95" w14:textId="77777777" w:rsidR="000B7FE0" w:rsidRDefault="0005789E" w:rsidP="00D96C38">
            <w:pPr>
              <w:rPr>
                <w:rFonts w:ascii="Times New Roman" w:eastAsia="Times New Roman" w:hAnsi="Times New Roman"/>
              </w:rPr>
            </w:pPr>
            <w:r>
              <w:rPr>
                <w:rFonts w:ascii="Times New Roman" w:eastAsia="Times New Roman" w:hAnsi="Times New Roman"/>
              </w:rPr>
              <w:t>59 (14.08%)</w:t>
            </w:r>
          </w:p>
        </w:tc>
      </w:tr>
      <w:tr w:rsidR="000B7FE0" w14:paraId="42CB0E0C" w14:textId="77777777" w:rsidTr="00D96C38">
        <w:tc>
          <w:tcPr>
            <w:tcW w:w="990" w:type="dxa"/>
          </w:tcPr>
          <w:p w14:paraId="2C47D0F3" w14:textId="77777777" w:rsidR="000B7FE0" w:rsidRDefault="0005789E" w:rsidP="00D96C38">
            <w:pPr>
              <w:rPr>
                <w:rFonts w:ascii="Times New Roman" w:eastAsia="Times New Roman" w:hAnsi="Times New Roman"/>
              </w:rPr>
            </w:pPr>
            <w:r>
              <w:rPr>
                <w:rFonts w:ascii="Times New Roman" w:eastAsia="Times New Roman" w:hAnsi="Times New Roman"/>
              </w:rPr>
              <w:t>50-59</w:t>
            </w:r>
          </w:p>
        </w:tc>
        <w:tc>
          <w:tcPr>
            <w:tcW w:w="1620" w:type="dxa"/>
          </w:tcPr>
          <w:p w14:paraId="5A27C55B" w14:textId="77777777" w:rsidR="000B7FE0" w:rsidRDefault="0005789E" w:rsidP="00D96C38">
            <w:pPr>
              <w:rPr>
                <w:rFonts w:ascii="Times New Roman" w:eastAsia="Times New Roman" w:hAnsi="Times New Roman"/>
              </w:rPr>
            </w:pPr>
            <w:r>
              <w:rPr>
                <w:rFonts w:ascii="Times New Roman" w:eastAsia="Times New Roman" w:hAnsi="Times New Roman"/>
              </w:rPr>
              <w:t>25 (5.97%)</w:t>
            </w:r>
          </w:p>
        </w:tc>
      </w:tr>
      <w:tr w:rsidR="000B7FE0" w14:paraId="0A2AD181" w14:textId="77777777" w:rsidTr="00D96C38">
        <w:tc>
          <w:tcPr>
            <w:tcW w:w="990" w:type="dxa"/>
          </w:tcPr>
          <w:p w14:paraId="02E6C1F9" w14:textId="77777777" w:rsidR="000B7FE0" w:rsidRDefault="0005789E" w:rsidP="00D96C38">
            <w:pPr>
              <w:rPr>
                <w:rFonts w:ascii="Times New Roman" w:eastAsia="Times New Roman" w:hAnsi="Times New Roman"/>
              </w:rPr>
            </w:pPr>
            <w:r>
              <w:rPr>
                <w:rFonts w:ascii="Times New Roman" w:eastAsia="Times New Roman" w:hAnsi="Times New Roman"/>
              </w:rPr>
              <w:t>60-69</w:t>
            </w:r>
          </w:p>
        </w:tc>
        <w:tc>
          <w:tcPr>
            <w:tcW w:w="1620" w:type="dxa"/>
          </w:tcPr>
          <w:p w14:paraId="69AC183D" w14:textId="77777777" w:rsidR="000B7FE0" w:rsidRDefault="0005789E" w:rsidP="00D96C38">
            <w:pPr>
              <w:rPr>
                <w:rFonts w:ascii="Times New Roman" w:eastAsia="Times New Roman" w:hAnsi="Times New Roman"/>
              </w:rPr>
            </w:pPr>
            <w:r>
              <w:rPr>
                <w:rFonts w:ascii="Times New Roman" w:eastAsia="Times New Roman" w:hAnsi="Times New Roman"/>
              </w:rPr>
              <w:t>13 (3.10%)</w:t>
            </w:r>
          </w:p>
        </w:tc>
      </w:tr>
      <w:tr w:rsidR="000B7FE0" w14:paraId="620AC072" w14:textId="77777777" w:rsidTr="00D96C38">
        <w:tc>
          <w:tcPr>
            <w:tcW w:w="990" w:type="dxa"/>
          </w:tcPr>
          <w:p w14:paraId="27B3F737" w14:textId="77777777" w:rsidR="000B7FE0" w:rsidRDefault="0005789E" w:rsidP="00D96C38">
            <w:pPr>
              <w:rPr>
                <w:rFonts w:ascii="Times New Roman" w:eastAsia="Times New Roman" w:hAnsi="Times New Roman"/>
              </w:rPr>
            </w:pPr>
            <w:r>
              <w:rPr>
                <w:rFonts w:ascii="Times New Roman" w:eastAsia="Times New Roman" w:hAnsi="Times New Roman"/>
              </w:rPr>
              <w:t>Unk.</w:t>
            </w:r>
          </w:p>
        </w:tc>
        <w:tc>
          <w:tcPr>
            <w:tcW w:w="1620" w:type="dxa"/>
          </w:tcPr>
          <w:p w14:paraId="3E1FB90B" w14:textId="77777777" w:rsidR="000B7FE0" w:rsidRDefault="0005789E" w:rsidP="00D96C38">
            <w:pPr>
              <w:rPr>
                <w:rFonts w:ascii="Times New Roman" w:eastAsia="Times New Roman" w:hAnsi="Times New Roman"/>
              </w:rPr>
            </w:pPr>
            <w:r>
              <w:rPr>
                <w:rFonts w:ascii="Times New Roman" w:eastAsia="Times New Roman" w:hAnsi="Times New Roman"/>
              </w:rPr>
              <w:t>28 (6.68%)</w:t>
            </w:r>
          </w:p>
        </w:tc>
      </w:tr>
      <w:tr w:rsidR="00D96C38" w14:paraId="31408336" w14:textId="77777777" w:rsidTr="00D96C38">
        <w:tc>
          <w:tcPr>
            <w:tcW w:w="990" w:type="dxa"/>
          </w:tcPr>
          <w:p w14:paraId="5185D35E" w14:textId="77777777" w:rsidR="00D96C38" w:rsidRPr="00D96C38" w:rsidRDefault="00D96C38" w:rsidP="00D96C38">
            <w:pPr>
              <w:rPr>
                <w:rFonts w:ascii="Times New Roman" w:eastAsia="Times New Roman" w:hAnsi="Times New Roman"/>
                <w:b/>
              </w:rPr>
            </w:pPr>
            <w:r w:rsidRPr="00D96C38">
              <w:rPr>
                <w:rFonts w:ascii="Times New Roman" w:eastAsia="Times New Roman" w:hAnsi="Times New Roman"/>
                <w:b/>
              </w:rPr>
              <w:t>Total</w:t>
            </w:r>
          </w:p>
        </w:tc>
        <w:tc>
          <w:tcPr>
            <w:tcW w:w="1620" w:type="dxa"/>
          </w:tcPr>
          <w:p w14:paraId="160AA3F4" w14:textId="77777777" w:rsidR="00D96C38" w:rsidRPr="00D96C38" w:rsidRDefault="00D96C38" w:rsidP="00D96C38">
            <w:pPr>
              <w:rPr>
                <w:rFonts w:ascii="Times New Roman" w:eastAsia="Times New Roman" w:hAnsi="Times New Roman"/>
                <w:b/>
              </w:rPr>
            </w:pPr>
            <w:r w:rsidRPr="00D96C38">
              <w:rPr>
                <w:rFonts w:ascii="Times New Roman" w:eastAsia="Times New Roman" w:hAnsi="Times New Roman"/>
                <w:b/>
              </w:rPr>
              <w:t>419</w:t>
            </w:r>
          </w:p>
        </w:tc>
      </w:tr>
    </w:tbl>
    <w:p w14:paraId="12F6719B" w14:textId="77777777" w:rsidR="00D96C38" w:rsidRDefault="00D96C38" w:rsidP="00B33C30">
      <w:pPr>
        <w:spacing w:after="480" w:line="480" w:lineRule="auto"/>
        <w:rPr>
          <w:rFonts w:ascii="Times New Roman" w:eastAsia="Times New Roman" w:hAnsi="Times New Roman"/>
        </w:rPr>
      </w:pPr>
    </w:p>
    <w:p w14:paraId="137109A0" w14:textId="77777777" w:rsidR="00793582" w:rsidRDefault="00793582" w:rsidP="00D96C38">
      <w:pPr>
        <w:spacing w:line="480" w:lineRule="auto"/>
        <w:rPr>
          <w:rFonts w:ascii="Times New Roman" w:eastAsia="Times New Roman" w:hAnsi="Times New Roman"/>
        </w:rPr>
      </w:pPr>
    </w:p>
    <w:tbl>
      <w:tblPr>
        <w:tblStyle w:val="TableGrid"/>
        <w:tblW w:w="0" w:type="auto"/>
        <w:tblLook w:val="04A0" w:firstRow="1" w:lastRow="0" w:firstColumn="1" w:lastColumn="0" w:noHBand="0" w:noVBand="1"/>
      </w:tblPr>
      <w:tblGrid>
        <w:gridCol w:w="1163"/>
        <w:gridCol w:w="1352"/>
      </w:tblGrid>
      <w:tr w:rsidR="000B7FE0" w14:paraId="280031C0" w14:textId="77777777" w:rsidTr="00D96C38">
        <w:tc>
          <w:tcPr>
            <w:tcW w:w="1163" w:type="dxa"/>
          </w:tcPr>
          <w:p w14:paraId="728AE915" w14:textId="77777777" w:rsidR="000B7FE0" w:rsidRPr="00D96C38" w:rsidRDefault="0005789E" w:rsidP="00D96C38">
            <w:pPr>
              <w:rPr>
                <w:rFonts w:ascii="Times New Roman" w:eastAsia="Times New Roman" w:hAnsi="Times New Roman"/>
                <w:b/>
              </w:rPr>
            </w:pPr>
            <w:r w:rsidRPr="00D96C38">
              <w:rPr>
                <w:rFonts w:ascii="Times New Roman" w:eastAsia="Times New Roman" w:hAnsi="Times New Roman"/>
                <w:b/>
              </w:rPr>
              <w:t>Gender</w:t>
            </w:r>
          </w:p>
        </w:tc>
        <w:tc>
          <w:tcPr>
            <w:tcW w:w="1352" w:type="dxa"/>
          </w:tcPr>
          <w:p w14:paraId="561CC00A" w14:textId="77777777" w:rsidR="000B7FE0" w:rsidRDefault="000B7FE0" w:rsidP="00D96C38">
            <w:pPr>
              <w:rPr>
                <w:rFonts w:ascii="Times New Roman" w:eastAsia="Times New Roman" w:hAnsi="Times New Roman"/>
              </w:rPr>
            </w:pPr>
          </w:p>
        </w:tc>
      </w:tr>
      <w:tr w:rsidR="000B7FE0" w14:paraId="0964C4AA" w14:textId="77777777" w:rsidTr="00D96C38">
        <w:tc>
          <w:tcPr>
            <w:tcW w:w="1163" w:type="dxa"/>
          </w:tcPr>
          <w:p w14:paraId="2A815EBB" w14:textId="77777777" w:rsidR="000B7FE0" w:rsidRDefault="00793582" w:rsidP="00D96C38">
            <w:pPr>
              <w:rPr>
                <w:rFonts w:ascii="Times New Roman" w:eastAsia="Times New Roman" w:hAnsi="Times New Roman"/>
              </w:rPr>
            </w:pPr>
            <w:r>
              <w:rPr>
                <w:rFonts w:ascii="Times New Roman" w:eastAsia="Times New Roman" w:hAnsi="Times New Roman"/>
              </w:rPr>
              <w:t>Female</w:t>
            </w:r>
          </w:p>
        </w:tc>
        <w:tc>
          <w:tcPr>
            <w:tcW w:w="1352" w:type="dxa"/>
          </w:tcPr>
          <w:p w14:paraId="401BE674" w14:textId="77777777" w:rsidR="000B7FE0" w:rsidRDefault="00793582" w:rsidP="00D96C38">
            <w:pPr>
              <w:rPr>
                <w:rFonts w:ascii="Times New Roman" w:eastAsia="Times New Roman" w:hAnsi="Times New Roman"/>
              </w:rPr>
            </w:pPr>
            <w:r>
              <w:rPr>
                <w:rFonts w:ascii="Times New Roman" w:eastAsia="Times New Roman" w:hAnsi="Times New Roman"/>
              </w:rPr>
              <w:t>41 (9.79%)</w:t>
            </w:r>
          </w:p>
        </w:tc>
      </w:tr>
      <w:tr w:rsidR="000B7FE0" w14:paraId="472B3629" w14:textId="77777777" w:rsidTr="00D96C38">
        <w:tc>
          <w:tcPr>
            <w:tcW w:w="1163" w:type="dxa"/>
          </w:tcPr>
          <w:p w14:paraId="79D95D09" w14:textId="77777777" w:rsidR="000B7FE0" w:rsidRDefault="00793582" w:rsidP="00D96C38">
            <w:pPr>
              <w:rPr>
                <w:rFonts w:ascii="Times New Roman" w:eastAsia="Times New Roman" w:hAnsi="Times New Roman"/>
              </w:rPr>
            </w:pPr>
            <w:r>
              <w:rPr>
                <w:rFonts w:ascii="Times New Roman" w:eastAsia="Times New Roman" w:hAnsi="Times New Roman"/>
              </w:rPr>
              <w:t>Male</w:t>
            </w:r>
          </w:p>
          <w:p w14:paraId="22D313B7" w14:textId="77777777" w:rsidR="000B7FE0" w:rsidRDefault="000B7FE0" w:rsidP="00D96C38">
            <w:pPr>
              <w:rPr>
                <w:rFonts w:ascii="Times New Roman" w:eastAsia="Times New Roman" w:hAnsi="Times New Roman"/>
              </w:rPr>
            </w:pPr>
          </w:p>
        </w:tc>
        <w:tc>
          <w:tcPr>
            <w:tcW w:w="1352" w:type="dxa"/>
          </w:tcPr>
          <w:p w14:paraId="16A80742" w14:textId="77777777" w:rsidR="000B7FE0" w:rsidRDefault="00793582" w:rsidP="00D96C38">
            <w:pPr>
              <w:rPr>
                <w:rFonts w:ascii="Times New Roman" w:eastAsia="Times New Roman" w:hAnsi="Times New Roman"/>
              </w:rPr>
            </w:pPr>
            <w:r>
              <w:rPr>
                <w:rFonts w:ascii="Times New Roman" w:eastAsia="Times New Roman" w:hAnsi="Times New Roman"/>
              </w:rPr>
              <w:t>376 (89.74)</w:t>
            </w:r>
          </w:p>
        </w:tc>
      </w:tr>
      <w:tr w:rsidR="000B7FE0" w14:paraId="25F1ED32" w14:textId="77777777" w:rsidTr="00D96C38">
        <w:tc>
          <w:tcPr>
            <w:tcW w:w="1163" w:type="dxa"/>
          </w:tcPr>
          <w:p w14:paraId="5FC98BCC" w14:textId="77777777" w:rsidR="000B7FE0" w:rsidRDefault="0005789E" w:rsidP="00D96C38">
            <w:pPr>
              <w:rPr>
                <w:rFonts w:ascii="Times New Roman" w:eastAsia="Times New Roman" w:hAnsi="Times New Roman"/>
              </w:rPr>
            </w:pPr>
            <w:r>
              <w:rPr>
                <w:rFonts w:ascii="Times New Roman" w:eastAsia="Times New Roman" w:hAnsi="Times New Roman"/>
              </w:rPr>
              <w:t>Unknown</w:t>
            </w:r>
          </w:p>
        </w:tc>
        <w:tc>
          <w:tcPr>
            <w:tcW w:w="1352" w:type="dxa"/>
          </w:tcPr>
          <w:p w14:paraId="52050732" w14:textId="77777777" w:rsidR="000B7FE0" w:rsidRDefault="00793582" w:rsidP="00D96C38">
            <w:pPr>
              <w:rPr>
                <w:rFonts w:ascii="Times New Roman" w:eastAsia="Times New Roman" w:hAnsi="Times New Roman"/>
              </w:rPr>
            </w:pPr>
            <w:r>
              <w:rPr>
                <w:rFonts w:ascii="Times New Roman" w:eastAsia="Times New Roman" w:hAnsi="Times New Roman"/>
              </w:rPr>
              <w:t>2 (.48%)</w:t>
            </w:r>
          </w:p>
        </w:tc>
      </w:tr>
      <w:tr w:rsidR="000B7FE0" w14:paraId="739D0E31" w14:textId="77777777" w:rsidTr="00D96C38">
        <w:tc>
          <w:tcPr>
            <w:tcW w:w="1163" w:type="dxa"/>
          </w:tcPr>
          <w:p w14:paraId="4D255D72" w14:textId="77777777" w:rsidR="000B7FE0" w:rsidRPr="00D96C38" w:rsidRDefault="00D96C38" w:rsidP="00D96C38">
            <w:pPr>
              <w:rPr>
                <w:rFonts w:ascii="Times New Roman" w:eastAsia="Times New Roman" w:hAnsi="Times New Roman"/>
                <w:b/>
              </w:rPr>
            </w:pPr>
            <w:r w:rsidRPr="00D96C38">
              <w:rPr>
                <w:rFonts w:ascii="Times New Roman" w:eastAsia="Times New Roman" w:hAnsi="Times New Roman"/>
                <w:b/>
              </w:rPr>
              <w:t>Total</w:t>
            </w:r>
          </w:p>
        </w:tc>
        <w:tc>
          <w:tcPr>
            <w:tcW w:w="1352" w:type="dxa"/>
          </w:tcPr>
          <w:p w14:paraId="2D7EC6CA" w14:textId="77777777" w:rsidR="000B7FE0" w:rsidRPr="00D96C38" w:rsidRDefault="00D96C38" w:rsidP="00D96C38">
            <w:pPr>
              <w:rPr>
                <w:rFonts w:ascii="Times New Roman" w:eastAsia="Times New Roman" w:hAnsi="Times New Roman"/>
                <w:b/>
              </w:rPr>
            </w:pPr>
            <w:r w:rsidRPr="00D96C38">
              <w:rPr>
                <w:rFonts w:ascii="Times New Roman" w:eastAsia="Times New Roman" w:hAnsi="Times New Roman"/>
                <w:b/>
              </w:rPr>
              <w:t>419</w:t>
            </w:r>
          </w:p>
        </w:tc>
      </w:tr>
    </w:tbl>
    <w:p w14:paraId="6B3673B2" w14:textId="77777777" w:rsidR="00B33C30" w:rsidRDefault="00B33C30" w:rsidP="00D96C38">
      <w:pPr>
        <w:spacing w:line="480" w:lineRule="auto"/>
        <w:rPr>
          <w:rFonts w:ascii="Times New Roman" w:eastAsia="Times New Roman" w:hAnsi="Times New Roman"/>
        </w:rPr>
      </w:pPr>
    </w:p>
    <w:p w14:paraId="23016449" w14:textId="77777777" w:rsidR="00D96C38" w:rsidRDefault="00D96C38" w:rsidP="00D96C38">
      <w:pPr>
        <w:spacing w:line="480" w:lineRule="auto"/>
        <w:rPr>
          <w:rFonts w:ascii="Times New Roman" w:eastAsia="Times New Roman" w:hAnsi="Times New Roman"/>
        </w:rPr>
      </w:pPr>
    </w:p>
    <w:p w14:paraId="0770F84C" w14:textId="77777777" w:rsidR="00D96C38" w:rsidRDefault="00D96C38" w:rsidP="00D96C38">
      <w:pPr>
        <w:spacing w:line="480" w:lineRule="auto"/>
        <w:rPr>
          <w:rFonts w:ascii="Times New Roman" w:eastAsia="Times New Roman" w:hAnsi="Times New Roman"/>
        </w:rPr>
      </w:pPr>
    </w:p>
    <w:p w14:paraId="4FF92EA7" w14:textId="163A4619" w:rsidR="000B7FE0" w:rsidRDefault="000B7FE0" w:rsidP="00D96C38">
      <w:pPr>
        <w:spacing w:line="480" w:lineRule="auto"/>
        <w:rPr>
          <w:rFonts w:ascii="Times New Roman" w:eastAsia="Times New Roman" w:hAnsi="Times New Roman"/>
        </w:rPr>
        <w:sectPr w:rsidR="000B7FE0" w:rsidSect="00FE3C98">
          <w:type w:val="continuous"/>
          <w:pgSz w:w="12240" w:h="15840"/>
          <w:pgMar w:top="1440" w:right="1440" w:bottom="1440" w:left="1440" w:header="720" w:footer="720" w:gutter="0"/>
          <w:cols w:num="3" w:space="720"/>
          <w:docGrid w:linePitch="360"/>
        </w:sectPr>
      </w:pPr>
    </w:p>
    <w:p w14:paraId="257F8C65" w14:textId="77777777" w:rsidR="00B44E55" w:rsidRPr="002E4E5D" w:rsidRDefault="00B44E55" w:rsidP="00D96C38">
      <w:pPr>
        <w:spacing w:line="480" w:lineRule="auto"/>
        <w:rPr>
          <w:rFonts w:ascii="Times New Roman" w:eastAsia="Times New Roman" w:hAnsi="Times New Roman"/>
        </w:rPr>
      </w:pPr>
    </w:p>
    <w:p w14:paraId="2939BC5C" w14:textId="77777777" w:rsidR="00B33C30" w:rsidRPr="00B33C30" w:rsidRDefault="00B33C30" w:rsidP="00324FDE">
      <w:pPr>
        <w:pStyle w:val="ListParagraph"/>
        <w:numPr>
          <w:ilvl w:val="0"/>
          <w:numId w:val="1"/>
        </w:numPr>
        <w:spacing w:after="200" w:line="276" w:lineRule="auto"/>
        <w:ind w:left="0"/>
        <w:rPr>
          <w:rFonts w:ascii="Times New Roman" w:eastAsia="Times New Roman" w:hAnsi="Times New Roman"/>
          <w:b/>
          <w:u w:val="single"/>
        </w:rPr>
      </w:pPr>
      <w:r>
        <w:rPr>
          <w:rFonts w:ascii="Times New Roman" w:eastAsia="Times New Roman" w:hAnsi="Times New Roman"/>
          <w:b/>
          <w:u w:val="single"/>
        </w:rPr>
        <w:t>ISSUES AND CONCERNS</w:t>
      </w:r>
    </w:p>
    <w:p w14:paraId="26FBDBB5" w14:textId="77777777" w:rsidR="00B33C30" w:rsidRPr="00B33C30" w:rsidRDefault="00B33C30" w:rsidP="00FA2A51">
      <w:pPr>
        <w:spacing w:after="200" w:line="480" w:lineRule="auto"/>
        <w:ind w:firstLine="720"/>
        <w:rPr>
          <w:rFonts w:ascii="Times New Roman" w:eastAsia="Times New Roman" w:hAnsi="Times New Roman"/>
        </w:rPr>
      </w:pPr>
      <w:r>
        <w:rPr>
          <w:rFonts w:ascii="Times New Roman" w:eastAsia="Times New Roman" w:hAnsi="Times New Roman"/>
        </w:rPr>
        <w:t>This hearing will address the implementation of the Right to Know</w:t>
      </w:r>
      <w:r w:rsidR="00642236">
        <w:rPr>
          <w:rFonts w:ascii="Times New Roman" w:eastAsia="Times New Roman" w:hAnsi="Times New Roman"/>
        </w:rPr>
        <w:t xml:space="preserve"> Ac</w:t>
      </w:r>
      <w:r w:rsidR="00222C09">
        <w:rPr>
          <w:rFonts w:ascii="Times New Roman" w:eastAsia="Times New Roman" w:hAnsi="Times New Roman"/>
        </w:rPr>
        <w:t xml:space="preserve">t, including the extent to which officers have received appropriate </w:t>
      </w:r>
      <w:r w:rsidR="00C42E4F">
        <w:rPr>
          <w:rFonts w:ascii="Times New Roman" w:eastAsia="Times New Roman" w:hAnsi="Times New Roman"/>
        </w:rPr>
        <w:t xml:space="preserve">training and </w:t>
      </w:r>
      <w:r w:rsidR="00222C09">
        <w:rPr>
          <w:rFonts w:ascii="Times New Roman" w:eastAsia="Times New Roman" w:hAnsi="Times New Roman"/>
        </w:rPr>
        <w:t>instruction and are following the requirements of the new law</w:t>
      </w:r>
      <w:r w:rsidR="00642236">
        <w:rPr>
          <w:rFonts w:ascii="Times New Roman" w:eastAsia="Times New Roman" w:hAnsi="Times New Roman"/>
        </w:rPr>
        <w:t xml:space="preserve">. </w:t>
      </w:r>
      <w:r w:rsidR="00222C09">
        <w:rPr>
          <w:rFonts w:ascii="Times New Roman" w:eastAsia="Times New Roman" w:hAnsi="Times New Roman"/>
        </w:rPr>
        <w:t>In addition, s</w:t>
      </w:r>
      <w:r w:rsidR="00642236">
        <w:rPr>
          <w:rFonts w:ascii="Times New Roman" w:eastAsia="Times New Roman" w:hAnsi="Times New Roman"/>
        </w:rPr>
        <w:t xml:space="preserve">ome of the key </w:t>
      </w:r>
      <w:r w:rsidR="00222C09">
        <w:rPr>
          <w:rFonts w:ascii="Times New Roman" w:eastAsia="Times New Roman" w:hAnsi="Times New Roman"/>
        </w:rPr>
        <w:t>topics</w:t>
      </w:r>
      <w:r w:rsidR="00642236">
        <w:rPr>
          <w:rFonts w:ascii="Times New Roman" w:eastAsia="Times New Roman" w:hAnsi="Times New Roman"/>
        </w:rPr>
        <w:t xml:space="preserve"> will include the effectiveness of these civilian encounters as law enforcement tools to stop violent crime, as well as the </w:t>
      </w:r>
      <w:r w:rsidR="00C42E4F">
        <w:rPr>
          <w:rFonts w:ascii="Times New Roman" w:eastAsia="Times New Roman" w:hAnsi="Times New Roman"/>
        </w:rPr>
        <w:t xml:space="preserve">continued </w:t>
      </w:r>
      <w:r w:rsidR="00FA2A51">
        <w:rPr>
          <w:rFonts w:ascii="Times New Roman" w:eastAsia="Times New Roman" w:hAnsi="Times New Roman"/>
        </w:rPr>
        <w:t xml:space="preserve">racially </w:t>
      </w:r>
      <w:r w:rsidR="00642236">
        <w:rPr>
          <w:rFonts w:ascii="Times New Roman" w:eastAsia="Times New Roman" w:hAnsi="Times New Roman"/>
        </w:rPr>
        <w:t>disproportionate use of these requests to search</w:t>
      </w:r>
      <w:r w:rsidR="00FA2A51">
        <w:rPr>
          <w:rFonts w:ascii="Times New Roman" w:eastAsia="Times New Roman" w:hAnsi="Times New Roman"/>
        </w:rPr>
        <w:t xml:space="preserve">. </w:t>
      </w:r>
      <w:r w:rsidR="00222C09">
        <w:rPr>
          <w:rFonts w:ascii="Times New Roman" w:eastAsia="Times New Roman" w:hAnsi="Times New Roman"/>
        </w:rPr>
        <w:t xml:space="preserve">The hearing will also address </w:t>
      </w:r>
      <w:r w:rsidR="00FA2A51">
        <w:rPr>
          <w:rFonts w:ascii="Times New Roman" w:eastAsia="Times New Roman" w:hAnsi="Times New Roman"/>
        </w:rPr>
        <w:t xml:space="preserve"> the </w:t>
      </w:r>
      <w:r w:rsidR="00222C09">
        <w:rPr>
          <w:rFonts w:ascii="Times New Roman" w:eastAsia="Times New Roman" w:hAnsi="Times New Roman"/>
        </w:rPr>
        <w:t xml:space="preserve">question of whether the </w:t>
      </w:r>
      <w:r w:rsidR="00FA2A51">
        <w:rPr>
          <w:rFonts w:ascii="Times New Roman" w:eastAsia="Times New Roman" w:hAnsi="Times New Roman"/>
        </w:rPr>
        <w:t xml:space="preserve">high percentage of individuals who consent to a voluntary search has implications for the means by which consent is obtained and whether the voluntary nature of the search is being effectively communicated. </w:t>
      </w:r>
    </w:p>
    <w:p w14:paraId="272870C4" w14:textId="77777777" w:rsidR="00712A47" w:rsidRDefault="00712A47" w:rsidP="00324FDE">
      <w:pPr>
        <w:pStyle w:val="ListParagraph"/>
        <w:numPr>
          <w:ilvl w:val="0"/>
          <w:numId w:val="1"/>
        </w:numPr>
        <w:spacing w:after="200" w:line="276" w:lineRule="auto"/>
        <w:ind w:left="0"/>
        <w:rPr>
          <w:rFonts w:ascii="Times New Roman" w:eastAsia="Times New Roman" w:hAnsi="Times New Roman"/>
          <w:b/>
          <w:u w:val="single"/>
        </w:rPr>
      </w:pPr>
      <w:r>
        <w:rPr>
          <w:rFonts w:ascii="Times New Roman" w:eastAsia="Times New Roman" w:hAnsi="Times New Roman"/>
          <w:b/>
          <w:u w:val="single"/>
        </w:rPr>
        <w:t xml:space="preserve">ANALYSIS OF INT. NO. 1522 </w:t>
      </w:r>
    </w:p>
    <w:p w14:paraId="557AEA04" w14:textId="5432B0E1" w:rsidR="00712A47" w:rsidRDefault="00ED3DE1" w:rsidP="00D96C38">
      <w:pPr>
        <w:spacing w:after="200" w:line="480" w:lineRule="auto"/>
        <w:ind w:firstLine="720"/>
        <w:rPr>
          <w:rFonts w:ascii="Times New Roman" w:hAnsi="Times New Roman" w:cs="Times New Roman"/>
        </w:rPr>
      </w:pPr>
      <w:r>
        <w:rPr>
          <w:rFonts w:ascii="Times New Roman" w:eastAsia="Times New Roman" w:hAnsi="Times New Roman"/>
        </w:rPr>
        <w:t>Section 1 of the bill would add a new title 14-a to the Administrative Code of the City of New York, entitled Civilian Complaint Review Board. The bill would add a new section 14-500</w:t>
      </w:r>
      <w:r w:rsidR="00E069DF">
        <w:rPr>
          <w:rFonts w:ascii="Times New Roman" w:eastAsia="Times New Roman" w:hAnsi="Times New Roman"/>
        </w:rPr>
        <w:t xml:space="preserve">1 </w:t>
      </w:r>
      <w:r>
        <w:rPr>
          <w:rFonts w:ascii="Times New Roman" w:eastAsia="Times New Roman" w:hAnsi="Times New Roman"/>
        </w:rPr>
        <w:t xml:space="preserve">entitled </w:t>
      </w:r>
      <w:r w:rsidR="00E069DF">
        <w:rPr>
          <w:rFonts w:ascii="Times New Roman" w:eastAsia="Times New Roman" w:hAnsi="Times New Roman"/>
        </w:rPr>
        <w:t>“required information on officer identification and consent searches</w:t>
      </w:r>
      <w:r w:rsidR="00AC59E1">
        <w:rPr>
          <w:rFonts w:ascii="Times New Roman" w:eastAsia="Times New Roman" w:hAnsi="Times New Roman"/>
        </w:rPr>
        <w:t>.</w:t>
      </w:r>
      <w:r w:rsidR="00E069DF">
        <w:rPr>
          <w:rFonts w:ascii="Times New Roman" w:eastAsia="Times New Roman" w:hAnsi="Times New Roman"/>
        </w:rPr>
        <w:t xml:space="preserve">” It would require the civilian complaint review board to report on the number of complaints alleging a violation of section 14-174 in total and </w:t>
      </w:r>
      <w:r w:rsidR="00E069DF" w:rsidRPr="001F7B8B">
        <w:rPr>
          <w:rFonts w:ascii="Times New Roman" w:eastAsia="Times New Roman" w:hAnsi="Times New Roman" w:cs="Times New Roman"/>
        </w:rPr>
        <w:t>disaggregated by</w:t>
      </w:r>
      <w:r w:rsidR="00E069DF" w:rsidRPr="00FE3C98">
        <w:rPr>
          <w:rFonts w:ascii="Times New Roman" w:eastAsia="Times New Roman" w:hAnsi="Times New Roman" w:cs="Times New Roman"/>
        </w:rPr>
        <w:t xml:space="preserve"> </w:t>
      </w:r>
      <w:r w:rsidR="00E069DF" w:rsidRPr="00D96C38">
        <w:rPr>
          <w:rFonts w:ascii="Times New Roman" w:hAnsi="Times New Roman" w:cs="Times New Roman"/>
        </w:rPr>
        <w:t>the number of such complaints that were decided on the merits, the number of such complaints that were substantiated, the number of such complaints that were exonerated, the number of such complaints that were unfounded, and the number of such complaints for which body camera footage recorded the interaction</w:t>
      </w:r>
      <w:r w:rsidR="00E069DF">
        <w:rPr>
          <w:rFonts w:ascii="Times New Roman" w:hAnsi="Times New Roman" w:cs="Times New Roman"/>
        </w:rPr>
        <w:t>. It would also require reporting on these complaints</w:t>
      </w:r>
      <w:r w:rsidR="00F42FA3">
        <w:rPr>
          <w:rFonts w:ascii="Times New Roman" w:hAnsi="Times New Roman" w:cs="Times New Roman"/>
        </w:rPr>
        <w:t>,</w:t>
      </w:r>
      <w:r w:rsidR="00E069DF">
        <w:rPr>
          <w:rFonts w:ascii="Times New Roman" w:hAnsi="Times New Roman" w:cs="Times New Roman"/>
        </w:rPr>
        <w:t xml:space="preserve"> disaggregated by the violation </w:t>
      </w:r>
      <w:r w:rsidR="00E069DF" w:rsidRPr="001F7B8B">
        <w:rPr>
          <w:rFonts w:ascii="Times New Roman" w:hAnsi="Times New Roman" w:cs="Times New Roman"/>
        </w:rPr>
        <w:t xml:space="preserve">type and further </w:t>
      </w:r>
      <w:r w:rsidR="00E069DF" w:rsidRPr="00E069DF">
        <w:rPr>
          <w:rFonts w:ascii="Times New Roman" w:hAnsi="Times New Roman" w:cs="Times New Roman"/>
        </w:rPr>
        <w:t xml:space="preserve">disaggregated by the above case outcomes, where violation type is defined as: </w:t>
      </w:r>
      <w:r w:rsidR="00E069DF" w:rsidRPr="00D96C38">
        <w:rPr>
          <w:rFonts w:ascii="Times New Roman" w:hAnsi="Times New Roman" w:cs="Times New Roman"/>
        </w:rPr>
        <w:t>an officer’s failure to identify himself or herself to the person who is a subject of law enforcement activity; a failure to provide an explanation for the law enforcement activity; a failure to provide a business card or an alternative to a pre-printed business card pursuant to paragraphs (4) and (5) of subdivision 14-174 (b) to the subject of a law enforcement activity or in the case of a minor, to the parent, legal guardian, or responsible adult who is present with the minor subject</w:t>
      </w:r>
      <w:r w:rsidR="00E069DF">
        <w:rPr>
          <w:rFonts w:ascii="Times New Roman" w:hAnsi="Times New Roman" w:cs="Times New Roman"/>
        </w:rPr>
        <w:t xml:space="preserve">. </w:t>
      </w:r>
    </w:p>
    <w:p w14:paraId="67707AFC" w14:textId="29A93138" w:rsidR="00E069DF" w:rsidRDefault="00F42FA3" w:rsidP="00D96C38">
      <w:pPr>
        <w:spacing w:after="200" w:line="480" w:lineRule="auto"/>
        <w:ind w:firstLine="720"/>
        <w:rPr>
          <w:rFonts w:ascii="Times New Roman" w:hAnsi="Times New Roman" w:cs="Times New Roman"/>
        </w:rPr>
      </w:pPr>
      <w:r>
        <w:rPr>
          <w:rFonts w:ascii="Times New Roman" w:hAnsi="Times New Roman" w:cs="Times New Roman"/>
        </w:rPr>
        <w:t>Additionally, t</w:t>
      </w:r>
      <w:r w:rsidR="00E069DF">
        <w:rPr>
          <w:rFonts w:ascii="Times New Roman" w:hAnsi="Times New Roman" w:cs="Times New Roman"/>
        </w:rPr>
        <w:t>he bill would require the civilian complaint review board to report on complaints alleging a violation of administrative code section 14-173, in total and disaggregated by case outcomes, as well as violation type, defined as</w:t>
      </w:r>
      <w:r w:rsidR="00E069DF" w:rsidRPr="001F7B8B">
        <w:rPr>
          <w:rFonts w:ascii="Times New Roman" w:hAnsi="Times New Roman" w:cs="Times New Roman"/>
        </w:rPr>
        <w:t xml:space="preserve"> </w:t>
      </w:r>
      <w:r w:rsidR="00E069DF" w:rsidRPr="00D96C38">
        <w:rPr>
          <w:rFonts w:ascii="Times New Roman" w:hAnsi="Times New Roman" w:cs="Times New Roman"/>
        </w:rPr>
        <w:t>a failure of the officer to articulate that the person who is the subject of the search is being asked to voluntarily, knowingly and intelligently consent to such search; a failure of the officer to explain that a search will not be conducted if the person refuses to consent, a failure of the officer to use appropriate language services in order to obtain knowing, voluntary and intelligent consent; the use of threats or promises in order to obtain consent to search; conducting a search without obtaining consent; conducting a search after consent was refused.</w:t>
      </w:r>
    </w:p>
    <w:p w14:paraId="612B0616" w14:textId="6CB82975" w:rsidR="00E069DF" w:rsidRPr="00D96C38" w:rsidRDefault="00E069DF" w:rsidP="00D96C38">
      <w:pPr>
        <w:spacing w:after="200" w:line="480" w:lineRule="auto"/>
        <w:ind w:firstLine="720"/>
        <w:rPr>
          <w:rFonts w:ascii="Times New Roman" w:eastAsia="Times New Roman" w:hAnsi="Times New Roman"/>
        </w:rPr>
      </w:pPr>
      <w:r>
        <w:rPr>
          <w:rFonts w:ascii="Times New Roman" w:hAnsi="Times New Roman" w:cs="Times New Roman"/>
        </w:rPr>
        <w:t xml:space="preserve">Section 2 of the bill </w:t>
      </w:r>
      <w:r w:rsidR="00F42FA3">
        <w:rPr>
          <w:rFonts w:ascii="Times New Roman" w:hAnsi="Times New Roman" w:cs="Times New Roman"/>
        </w:rPr>
        <w:t>mandates the bill will take</w:t>
      </w:r>
      <w:r>
        <w:rPr>
          <w:rFonts w:ascii="Times New Roman" w:hAnsi="Times New Roman" w:cs="Times New Roman"/>
        </w:rPr>
        <w:t xml:space="preserve"> effect immediately. </w:t>
      </w:r>
    </w:p>
    <w:p w14:paraId="4A957373" w14:textId="77777777" w:rsidR="00712A47" w:rsidRDefault="00712A47" w:rsidP="00324FDE">
      <w:pPr>
        <w:pStyle w:val="ListParagraph"/>
        <w:numPr>
          <w:ilvl w:val="0"/>
          <w:numId w:val="1"/>
        </w:numPr>
        <w:spacing w:after="200" w:line="276" w:lineRule="auto"/>
        <w:ind w:left="0"/>
        <w:rPr>
          <w:rFonts w:ascii="Times New Roman" w:eastAsia="Times New Roman" w:hAnsi="Times New Roman"/>
          <w:b/>
          <w:u w:val="single"/>
        </w:rPr>
      </w:pPr>
      <w:r>
        <w:rPr>
          <w:rFonts w:ascii="Times New Roman" w:eastAsia="Times New Roman" w:hAnsi="Times New Roman"/>
          <w:b/>
          <w:u w:val="single"/>
        </w:rPr>
        <w:t>ANALYSIS OF PRECONSIDERED T2019-4052</w:t>
      </w:r>
    </w:p>
    <w:p w14:paraId="627AED79" w14:textId="1D71FA5F" w:rsidR="00712A47" w:rsidRDefault="00E069DF" w:rsidP="00D96C38">
      <w:pPr>
        <w:spacing w:after="200" w:line="480" w:lineRule="auto"/>
        <w:ind w:firstLine="720"/>
        <w:rPr>
          <w:rFonts w:ascii="Times New Roman" w:eastAsia="Times New Roman" w:hAnsi="Times New Roman"/>
        </w:rPr>
      </w:pPr>
      <w:r>
        <w:rPr>
          <w:rFonts w:ascii="Times New Roman" w:eastAsia="Times New Roman" w:hAnsi="Times New Roman"/>
        </w:rPr>
        <w:t>Section 1 of th</w:t>
      </w:r>
      <w:r w:rsidR="00F42FA3">
        <w:rPr>
          <w:rFonts w:ascii="Times New Roman" w:eastAsia="Times New Roman" w:hAnsi="Times New Roman"/>
        </w:rPr>
        <w:t>e</w:t>
      </w:r>
      <w:r>
        <w:rPr>
          <w:rFonts w:ascii="Times New Roman" w:eastAsia="Times New Roman" w:hAnsi="Times New Roman"/>
        </w:rPr>
        <w:t xml:space="preserve"> bill </w:t>
      </w:r>
      <w:r w:rsidR="001F7B8B">
        <w:rPr>
          <w:rFonts w:ascii="Times New Roman" w:eastAsia="Times New Roman" w:hAnsi="Times New Roman"/>
        </w:rPr>
        <w:t>amend</w:t>
      </w:r>
      <w:r w:rsidR="00F42FA3">
        <w:rPr>
          <w:rFonts w:ascii="Times New Roman" w:eastAsia="Times New Roman" w:hAnsi="Times New Roman"/>
        </w:rPr>
        <w:t>s</w:t>
      </w:r>
      <w:r w:rsidR="001F7B8B">
        <w:rPr>
          <w:rFonts w:ascii="Times New Roman" w:eastAsia="Times New Roman" w:hAnsi="Times New Roman"/>
        </w:rPr>
        <w:t xml:space="preserve"> subdivision b of section 14-173 of the administrative code by requiring the </w:t>
      </w:r>
      <w:r w:rsidR="00F42FA3">
        <w:rPr>
          <w:rFonts w:ascii="Times New Roman" w:eastAsia="Times New Roman" w:hAnsi="Times New Roman"/>
        </w:rPr>
        <w:t xml:space="preserve">police </w:t>
      </w:r>
      <w:r w:rsidR="001F7B8B">
        <w:rPr>
          <w:rFonts w:ascii="Times New Roman" w:eastAsia="Times New Roman" w:hAnsi="Times New Roman"/>
        </w:rPr>
        <w:t xml:space="preserve">department </w:t>
      </w:r>
      <w:r w:rsidR="00F42FA3">
        <w:rPr>
          <w:rFonts w:ascii="Times New Roman" w:eastAsia="Times New Roman" w:hAnsi="Times New Roman"/>
        </w:rPr>
        <w:t xml:space="preserve">to </w:t>
      </w:r>
      <w:r w:rsidR="001F7B8B">
        <w:rPr>
          <w:rFonts w:ascii="Times New Roman" w:eastAsia="Times New Roman" w:hAnsi="Times New Roman"/>
        </w:rPr>
        <w:t xml:space="preserve">document the time, location and date of any attempt to obtain consent to search, and the apparent race/ethnicity, gender, and age of the person from whom consent was sought. </w:t>
      </w:r>
    </w:p>
    <w:p w14:paraId="20F52DF9" w14:textId="589D5DE3" w:rsidR="001F7B8B" w:rsidRDefault="001F7B8B" w:rsidP="00D96C38">
      <w:pPr>
        <w:spacing w:after="200" w:line="480" w:lineRule="auto"/>
        <w:ind w:firstLine="720"/>
        <w:rPr>
          <w:rFonts w:ascii="Times New Roman" w:eastAsia="Times New Roman" w:hAnsi="Times New Roman"/>
        </w:rPr>
      </w:pPr>
      <w:r>
        <w:rPr>
          <w:rFonts w:ascii="Times New Roman" w:eastAsia="Times New Roman" w:hAnsi="Times New Roman"/>
        </w:rPr>
        <w:t>Section 2 of the bill amend</w:t>
      </w:r>
      <w:r w:rsidR="00F42FA3">
        <w:rPr>
          <w:rFonts w:ascii="Times New Roman" w:eastAsia="Times New Roman" w:hAnsi="Times New Roman"/>
        </w:rPr>
        <w:t>s</w:t>
      </w:r>
      <w:r>
        <w:rPr>
          <w:rFonts w:ascii="Times New Roman" w:eastAsia="Times New Roman" w:hAnsi="Times New Roman"/>
        </w:rPr>
        <w:t xml:space="preserve"> subdivision e of section 14-173 of the administrative code of the city of New York by adding to the reporting requirement the total number of instances where an officer sought to obtain consent to search but did not obtain such consent, disaggregated by precinct and by race/ethnicity, age, and gender. </w:t>
      </w:r>
    </w:p>
    <w:p w14:paraId="78F17C53" w14:textId="7CACA749" w:rsidR="001F7B8B" w:rsidRPr="00D96C38" w:rsidRDefault="001F7B8B" w:rsidP="00D96C38">
      <w:pPr>
        <w:spacing w:after="200" w:line="480" w:lineRule="auto"/>
        <w:ind w:firstLine="720"/>
        <w:rPr>
          <w:rFonts w:ascii="Times New Roman" w:eastAsia="Times New Roman" w:hAnsi="Times New Roman"/>
        </w:rPr>
      </w:pPr>
      <w:r>
        <w:rPr>
          <w:rFonts w:ascii="Times New Roman" w:eastAsia="Times New Roman" w:hAnsi="Times New Roman"/>
        </w:rPr>
        <w:t xml:space="preserve">Section 3 of the bill </w:t>
      </w:r>
      <w:r w:rsidR="00F42FA3">
        <w:rPr>
          <w:rFonts w:ascii="Times New Roman" w:eastAsia="Times New Roman" w:hAnsi="Times New Roman"/>
        </w:rPr>
        <w:t>mandates the bill take</w:t>
      </w:r>
      <w:r>
        <w:rPr>
          <w:rFonts w:ascii="Times New Roman" w:eastAsia="Times New Roman" w:hAnsi="Times New Roman"/>
        </w:rPr>
        <w:t xml:space="preserve"> effect 120 days after it becomes law. </w:t>
      </w:r>
    </w:p>
    <w:p w14:paraId="633B784F" w14:textId="77777777" w:rsidR="00ED3DE1" w:rsidRDefault="00ED3DE1">
      <w:pPr>
        <w:spacing w:after="160" w:line="259" w:lineRule="auto"/>
        <w:rPr>
          <w:rFonts w:ascii="Times New Roman" w:eastAsia="Times New Roman" w:hAnsi="Times New Roman"/>
          <w:b/>
          <w:u w:val="single"/>
        </w:rPr>
      </w:pPr>
      <w:r>
        <w:rPr>
          <w:rFonts w:ascii="Times New Roman" w:eastAsia="Times New Roman" w:hAnsi="Times New Roman"/>
          <w:b/>
          <w:u w:val="single"/>
        </w:rPr>
        <w:br w:type="page"/>
      </w:r>
    </w:p>
    <w:p w14:paraId="7B8347C9" w14:textId="77777777" w:rsidR="00712A47" w:rsidRDefault="00712A47" w:rsidP="00712A47">
      <w:pPr>
        <w:pStyle w:val="NormalWeb"/>
        <w:shd w:val="clear" w:color="auto" w:fill="FFFFFF"/>
        <w:spacing w:before="0" w:beforeAutospacing="0" w:after="0" w:afterAutospacing="0"/>
        <w:jc w:val="center"/>
        <w:rPr>
          <w:color w:val="000000"/>
          <w:sz w:val="27"/>
          <w:szCs w:val="27"/>
        </w:rPr>
      </w:pPr>
      <w:r>
        <w:rPr>
          <w:color w:val="000000"/>
        </w:rPr>
        <w:t>Int. No. 1522</w:t>
      </w:r>
    </w:p>
    <w:p w14:paraId="7665E918" w14:textId="77777777" w:rsidR="00712A47" w:rsidRDefault="00712A47" w:rsidP="00712A47">
      <w:pPr>
        <w:pStyle w:val="NormalWeb"/>
        <w:shd w:val="clear" w:color="auto" w:fill="FFFFFF"/>
        <w:spacing w:before="0" w:beforeAutospacing="0" w:after="0" w:afterAutospacing="0"/>
        <w:jc w:val="center"/>
        <w:rPr>
          <w:color w:val="000000"/>
          <w:sz w:val="27"/>
          <w:szCs w:val="27"/>
        </w:rPr>
      </w:pPr>
      <w:r>
        <w:rPr>
          <w:color w:val="000000"/>
        </w:rPr>
        <w:t> </w:t>
      </w:r>
    </w:p>
    <w:p w14:paraId="3EAC4052"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rPr>
        <w:t>By Council Members Gibson and Kallos</w:t>
      </w:r>
    </w:p>
    <w:p w14:paraId="712C5457"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rPr>
        <w:t> </w:t>
      </w:r>
    </w:p>
    <w:p w14:paraId="4CAC838B"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requiring the civilian complaint review board to report information regarding complaints that officers failed to properly identify themselves or failed to obtain knowing and voluntary consent prior to conducting a search</w:t>
      </w:r>
    </w:p>
    <w:p w14:paraId="113F41BE"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rPr>
        <w:t> </w:t>
      </w:r>
    </w:p>
    <w:p w14:paraId="42C9CC1F"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52A8A0A5" w14:textId="77777777" w:rsidR="00712A47" w:rsidRDefault="00712A47" w:rsidP="00712A47">
      <w:pPr>
        <w:pStyle w:val="NormalWeb"/>
        <w:shd w:val="clear" w:color="auto" w:fill="FFFFFF"/>
        <w:spacing w:before="0" w:beforeAutospacing="0" w:after="0" w:afterAutospacing="0"/>
        <w:ind w:firstLine="720"/>
        <w:jc w:val="both"/>
        <w:rPr>
          <w:color w:val="000000"/>
          <w:sz w:val="27"/>
          <w:szCs w:val="27"/>
        </w:rPr>
      </w:pPr>
      <w:r>
        <w:rPr>
          <w:color w:val="000000"/>
        </w:rPr>
        <w:t> </w:t>
      </w:r>
    </w:p>
    <w:p w14:paraId="2A27BC8C"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The administrative code of the city of New York is amended by adding a new title 14-a to read as follows:</w:t>
      </w:r>
    </w:p>
    <w:p w14:paraId="51792232" w14:textId="77777777" w:rsidR="00712A47" w:rsidRDefault="00712A47" w:rsidP="00712A47">
      <w:pPr>
        <w:pStyle w:val="NormalWeb"/>
        <w:shd w:val="clear" w:color="auto" w:fill="FFFFFF"/>
        <w:spacing w:before="0" w:beforeAutospacing="0" w:after="0" w:afterAutospacing="0" w:line="480" w:lineRule="auto"/>
        <w:jc w:val="center"/>
        <w:rPr>
          <w:color w:val="000000"/>
          <w:sz w:val="27"/>
          <w:szCs w:val="27"/>
        </w:rPr>
      </w:pPr>
      <w:r>
        <w:rPr>
          <w:color w:val="000000"/>
          <w:u w:val="single"/>
        </w:rPr>
        <w:t>TITLE 14-A</w:t>
      </w:r>
    </w:p>
    <w:p w14:paraId="2F21C21D" w14:textId="77777777" w:rsidR="00712A47" w:rsidRDefault="00712A47" w:rsidP="00712A47">
      <w:pPr>
        <w:pStyle w:val="NormalWeb"/>
        <w:shd w:val="clear" w:color="auto" w:fill="FFFFFF"/>
        <w:spacing w:before="0" w:beforeAutospacing="0" w:after="0" w:afterAutospacing="0" w:line="480" w:lineRule="auto"/>
        <w:jc w:val="center"/>
        <w:rPr>
          <w:color w:val="000000"/>
          <w:sz w:val="27"/>
          <w:szCs w:val="27"/>
        </w:rPr>
      </w:pPr>
      <w:r>
        <w:rPr>
          <w:color w:val="000000"/>
          <w:u w:val="single"/>
        </w:rPr>
        <w:t>CIVILIAN COMPLAINT REVIEW BOARD</w:t>
      </w:r>
    </w:p>
    <w:p w14:paraId="3D20A63B" w14:textId="77777777" w:rsidR="00712A47" w:rsidRDefault="00712A47" w:rsidP="00712A47">
      <w:pPr>
        <w:pStyle w:val="NormalWeb"/>
        <w:shd w:val="clear" w:color="auto" w:fill="FFFFFF"/>
        <w:spacing w:before="0" w:beforeAutospacing="0" w:after="0" w:afterAutospacing="0" w:line="480" w:lineRule="auto"/>
        <w:jc w:val="center"/>
        <w:rPr>
          <w:color w:val="000000"/>
          <w:sz w:val="27"/>
          <w:szCs w:val="27"/>
        </w:rPr>
      </w:pPr>
      <w:r>
        <w:rPr>
          <w:color w:val="000000"/>
          <w:u w:val="single"/>
        </w:rPr>
        <w:t>CHAPTER 1</w:t>
      </w:r>
    </w:p>
    <w:p w14:paraId="2895FB27" w14:textId="77777777" w:rsidR="00712A47" w:rsidRDefault="00712A47" w:rsidP="00712A47">
      <w:pPr>
        <w:pStyle w:val="NormalWeb"/>
        <w:shd w:val="clear" w:color="auto" w:fill="FFFFFF"/>
        <w:spacing w:before="0" w:beforeAutospacing="0" w:after="0" w:afterAutospacing="0" w:line="480" w:lineRule="auto"/>
        <w:jc w:val="center"/>
        <w:rPr>
          <w:color w:val="000000"/>
          <w:sz w:val="27"/>
          <w:szCs w:val="27"/>
        </w:rPr>
      </w:pPr>
      <w:r>
        <w:rPr>
          <w:color w:val="000000"/>
          <w:u w:val="single"/>
        </w:rPr>
        <w:t>REPORTING</w:t>
      </w:r>
    </w:p>
    <w:p w14:paraId="1CD0D938" w14:textId="77777777" w:rsidR="00712A47" w:rsidRDefault="00712A47" w:rsidP="00712A4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 14-5000. Definitions. As used in this title, the following terms have the following meanings:</w:t>
      </w:r>
    </w:p>
    <w:p w14:paraId="1329E8DA"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Board. The term “board” means the civilian complaint review board as defined in chapter 18-A of the city charter.</w:t>
      </w:r>
    </w:p>
    <w:p w14:paraId="49D6ACD1"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Law enforcement activity. The term “law enforcement activity” has the same meaning as in section 14-174.</w:t>
      </w:r>
    </w:p>
    <w:p w14:paraId="4BB09B8D"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Officer. The term “officer” has the same meaning as in section 14-174.</w:t>
      </w:r>
    </w:p>
    <w:p w14:paraId="514C50F4"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Semi-annual report. The term “semi-annual report” means the report required by paragraph 6 of subdivision (c) of section 440 of the charter.</w:t>
      </w:r>
    </w:p>
    <w:p w14:paraId="77CA8D95" w14:textId="77777777" w:rsidR="00712A47" w:rsidRDefault="00712A47" w:rsidP="00712A4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 14-5001. Required information on officer identification and consent searches. The semi-annual report shall include, but need not be limited to, the following information:</w:t>
      </w:r>
    </w:p>
    <w:p w14:paraId="30A69161" w14:textId="77777777" w:rsidR="00712A47" w:rsidRDefault="00712A47" w:rsidP="00712A4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a. The number of complaints alleging a violation of section 14-174, in total and:</w:t>
      </w:r>
    </w:p>
    <w:p w14:paraId="012400A5" w14:textId="77777777" w:rsidR="00712A47" w:rsidRDefault="00712A47" w:rsidP="00712A47">
      <w:pPr>
        <w:pStyle w:val="NormalWeb"/>
        <w:shd w:val="clear" w:color="auto" w:fill="FFFFFF"/>
        <w:spacing w:before="0" w:beforeAutospacing="0" w:after="0" w:afterAutospacing="0" w:line="480" w:lineRule="auto"/>
        <w:jc w:val="both"/>
        <w:rPr>
          <w:color w:val="000000"/>
          <w:sz w:val="27"/>
          <w:szCs w:val="27"/>
        </w:rPr>
      </w:pPr>
      <w:r>
        <w:rPr>
          <w:color w:val="000000"/>
        </w:rPr>
        <w:t> </w:t>
      </w:r>
      <w:r>
        <w:rPr>
          <w:color w:val="000000"/>
          <w:sz w:val="14"/>
          <w:szCs w:val="14"/>
        </w:rPr>
        <w:t>                     </w:t>
      </w:r>
      <w:r>
        <w:rPr>
          <w:color w:val="000000"/>
          <w:u w:val="single"/>
        </w:rPr>
        <w:t>1. Disaggregated by the number of such complaints that were decided on the merits, the number of such complaints that were substantiated, the number of such complaints that were exonerated, the number of such complaints that were unfounded, and the number of such complaints for which body camera footage recorded the interaction; and</w:t>
      </w:r>
    </w:p>
    <w:p w14:paraId="5D397B94"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Disaggregated by the violation type and further disaggregated by the number of such complaints that were decided on the merits, the number of such complaints that were substantiated, the number of such complaints that were exonerated, the number of such complaints that were unfounded, the number of complaints that were unsubstantiated, the number of complaints for which the officer could not be identified, and the number of such complaints for which body camera footage recorded the interaction.</w:t>
      </w:r>
    </w:p>
    <w:p w14:paraId="0146BB1B"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For the purposes of this subdivision, the violation type shall include: an officer’s failure to identify himself or herself to the person who is a subject of law enforcement activity; a failure to provide an explanation for the law enforcement activity; a failure to provide a business card or an alternative to a pre-printed business card pursuant to paragraphs (4) and (5) of subdivision 14-174 (b) to the subject of a law enforcement activity or in the case of a minor, to the parent, legal guardian, or responsible adult who is present with the minor subject.</w:t>
      </w:r>
    </w:p>
    <w:p w14:paraId="1184ADB0" w14:textId="77777777" w:rsidR="00712A47" w:rsidRDefault="00712A47" w:rsidP="00712A4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b. The number of complaints alleging a violation of 14-173, in total and disaggregated by:</w:t>
      </w:r>
    </w:p>
    <w:p w14:paraId="2A07F93B"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The number of such complaints that were decided on the merits, the number of such complaints that were substantiated, the number of such complaints that were exonerated, the number of such complaints the were unfounded, and the number of such complaints for which body camera footage recorded the request for consent and civilian response; and</w:t>
      </w:r>
    </w:p>
    <w:p w14:paraId="0EF10592"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The type of violation, and further disaggregated by the number of such complaints that were decided on the merits, the number of such complaints that were substantiated, the number of such complaints that were exonerated, the number of such complaints the were unfounded, the number of complaints that were unsubstantiated, the number of complaints for which the officer could not be identified, and the number of such complaints for which body camera footage recorded the request for consent and civilian response. For the purposes of this subdivision, the violation type shall include but not be limited to: a failure of the officer to articulate that the person who is the subject of the search is being asked to voluntarily, knowingly and intelligently consent to such search; a failure of the officer to explain that a search will not be conducted if the person refuses to consent, a failure of the officer to use appropriate language services in order to obtain knowing, voluntary and intelligent consent; the use of threats or promises in order to obtain consent to search; conducting a search without obtaining consent; conducting a search after consent was refused.  </w:t>
      </w:r>
    </w:p>
    <w:p w14:paraId="4F6F658D"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14:paraId="7F97BA8F"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ADCEA7E" w14:textId="77777777" w:rsidR="00712A47" w:rsidRDefault="00712A47" w:rsidP="00712A47">
      <w:pPr>
        <w:pStyle w:val="NormalWeb"/>
        <w:shd w:val="clear" w:color="auto" w:fill="FFFFFF"/>
        <w:spacing w:before="0" w:beforeAutospacing="0" w:after="0" w:afterAutospacing="0"/>
        <w:rPr>
          <w:color w:val="000000"/>
          <w:sz w:val="27"/>
          <w:szCs w:val="27"/>
        </w:rPr>
      </w:pPr>
      <w:r>
        <w:rPr>
          <w:color w:val="000000"/>
          <w:sz w:val="18"/>
          <w:szCs w:val="18"/>
        </w:rPr>
        <w:t>D.A.</w:t>
      </w:r>
    </w:p>
    <w:p w14:paraId="081CEF5E" w14:textId="77777777" w:rsidR="00712A47" w:rsidRDefault="00712A47" w:rsidP="00712A47">
      <w:pPr>
        <w:pStyle w:val="NormalWeb"/>
        <w:shd w:val="clear" w:color="auto" w:fill="FFFFFF"/>
        <w:spacing w:before="0" w:beforeAutospacing="0" w:after="0" w:afterAutospacing="0"/>
        <w:rPr>
          <w:color w:val="000000"/>
          <w:sz w:val="27"/>
          <w:szCs w:val="27"/>
        </w:rPr>
      </w:pPr>
      <w:r>
        <w:rPr>
          <w:color w:val="000000"/>
          <w:sz w:val="18"/>
          <w:szCs w:val="18"/>
        </w:rPr>
        <w:t>LS 10281</w:t>
      </w:r>
    </w:p>
    <w:p w14:paraId="5917ABE9" w14:textId="77777777" w:rsidR="00712A47" w:rsidRDefault="00712A47" w:rsidP="00712A47">
      <w:pPr>
        <w:pStyle w:val="NormalWeb"/>
        <w:shd w:val="clear" w:color="auto" w:fill="FFFFFF"/>
        <w:spacing w:before="0" w:beforeAutospacing="0" w:after="0" w:afterAutospacing="0"/>
        <w:rPr>
          <w:color w:val="000000"/>
          <w:sz w:val="27"/>
          <w:szCs w:val="27"/>
        </w:rPr>
      </w:pPr>
      <w:r>
        <w:rPr>
          <w:color w:val="000000"/>
          <w:sz w:val="18"/>
          <w:szCs w:val="18"/>
        </w:rPr>
        <w:t>3.28.19</w:t>
      </w:r>
    </w:p>
    <w:p w14:paraId="7C2ADD69" w14:textId="77777777" w:rsidR="00712A47" w:rsidRDefault="00712A47" w:rsidP="00712A47">
      <w:pPr>
        <w:pStyle w:val="NormalWeb"/>
        <w:shd w:val="clear" w:color="auto" w:fill="FFFFFF"/>
        <w:spacing w:before="0" w:beforeAutospacing="0" w:after="0" w:afterAutospacing="0"/>
        <w:rPr>
          <w:color w:val="000000"/>
          <w:sz w:val="27"/>
          <w:szCs w:val="27"/>
        </w:rPr>
      </w:pPr>
      <w:r>
        <w:rPr>
          <w:color w:val="000000"/>
          <w:sz w:val="18"/>
          <w:szCs w:val="18"/>
        </w:rPr>
        <w:t> </w:t>
      </w:r>
    </w:p>
    <w:p w14:paraId="137D0832" w14:textId="77777777" w:rsidR="00712A47" w:rsidRDefault="00712A47" w:rsidP="00712A47">
      <w:pPr>
        <w:pStyle w:val="NormalWeb"/>
        <w:shd w:val="clear" w:color="auto" w:fill="FFFFFF"/>
        <w:spacing w:before="0" w:beforeAutospacing="0" w:after="0" w:afterAutospacing="0"/>
        <w:rPr>
          <w:color w:val="000000"/>
          <w:sz w:val="27"/>
          <w:szCs w:val="27"/>
        </w:rPr>
      </w:pPr>
      <w:r>
        <w:rPr>
          <w:color w:val="000000"/>
          <w:sz w:val="18"/>
          <w:szCs w:val="18"/>
        </w:rPr>
        <w:t> </w:t>
      </w:r>
    </w:p>
    <w:p w14:paraId="3EB0342A" w14:textId="77777777" w:rsidR="00712A47" w:rsidRDefault="00712A47" w:rsidP="00712A47">
      <w:pPr>
        <w:spacing w:after="200" w:line="276" w:lineRule="auto"/>
        <w:rPr>
          <w:rFonts w:ascii="Times New Roman" w:eastAsia="Times New Roman" w:hAnsi="Times New Roman"/>
          <w:b/>
          <w:u w:val="single"/>
        </w:rPr>
      </w:pPr>
    </w:p>
    <w:p w14:paraId="08CE0C79" w14:textId="77777777" w:rsidR="00712A47" w:rsidRDefault="00712A47" w:rsidP="00712A47">
      <w:pPr>
        <w:spacing w:after="200" w:line="276" w:lineRule="auto"/>
        <w:rPr>
          <w:rFonts w:ascii="Times New Roman" w:eastAsia="Times New Roman" w:hAnsi="Times New Roman"/>
          <w:b/>
          <w:u w:val="single"/>
        </w:rPr>
      </w:pPr>
    </w:p>
    <w:p w14:paraId="63C12FEF" w14:textId="77777777" w:rsidR="00712A47" w:rsidRDefault="00712A47" w:rsidP="00712A47">
      <w:pPr>
        <w:spacing w:after="200" w:line="276" w:lineRule="auto"/>
        <w:rPr>
          <w:rFonts w:ascii="Times New Roman" w:eastAsia="Times New Roman" w:hAnsi="Times New Roman"/>
          <w:b/>
          <w:u w:val="single"/>
        </w:rPr>
      </w:pPr>
    </w:p>
    <w:p w14:paraId="0558C396" w14:textId="77777777" w:rsidR="00712A47" w:rsidRDefault="00712A47" w:rsidP="00712A47">
      <w:pPr>
        <w:spacing w:after="200" w:line="276" w:lineRule="auto"/>
        <w:rPr>
          <w:rFonts w:ascii="Times New Roman" w:eastAsia="Times New Roman" w:hAnsi="Times New Roman"/>
          <w:b/>
          <w:u w:val="single"/>
        </w:rPr>
      </w:pPr>
    </w:p>
    <w:p w14:paraId="39540A37" w14:textId="77777777" w:rsidR="00712A47" w:rsidRDefault="00712A47" w:rsidP="00712A47">
      <w:pPr>
        <w:spacing w:after="200" w:line="276" w:lineRule="auto"/>
        <w:rPr>
          <w:rFonts w:ascii="Times New Roman" w:eastAsia="Times New Roman" w:hAnsi="Times New Roman"/>
          <w:b/>
          <w:u w:val="single"/>
        </w:rPr>
      </w:pPr>
    </w:p>
    <w:p w14:paraId="6818A6B6" w14:textId="77777777" w:rsidR="00712A47" w:rsidRDefault="00712A47" w:rsidP="00712A47">
      <w:pPr>
        <w:spacing w:after="200" w:line="276" w:lineRule="auto"/>
        <w:rPr>
          <w:rFonts w:ascii="Times New Roman" w:eastAsia="Times New Roman" w:hAnsi="Times New Roman"/>
          <w:b/>
          <w:u w:val="single"/>
        </w:rPr>
      </w:pPr>
    </w:p>
    <w:p w14:paraId="14C07FF1" w14:textId="77777777" w:rsidR="00712A47" w:rsidRDefault="00712A47" w:rsidP="00712A47">
      <w:pPr>
        <w:spacing w:after="200" w:line="276" w:lineRule="auto"/>
        <w:rPr>
          <w:rFonts w:ascii="Times New Roman" w:eastAsia="Times New Roman" w:hAnsi="Times New Roman"/>
          <w:b/>
          <w:u w:val="single"/>
        </w:rPr>
      </w:pPr>
    </w:p>
    <w:p w14:paraId="37F902A3" w14:textId="77777777" w:rsidR="00712A47" w:rsidRDefault="00712A47" w:rsidP="00712A47">
      <w:pPr>
        <w:spacing w:after="200" w:line="276" w:lineRule="auto"/>
        <w:rPr>
          <w:rFonts w:ascii="Times New Roman" w:eastAsia="Times New Roman" w:hAnsi="Times New Roman"/>
          <w:b/>
          <w:u w:val="single"/>
        </w:rPr>
      </w:pPr>
    </w:p>
    <w:p w14:paraId="66E708FF" w14:textId="77777777" w:rsidR="00712A47" w:rsidRDefault="00712A47" w:rsidP="00712A47">
      <w:pPr>
        <w:spacing w:after="200" w:line="276" w:lineRule="auto"/>
        <w:rPr>
          <w:rFonts w:ascii="Times New Roman" w:eastAsia="Times New Roman" w:hAnsi="Times New Roman"/>
          <w:b/>
          <w:u w:val="single"/>
        </w:rPr>
      </w:pPr>
    </w:p>
    <w:p w14:paraId="4850FA0D" w14:textId="77777777" w:rsidR="00712A47" w:rsidRDefault="00712A47" w:rsidP="00712A47">
      <w:pPr>
        <w:spacing w:after="200" w:line="276" w:lineRule="auto"/>
        <w:rPr>
          <w:rFonts w:ascii="Times New Roman" w:eastAsia="Times New Roman" w:hAnsi="Times New Roman"/>
          <w:b/>
          <w:u w:val="single"/>
        </w:rPr>
      </w:pPr>
    </w:p>
    <w:p w14:paraId="65958F46" w14:textId="77777777" w:rsidR="00712A47" w:rsidRDefault="00712A47" w:rsidP="00712A47">
      <w:pPr>
        <w:pStyle w:val="NormalWeb"/>
        <w:shd w:val="clear" w:color="auto" w:fill="FFFFFF"/>
        <w:spacing w:before="0" w:beforeAutospacing="0" w:after="0" w:afterAutospacing="0"/>
        <w:jc w:val="center"/>
        <w:rPr>
          <w:color w:val="000000"/>
          <w:sz w:val="27"/>
          <w:szCs w:val="27"/>
        </w:rPr>
      </w:pPr>
      <w:r>
        <w:rPr>
          <w:color w:val="000000"/>
        </w:rPr>
        <w:t>Preconsidered Int. No.</w:t>
      </w:r>
    </w:p>
    <w:p w14:paraId="35A6665E" w14:textId="77777777" w:rsidR="00712A47" w:rsidRDefault="00712A47" w:rsidP="00712A47">
      <w:pPr>
        <w:pStyle w:val="NormalWeb"/>
        <w:shd w:val="clear" w:color="auto" w:fill="FFFFFF"/>
        <w:spacing w:before="0" w:beforeAutospacing="0" w:after="0" w:afterAutospacing="0"/>
        <w:jc w:val="center"/>
        <w:rPr>
          <w:color w:val="000000"/>
          <w:sz w:val="27"/>
          <w:szCs w:val="27"/>
        </w:rPr>
      </w:pPr>
      <w:r>
        <w:rPr>
          <w:color w:val="000000"/>
        </w:rPr>
        <w:t> </w:t>
      </w:r>
    </w:p>
    <w:p w14:paraId="4BB1FA3E"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rPr>
        <w:t>By Council Member Reynoso</w:t>
      </w:r>
    </w:p>
    <w:p w14:paraId="05D9EB0D"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rPr>
        <w:t> </w:t>
      </w:r>
    </w:p>
    <w:p w14:paraId="141B12FD"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requiring the New York police department to report on instances in which an individual denied an officer consent to a search</w:t>
      </w:r>
    </w:p>
    <w:p w14:paraId="6DB42F67"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rPr>
        <w:t> </w:t>
      </w:r>
    </w:p>
    <w:p w14:paraId="348B64CD"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2A6D2FA" w14:textId="77777777" w:rsidR="00712A47" w:rsidRDefault="00712A47" w:rsidP="00712A47">
      <w:pPr>
        <w:pStyle w:val="NormalWeb"/>
        <w:shd w:val="clear" w:color="auto" w:fill="FFFFFF"/>
        <w:spacing w:before="0" w:beforeAutospacing="0" w:after="0" w:afterAutospacing="0"/>
        <w:ind w:firstLine="720"/>
        <w:jc w:val="both"/>
        <w:rPr>
          <w:color w:val="000000"/>
          <w:sz w:val="27"/>
          <w:szCs w:val="27"/>
        </w:rPr>
      </w:pPr>
      <w:r>
        <w:rPr>
          <w:color w:val="000000"/>
        </w:rPr>
        <w:t> </w:t>
      </w:r>
    </w:p>
    <w:p w14:paraId="34F8BE1A"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Paragraph 2 of subdivision b of section 14-173 of the administrative code of the city of New York, as added by local law number 56 for the year 2018, is amended to read as follows:</w:t>
      </w:r>
    </w:p>
    <w:p w14:paraId="45A1B9E5"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2. Document the time, location, and date of </w:t>
      </w:r>
      <w:r>
        <w:rPr>
          <w:color w:val="000000"/>
          <w:u w:val="single"/>
        </w:rPr>
        <w:t>any</w:t>
      </w:r>
      <w:r>
        <w:rPr>
          <w:color w:val="000000"/>
        </w:rPr>
        <w:t> such </w:t>
      </w:r>
      <w:r>
        <w:rPr>
          <w:color w:val="000000"/>
          <w:u w:val="single"/>
        </w:rPr>
        <w:t>attempt to obtain consent to</w:t>
      </w:r>
      <w:r>
        <w:rPr>
          <w:color w:val="000000"/>
        </w:rPr>
        <w:t> search, and the apparent race/ethnicity, gender, and age of the person [who was the subject of such search] </w:t>
      </w:r>
      <w:r>
        <w:rPr>
          <w:color w:val="000000"/>
          <w:u w:val="single"/>
        </w:rPr>
        <w:t>from whom consent was sought</w:t>
      </w:r>
      <w:r>
        <w:rPr>
          <w:color w:val="000000"/>
        </w:rPr>
        <w:t>, and such  officer’s name, precinct, and shield number.</w:t>
      </w:r>
    </w:p>
    <w:p w14:paraId="686566D9"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Subdivision e of section 14-173 of the administrative code of the city of New York, as added by local law number 56 for the year 2018, is amended to read as follows:</w:t>
      </w:r>
    </w:p>
    <w:p w14:paraId="152778D0"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e. Commencing within 30 days of the end of the quarter beginning on October 1, 2018, and within 30 days of the end of every quarter thereafter, the department shall post on its website a report of data </w:t>
      </w:r>
      <w:r>
        <w:rPr>
          <w:color w:val="000000"/>
          <w:u w:val="single"/>
        </w:rPr>
        <w:t>from the preceding quarter</w:t>
      </w:r>
      <w:r>
        <w:rPr>
          <w:color w:val="000000"/>
        </w:rPr>
        <w:t> collected pursuant to paragraph 2 of subdivision b, [specifically the] </w:t>
      </w:r>
      <w:r>
        <w:rPr>
          <w:color w:val="000000"/>
          <w:u w:val="single"/>
        </w:rPr>
        <w:t>including, but not limited to:</w:t>
      </w:r>
    </w:p>
    <w:p w14:paraId="26527F35"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The</w:t>
      </w:r>
      <w:r>
        <w:rPr>
          <w:color w:val="000000"/>
        </w:rPr>
        <w:t> total number of consent searches conducted [during the preceding quarter] disaggregated by</w:t>
      </w:r>
      <w:r>
        <w:rPr>
          <w:color w:val="000000"/>
          <w:u w:val="single"/>
        </w:rPr>
        <w:t>:</w:t>
      </w:r>
      <w:r>
        <w:rPr>
          <w:color w:val="000000"/>
        </w:rPr>
        <w:t> [the:</w:t>
      </w:r>
    </w:p>
    <w:p w14:paraId="45E6DE35"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1. Apparent] </w:t>
      </w:r>
      <w:r>
        <w:rPr>
          <w:color w:val="000000"/>
          <w:u w:val="single"/>
        </w:rPr>
        <w:t>(a) The apparent</w:t>
      </w:r>
      <w:r>
        <w:rPr>
          <w:color w:val="000000"/>
        </w:rPr>
        <w:t> race/ethnicity, gender, and age of the person searched; and</w:t>
      </w:r>
    </w:p>
    <w:p w14:paraId="44E77BCF"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[2. Precinct] </w:t>
      </w:r>
      <w:r>
        <w:rPr>
          <w:color w:val="000000"/>
          <w:u w:val="single"/>
        </w:rPr>
        <w:t>(b) The precinct</w:t>
      </w:r>
      <w:r>
        <w:rPr>
          <w:color w:val="000000"/>
        </w:rPr>
        <w:t> where each search occurred, and further disaggregated by the apparent race/ethnicity, gender, and age of the person searched[.]</w:t>
      </w:r>
      <w:r>
        <w:rPr>
          <w:color w:val="000000"/>
          <w:u w:val="single"/>
        </w:rPr>
        <w:t>; and</w:t>
      </w:r>
    </w:p>
    <w:p w14:paraId="7F8584E5"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The total number of instances where an officer sought to obtain consent to search but did not obtain such consent disaggregated by:</w:t>
      </w:r>
    </w:p>
    <w:p w14:paraId="40483715"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The apparent race/ethnicity, gender, and age of the person from whom such consent was sought; and</w:t>
      </w:r>
    </w:p>
    <w:p w14:paraId="2D75FE11"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precinct where each such attempt to obtain consent to search occured, and further disaggregated by the apparent race/ethnicity, gender, and age of the person from whom such consent was sought.</w:t>
      </w:r>
    </w:p>
    <w:p w14:paraId="22A0990F" w14:textId="77777777" w:rsidR="00712A47" w:rsidRDefault="00712A47" w:rsidP="00712A47">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120 days after it becomes law.</w:t>
      </w:r>
    </w:p>
    <w:p w14:paraId="061CA7D9"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45FE9AE"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sz w:val="18"/>
          <w:szCs w:val="18"/>
        </w:rPr>
        <w:t>AM</w:t>
      </w:r>
    </w:p>
    <w:p w14:paraId="3E947461" w14:textId="77777777" w:rsidR="00712A47" w:rsidRDefault="00712A47" w:rsidP="00712A47">
      <w:pPr>
        <w:pStyle w:val="NormalWeb"/>
        <w:shd w:val="clear" w:color="auto" w:fill="FFFFFF"/>
        <w:spacing w:before="0" w:beforeAutospacing="0" w:after="0" w:afterAutospacing="0"/>
        <w:jc w:val="both"/>
        <w:rPr>
          <w:color w:val="000000"/>
          <w:sz w:val="27"/>
          <w:szCs w:val="27"/>
        </w:rPr>
      </w:pPr>
      <w:r>
        <w:rPr>
          <w:color w:val="000000"/>
          <w:sz w:val="18"/>
          <w:szCs w:val="18"/>
        </w:rPr>
        <w:t>LS #9638</w:t>
      </w:r>
    </w:p>
    <w:p w14:paraId="6041819B" w14:textId="77777777" w:rsidR="00712A47" w:rsidRDefault="00712A47" w:rsidP="00712A47">
      <w:pPr>
        <w:pStyle w:val="NormalWeb"/>
        <w:shd w:val="clear" w:color="auto" w:fill="FFFFFF"/>
        <w:spacing w:before="0" w:beforeAutospacing="0" w:after="0" w:afterAutospacing="0"/>
        <w:rPr>
          <w:color w:val="000000"/>
          <w:sz w:val="27"/>
          <w:szCs w:val="27"/>
        </w:rPr>
      </w:pPr>
      <w:r>
        <w:rPr>
          <w:color w:val="000000"/>
          <w:sz w:val="18"/>
          <w:szCs w:val="18"/>
        </w:rPr>
        <w:t>2/13/19</w:t>
      </w:r>
    </w:p>
    <w:p w14:paraId="4C160561" w14:textId="77777777" w:rsidR="00712A47" w:rsidRPr="00712A47" w:rsidRDefault="00712A47" w:rsidP="00712A47">
      <w:pPr>
        <w:spacing w:after="200" w:line="276" w:lineRule="auto"/>
        <w:rPr>
          <w:rFonts w:ascii="Times New Roman" w:eastAsia="Times New Roman" w:hAnsi="Times New Roman"/>
          <w:b/>
          <w:u w:val="single"/>
        </w:rPr>
      </w:pPr>
    </w:p>
    <w:p w14:paraId="03D92D90" w14:textId="77777777" w:rsidR="00623CF2" w:rsidRDefault="00623CF2" w:rsidP="00623CF2">
      <w:pPr>
        <w:spacing w:line="480" w:lineRule="auto"/>
        <w:rPr>
          <w:rFonts w:ascii="Times New Roman" w:eastAsia="Times New Roman" w:hAnsi="Times New Roman"/>
        </w:rPr>
      </w:pPr>
    </w:p>
    <w:p w14:paraId="3DB5A030" w14:textId="77777777" w:rsidR="007933C3" w:rsidRPr="00AE7EF3" w:rsidRDefault="007933C3" w:rsidP="007933C3">
      <w:pPr>
        <w:spacing w:line="480" w:lineRule="auto"/>
        <w:rPr>
          <w:rFonts w:ascii="Times New Roman" w:eastAsia="Times New Roman" w:hAnsi="Times New Roman"/>
        </w:rPr>
      </w:pPr>
    </w:p>
    <w:sectPr w:rsidR="007933C3" w:rsidRPr="00AE7EF3" w:rsidSect="000B7FE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95455" w14:textId="77777777" w:rsidR="00060CE9" w:rsidRDefault="00060CE9" w:rsidP="00AE7EF3">
      <w:r>
        <w:separator/>
      </w:r>
    </w:p>
  </w:endnote>
  <w:endnote w:type="continuationSeparator" w:id="0">
    <w:p w14:paraId="143413BB" w14:textId="77777777" w:rsidR="00060CE9" w:rsidRDefault="00060CE9" w:rsidP="00AE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29947"/>
      <w:docPartObj>
        <w:docPartGallery w:val="Page Numbers (Bottom of Page)"/>
        <w:docPartUnique/>
      </w:docPartObj>
    </w:sdtPr>
    <w:sdtEndPr>
      <w:rPr>
        <w:noProof/>
      </w:rPr>
    </w:sdtEndPr>
    <w:sdtContent>
      <w:p w14:paraId="0A6B66B8" w14:textId="00FB3F4B" w:rsidR="0062370B" w:rsidRDefault="0062370B">
        <w:pPr>
          <w:pStyle w:val="Footer"/>
          <w:jc w:val="right"/>
        </w:pPr>
        <w:r>
          <w:fldChar w:fldCharType="begin"/>
        </w:r>
        <w:r>
          <w:instrText xml:space="preserve"> PAGE   \* MERGEFORMAT </w:instrText>
        </w:r>
        <w:r>
          <w:fldChar w:fldCharType="separate"/>
        </w:r>
        <w:r w:rsidR="00F615D4">
          <w:rPr>
            <w:noProof/>
          </w:rPr>
          <w:t>14</w:t>
        </w:r>
        <w:r>
          <w:rPr>
            <w:noProof/>
          </w:rPr>
          <w:fldChar w:fldCharType="end"/>
        </w:r>
      </w:p>
    </w:sdtContent>
  </w:sdt>
  <w:p w14:paraId="55505D4F" w14:textId="77777777" w:rsidR="0062370B" w:rsidRDefault="0062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D603A" w14:textId="77777777" w:rsidR="00060CE9" w:rsidRDefault="00060CE9" w:rsidP="00AE7EF3">
      <w:r>
        <w:separator/>
      </w:r>
    </w:p>
  </w:footnote>
  <w:footnote w:type="continuationSeparator" w:id="0">
    <w:p w14:paraId="52E6287A" w14:textId="77777777" w:rsidR="00060CE9" w:rsidRDefault="00060CE9" w:rsidP="00AE7EF3">
      <w:r>
        <w:continuationSeparator/>
      </w:r>
    </w:p>
  </w:footnote>
  <w:footnote w:id="1">
    <w:p w14:paraId="25FA8989" w14:textId="77777777" w:rsidR="007933C3" w:rsidRDefault="007933C3" w:rsidP="007933C3">
      <w:pPr>
        <w:pStyle w:val="FootnoteText"/>
      </w:pPr>
      <w:r>
        <w:rPr>
          <w:rStyle w:val="FootnoteReference"/>
        </w:rPr>
        <w:footnoteRef/>
      </w:r>
      <w:r>
        <w:t xml:space="preserve"> </w:t>
      </w:r>
      <w:r w:rsidRPr="00312437">
        <w:rPr>
          <w:rFonts w:ascii="Times New Roman" w:hAnsi="Times New Roman"/>
        </w:rPr>
        <w:t>NYPD, 2011 4</w:t>
      </w:r>
      <w:r w:rsidRPr="00312437">
        <w:rPr>
          <w:rFonts w:ascii="Times New Roman" w:hAnsi="Times New Roman"/>
          <w:vertAlign w:val="superscript"/>
        </w:rPr>
        <w:t>th</w:t>
      </w:r>
      <w:r w:rsidRPr="00312437">
        <w:rPr>
          <w:rFonts w:ascii="Times New Roman" w:hAnsi="Times New Roman"/>
        </w:rPr>
        <w:t xml:space="preserve"> Quarter Repo</w:t>
      </w:r>
      <w:r>
        <w:rPr>
          <w:rFonts w:ascii="Times New Roman" w:hAnsi="Times New Roman"/>
        </w:rPr>
        <w:t xml:space="preserve">rt on Stop, Question, and Frisk </w:t>
      </w:r>
    </w:p>
  </w:footnote>
  <w:footnote w:id="2">
    <w:p w14:paraId="177B17ED" w14:textId="77777777" w:rsidR="007933C3" w:rsidRDefault="007933C3" w:rsidP="007933C3">
      <w:pPr>
        <w:pStyle w:val="FootnoteText"/>
      </w:pPr>
      <w:r>
        <w:rPr>
          <w:rStyle w:val="FootnoteReference"/>
        </w:rPr>
        <w:footnoteRef/>
      </w:r>
      <w:r>
        <w:t xml:space="preserve"> </w:t>
      </w:r>
      <w:r w:rsidRPr="007933C3">
        <w:rPr>
          <w:i/>
        </w:rPr>
        <w:t xml:space="preserve">Floyd  v. New York, </w:t>
      </w:r>
      <w:r w:rsidRPr="007933C3">
        <w:t xml:space="preserve">959 F.Supp.2d 540 (SDNY 2013) available at </w:t>
      </w:r>
      <w:hyperlink r:id="rId1" w:history="1">
        <w:r w:rsidRPr="007933C3">
          <w:rPr>
            <w:rStyle w:val="Hyperlink"/>
          </w:rPr>
          <w:t>http://www.nysd.uscourts.gov/cases/show.php?db=special&amp;id=317</w:t>
        </w:r>
      </w:hyperlink>
    </w:p>
  </w:footnote>
  <w:footnote w:id="3">
    <w:p w14:paraId="685199B0" w14:textId="77777777" w:rsidR="007933C3" w:rsidRDefault="007933C3" w:rsidP="007933C3">
      <w:pPr>
        <w:pStyle w:val="FootnoteText"/>
      </w:pPr>
      <w:r>
        <w:rPr>
          <w:rStyle w:val="FootnoteReference"/>
        </w:rPr>
        <w:footnoteRef/>
      </w:r>
      <w:r>
        <w:rPr>
          <w:rFonts w:ascii="Times New Roman" w:hAnsi="Times New Roman"/>
          <w:i/>
        </w:rPr>
        <w:t xml:space="preserve"> </w:t>
      </w:r>
      <w:r w:rsidRPr="00312437">
        <w:rPr>
          <w:rFonts w:ascii="Times New Roman" w:hAnsi="Times New Roman"/>
          <w:i/>
        </w:rPr>
        <w:t>Floyd</w:t>
      </w:r>
      <w:r>
        <w:rPr>
          <w:rFonts w:ascii="Times New Roman" w:hAnsi="Times New Roman"/>
          <w:i/>
        </w:rPr>
        <w:t xml:space="preserve"> </w:t>
      </w:r>
      <w:r w:rsidRPr="00312437">
        <w:rPr>
          <w:rFonts w:ascii="Times New Roman" w:hAnsi="Times New Roman"/>
          <w:i/>
        </w:rPr>
        <w:t xml:space="preserve"> v. New York, </w:t>
      </w:r>
      <w:r w:rsidRPr="00312437">
        <w:rPr>
          <w:rFonts w:ascii="Times New Roman" w:hAnsi="Times New Roman"/>
        </w:rPr>
        <w:t>959 F.Supp.2d 540 (SDNY 2013)</w:t>
      </w:r>
      <w:r>
        <w:t xml:space="preserve"> available at </w:t>
      </w:r>
      <w:hyperlink r:id="rId2" w:history="1">
        <w:r>
          <w:rPr>
            <w:rStyle w:val="Hyperlink"/>
          </w:rPr>
          <w:t>http://www.nysd.uscourts.gov/cases/show.php?db=special&amp;id=317</w:t>
        </w:r>
      </w:hyperlink>
    </w:p>
  </w:footnote>
  <w:footnote w:id="4">
    <w:p w14:paraId="1D81F6CA" w14:textId="77777777" w:rsidR="007933C3" w:rsidRPr="00312437" w:rsidRDefault="007933C3" w:rsidP="007933C3">
      <w:pPr>
        <w:pStyle w:val="FootnoteText"/>
        <w:rPr>
          <w:rFonts w:ascii="Times New Roman" w:hAnsi="Times New Roman"/>
        </w:rPr>
      </w:pPr>
      <w:r w:rsidRPr="00312437">
        <w:rPr>
          <w:rStyle w:val="FootnoteReference"/>
          <w:rFonts w:ascii="Times New Roman" w:hAnsi="Times New Roman"/>
        </w:rPr>
        <w:footnoteRef/>
      </w:r>
      <w:r w:rsidRPr="00312437">
        <w:rPr>
          <w:rFonts w:ascii="Times New Roman" w:hAnsi="Times New Roman"/>
          <w:i/>
        </w:rPr>
        <w:t>Floyd</w:t>
      </w:r>
      <w:r>
        <w:rPr>
          <w:rFonts w:ascii="Times New Roman" w:hAnsi="Times New Roman"/>
          <w:i/>
        </w:rPr>
        <w:t xml:space="preserve"> </w:t>
      </w:r>
      <w:r w:rsidRPr="00312437">
        <w:rPr>
          <w:rFonts w:ascii="Times New Roman" w:hAnsi="Times New Roman"/>
          <w:i/>
        </w:rPr>
        <w:t xml:space="preserve"> v.</w:t>
      </w:r>
      <w:r>
        <w:rPr>
          <w:rFonts w:ascii="Times New Roman" w:hAnsi="Times New Roman"/>
          <w:i/>
        </w:rPr>
        <w:t xml:space="preserve"> </w:t>
      </w:r>
      <w:r w:rsidRPr="00312437">
        <w:rPr>
          <w:rFonts w:ascii="Times New Roman" w:hAnsi="Times New Roman"/>
          <w:i/>
        </w:rPr>
        <w:t>New York</w:t>
      </w:r>
      <w:r w:rsidRPr="00312437">
        <w:rPr>
          <w:rFonts w:ascii="Times New Roman" w:hAnsi="Times New Roman"/>
        </w:rPr>
        <w:t>, 959 F.Supp.2d 668 (SDNY 2013)</w:t>
      </w:r>
    </w:p>
  </w:footnote>
  <w:footnote w:id="5">
    <w:p w14:paraId="1DE574E8" w14:textId="77777777" w:rsidR="007933C3" w:rsidRDefault="007933C3" w:rsidP="007933C3">
      <w:pPr>
        <w:pStyle w:val="FootnoteText"/>
      </w:pPr>
      <w:r>
        <w:rPr>
          <w:rStyle w:val="FootnoteReference"/>
        </w:rPr>
        <w:footnoteRef/>
      </w:r>
      <w:r>
        <w:t xml:space="preserve"> </w:t>
      </w:r>
      <w:r w:rsidRPr="00F21F86">
        <w:t>Local Law 70 of 2013; Local Law 71 of 2013; Int. No. 182-A; Int. No. 541</w:t>
      </w:r>
    </w:p>
  </w:footnote>
  <w:footnote w:id="6">
    <w:p w14:paraId="06C2B3BD" w14:textId="77777777" w:rsidR="00A21B98" w:rsidRDefault="00A21B98">
      <w:pPr>
        <w:pStyle w:val="FootnoteText"/>
      </w:pPr>
      <w:r>
        <w:rPr>
          <w:rStyle w:val="FootnoteReference"/>
        </w:rPr>
        <w:footnoteRef/>
      </w:r>
      <w:r>
        <w:t xml:space="preserve"> During Level 4 stops, an individual is placed under arrest and is able to ascertain the officer’s information from </w:t>
      </w:r>
      <w:r w:rsidR="008F51A2">
        <w:t xml:space="preserve">arrest </w:t>
      </w:r>
      <w:r>
        <w:t xml:space="preserve">paperwork. Officers are not required to proactively hand out a business card during level 1 stops, but are required to provide a card if an individual requests one. </w:t>
      </w:r>
    </w:p>
  </w:footnote>
  <w:footnote w:id="7">
    <w:p w14:paraId="767609C3" w14:textId="77777777" w:rsidR="000B3DFF" w:rsidRDefault="000B3DFF">
      <w:pPr>
        <w:pStyle w:val="FootnoteText"/>
      </w:pPr>
      <w:r>
        <w:rPr>
          <w:rStyle w:val="FootnoteReference"/>
        </w:rPr>
        <w:footnoteRef/>
      </w:r>
      <w:r>
        <w:t xml:space="preserve"> Ad. Code §14-174 (a)</w:t>
      </w:r>
    </w:p>
  </w:footnote>
  <w:footnote w:id="8">
    <w:p w14:paraId="29616F35" w14:textId="77777777" w:rsidR="00394663" w:rsidRPr="00394663" w:rsidRDefault="00394663">
      <w:pPr>
        <w:pStyle w:val="FootnoteText"/>
        <w:rPr>
          <w:rFonts w:ascii="Times New Roman" w:hAnsi="Times New Roman" w:cs="Times New Roman"/>
        </w:rPr>
      </w:pPr>
      <w:r w:rsidRPr="00394663">
        <w:rPr>
          <w:rStyle w:val="FootnoteReference"/>
          <w:rFonts w:ascii="Times New Roman" w:hAnsi="Times New Roman" w:cs="Times New Roman"/>
        </w:rPr>
        <w:footnoteRef/>
      </w:r>
      <w:r w:rsidR="000A3ADF">
        <w:t xml:space="preserve"> </w:t>
      </w:r>
      <w:r w:rsidR="001D6862">
        <w:t xml:space="preserve">N.Y.C. </w:t>
      </w:r>
      <w:r w:rsidR="000B3DFF">
        <w:t xml:space="preserve">Ad. Code §14-174 </w:t>
      </w:r>
    </w:p>
  </w:footnote>
  <w:footnote w:id="9">
    <w:p w14:paraId="19F4175A" w14:textId="77777777" w:rsidR="001D6862" w:rsidRDefault="001D6862" w:rsidP="001D6862">
      <w:pPr>
        <w:pStyle w:val="FootnoteText"/>
      </w:pPr>
      <w:r>
        <w:rPr>
          <w:rStyle w:val="FootnoteReference"/>
        </w:rPr>
        <w:footnoteRef/>
      </w:r>
      <w:r>
        <w:t xml:space="preserve"> N.Y.C. Ad. Code §14-174 (f)</w:t>
      </w:r>
    </w:p>
  </w:footnote>
  <w:footnote w:id="10">
    <w:p w14:paraId="44309C08" w14:textId="77777777" w:rsidR="00B333C5" w:rsidRPr="001F7B8B" w:rsidRDefault="00B333C5">
      <w:pPr>
        <w:pStyle w:val="FootnoteText"/>
      </w:pPr>
      <w:r>
        <w:rPr>
          <w:rStyle w:val="FootnoteReference"/>
        </w:rPr>
        <w:footnoteRef/>
      </w:r>
      <w:r>
        <w:t xml:space="preserve"> Ninth Report of the Independent Monitor, January 11, 2019, p. 4, </w:t>
      </w:r>
      <w:r>
        <w:rPr>
          <w:i/>
        </w:rPr>
        <w:t xml:space="preserve">available at: </w:t>
      </w:r>
      <w:hyperlink r:id="rId3" w:history="1">
        <w:r>
          <w:rPr>
            <w:rStyle w:val="Hyperlink"/>
          </w:rPr>
          <w:t>http://nypdmonitor.org/wp-content/uploads/2019/01/2019-01-11-Combined-Ninth-Report-4.pdf</w:t>
        </w:r>
      </w:hyperlink>
    </w:p>
  </w:footnote>
  <w:footnote w:id="11">
    <w:p w14:paraId="17DEAB90" w14:textId="77777777" w:rsidR="00DF0329" w:rsidRDefault="00DF0329">
      <w:pPr>
        <w:pStyle w:val="FootnoteText"/>
      </w:pPr>
      <w:r>
        <w:rPr>
          <w:rStyle w:val="FootnoteReference"/>
        </w:rPr>
        <w:footnoteRef/>
      </w:r>
      <w:r>
        <w:t xml:space="preserve"> Local Law 56 of 2018 </w:t>
      </w:r>
    </w:p>
  </w:footnote>
  <w:footnote w:id="12">
    <w:p w14:paraId="54685FD2" w14:textId="77777777" w:rsidR="00DF0329" w:rsidRDefault="00DF0329">
      <w:pPr>
        <w:pStyle w:val="FootnoteText"/>
      </w:pPr>
      <w:r>
        <w:rPr>
          <w:rStyle w:val="FootnoteReference"/>
        </w:rPr>
        <w:footnoteRef/>
      </w:r>
      <w:r>
        <w:t xml:space="preserve"> </w:t>
      </w:r>
      <w:r w:rsidR="000A3ADF">
        <w:t xml:space="preserve">N.Y.C. Ad. Code §14-173 </w:t>
      </w:r>
    </w:p>
  </w:footnote>
  <w:footnote w:id="13">
    <w:p w14:paraId="4330D115" w14:textId="77777777" w:rsidR="008825AF" w:rsidRDefault="008825AF">
      <w:pPr>
        <w:pStyle w:val="FootnoteText"/>
      </w:pPr>
      <w:r>
        <w:rPr>
          <w:rStyle w:val="FootnoteReference"/>
        </w:rPr>
        <w:footnoteRef/>
      </w:r>
      <w:r>
        <w:t xml:space="preserve"> The department must</w:t>
      </w:r>
      <w:r w:rsidRPr="008825AF">
        <w:t xml:space="preserve"> develop a procedure if body worn cameras are not supplied by the de</w:t>
      </w:r>
      <w:r>
        <w:t xml:space="preserve">partment or are no longer used. </w:t>
      </w:r>
    </w:p>
  </w:footnote>
  <w:footnote w:id="14">
    <w:p w14:paraId="42D1EBA5" w14:textId="77777777" w:rsidR="00DF0329" w:rsidRDefault="00DF0329">
      <w:pPr>
        <w:pStyle w:val="FootnoteText"/>
      </w:pPr>
      <w:r>
        <w:rPr>
          <w:rStyle w:val="FootnoteReference"/>
        </w:rPr>
        <w:footnoteRef/>
      </w:r>
      <w:r>
        <w:t xml:space="preserve"> </w:t>
      </w:r>
      <w:r w:rsidR="000A3ADF">
        <w:t xml:space="preserve">N.Y.C. Ad. Code §14-173 </w:t>
      </w:r>
    </w:p>
  </w:footnote>
  <w:footnote w:id="15">
    <w:p w14:paraId="0A49EAB1" w14:textId="77777777" w:rsidR="00DF0329" w:rsidRDefault="00DF0329">
      <w:pPr>
        <w:pStyle w:val="FootnoteText"/>
      </w:pPr>
      <w:r>
        <w:rPr>
          <w:rStyle w:val="FootnoteReference"/>
        </w:rPr>
        <w:footnoteRef/>
      </w:r>
      <w:r>
        <w:t xml:space="preserve"> </w:t>
      </w:r>
      <w:r w:rsidR="000A3ADF">
        <w:t xml:space="preserve">N.Y.C. Ad. Code §14-173 </w:t>
      </w:r>
    </w:p>
  </w:footnote>
  <w:footnote w:id="16">
    <w:p w14:paraId="68582DE0" w14:textId="77777777" w:rsidR="00BB3D2F" w:rsidRPr="001F7B8B" w:rsidRDefault="00BB3D2F" w:rsidP="00BB3D2F">
      <w:pPr>
        <w:pStyle w:val="FootnoteText"/>
      </w:pPr>
      <w:r>
        <w:rPr>
          <w:rStyle w:val="FootnoteReference"/>
        </w:rPr>
        <w:footnoteRef/>
      </w:r>
      <w:r>
        <w:t xml:space="preserve"> NYPD Patrol Guide Section 212-11, </w:t>
      </w:r>
      <w:r>
        <w:rPr>
          <w:i/>
        </w:rPr>
        <w:t>available at</w:t>
      </w:r>
      <w:r>
        <w:t xml:space="preserve"> </w:t>
      </w:r>
      <w:hyperlink r:id="rId4" w:history="1">
        <w:r>
          <w:rPr>
            <w:rStyle w:val="Hyperlink"/>
          </w:rPr>
          <w:t>https://www1.nyc.gov/assets/nypd/downloads/pdf/public_information/public-pguide2.pdf</w:t>
        </w:r>
      </w:hyperlink>
    </w:p>
  </w:footnote>
  <w:footnote w:id="17">
    <w:p w14:paraId="07A527B8" w14:textId="77777777" w:rsidR="00B44E55" w:rsidRDefault="00B44E55">
      <w:pPr>
        <w:pStyle w:val="FootnoteText"/>
      </w:pPr>
      <w:r>
        <w:rPr>
          <w:rStyle w:val="FootnoteReference"/>
        </w:rPr>
        <w:footnoteRef/>
      </w:r>
      <w:r>
        <w:t xml:space="preserve"> The law took effect on October 19, 2018. This data does not account for a full quarter. </w:t>
      </w:r>
    </w:p>
  </w:footnote>
  <w:footnote w:id="18">
    <w:p w14:paraId="65F1639B" w14:textId="77777777" w:rsidR="00D027F0" w:rsidRDefault="00D027F0">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4061"/>
    <w:multiLevelType w:val="hybridMultilevel"/>
    <w:tmpl w:val="07AC9EE8"/>
    <w:lvl w:ilvl="0" w:tplc="08085B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785562"/>
    <w:multiLevelType w:val="hybridMultilevel"/>
    <w:tmpl w:val="023E51AC"/>
    <w:lvl w:ilvl="0" w:tplc="27DA5A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553DD"/>
    <w:multiLevelType w:val="hybridMultilevel"/>
    <w:tmpl w:val="5FBAC7DC"/>
    <w:lvl w:ilvl="0" w:tplc="CE066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AD757A"/>
    <w:multiLevelType w:val="hybridMultilevel"/>
    <w:tmpl w:val="DE70FE16"/>
    <w:lvl w:ilvl="0" w:tplc="5F440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DE"/>
    <w:rsid w:val="00031C9E"/>
    <w:rsid w:val="0005789E"/>
    <w:rsid w:val="00060CE9"/>
    <w:rsid w:val="00082AAC"/>
    <w:rsid w:val="000A3ADF"/>
    <w:rsid w:val="000B3DFF"/>
    <w:rsid w:val="000B7FE0"/>
    <w:rsid w:val="00152983"/>
    <w:rsid w:val="001D6862"/>
    <w:rsid w:val="001F7B8B"/>
    <w:rsid w:val="00206518"/>
    <w:rsid w:val="00207013"/>
    <w:rsid w:val="00222C09"/>
    <w:rsid w:val="00257692"/>
    <w:rsid w:val="002E4E5D"/>
    <w:rsid w:val="00324FDE"/>
    <w:rsid w:val="0036405C"/>
    <w:rsid w:val="00371E8E"/>
    <w:rsid w:val="00394663"/>
    <w:rsid w:val="003D3BF2"/>
    <w:rsid w:val="003E7FC4"/>
    <w:rsid w:val="00414029"/>
    <w:rsid w:val="004748F1"/>
    <w:rsid w:val="004C6278"/>
    <w:rsid w:val="004D69CF"/>
    <w:rsid w:val="005E409D"/>
    <w:rsid w:val="0062370B"/>
    <w:rsid w:val="00623CF2"/>
    <w:rsid w:val="00642236"/>
    <w:rsid w:val="00694446"/>
    <w:rsid w:val="006D2D86"/>
    <w:rsid w:val="006D4F43"/>
    <w:rsid w:val="006E54E5"/>
    <w:rsid w:val="00712A47"/>
    <w:rsid w:val="007933C3"/>
    <w:rsid w:val="00793582"/>
    <w:rsid w:val="007E782E"/>
    <w:rsid w:val="008825AF"/>
    <w:rsid w:val="00894035"/>
    <w:rsid w:val="008B3283"/>
    <w:rsid w:val="008F51A2"/>
    <w:rsid w:val="00986584"/>
    <w:rsid w:val="00A133F0"/>
    <w:rsid w:val="00A2110E"/>
    <w:rsid w:val="00A21B98"/>
    <w:rsid w:val="00A70531"/>
    <w:rsid w:val="00AC59E1"/>
    <w:rsid w:val="00AE7EF3"/>
    <w:rsid w:val="00B065E2"/>
    <w:rsid w:val="00B333C5"/>
    <w:rsid w:val="00B33C30"/>
    <w:rsid w:val="00B44E55"/>
    <w:rsid w:val="00BB3D2F"/>
    <w:rsid w:val="00BF2894"/>
    <w:rsid w:val="00C42E4F"/>
    <w:rsid w:val="00C90735"/>
    <w:rsid w:val="00D027F0"/>
    <w:rsid w:val="00D271CC"/>
    <w:rsid w:val="00D42ED5"/>
    <w:rsid w:val="00D44056"/>
    <w:rsid w:val="00D96C38"/>
    <w:rsid w:val="00DD41E1"/>
    <w:rsid w:val="00DF0329"/>
    <w:rsid w:val="00E069DF"/>
    <w:rsid w:val="00E12A2D"/>
    <w:rsid w:val="00E51F95"/>
    <w:rsid w:val="00EA4118"/>
    <w:rsid w:val="00EC2324"/>
    <w:rsid w:val="00ED3DE1"/>
    <w:rsid w:val="00F21F86"/>
    <w:rsid w:val="00F42FA3"/>
    <w:rsid w:val="00F615D4"/>
    <w:rsid w:val="00F7140A"/>
    <w:rsid w:val="00FA2A51"/>
    <w:rsid w:val="00FA4454"/>
    <w:rsid w:val="00FB3382"/>
    <w:rsid w:val="00FE3C98"/>
    <w:rsid w:val="00FE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52D3F"/>
  <w15:chartTrackingRefBased/>
  <w15:docId w15:val="{3BBA7214-3260-4209-A1B6-D1A40504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DE"/>
    <w:pPr>
      <w:ind w:left="720"/>
      <w:contextualSpacing/>
    </w:pPr>
  </w:style>
  <w:style w:type="paragraph" w:styleId="FootnoteText">
    <w:name w:val="footnote text"/>
    <w:basedOn w:val="Normal"/>
    <w:link w:val="FootnoteTextChar"/>
    <w:uiPriority w:val="99"/>
    <w:semiHidden/>
    <w:unhideWhenUsed/>
    <w:rsid w:val="00AE7EF3"/>
    <w:rPr>
      <w:sz w:val="20"/>
      <w:szCs w:val="20"/>
    </w:rPr>
  </w:style>
  <w:style w:type="character" w:customStyle="1" w:styleId="FootnoteTextChar">
    <w:name w:val="Footnote Text Char"/>
    <w:basedOn w:val="DefaultParagraphFont"/>
    <w:link w:val="FootnoteText"/>
    <w:uiPriority w:val="99"/>
    <w:semiHidden/>
    <w:rsid w:val="00AE7EF3"/>
    <w:rPr>
      <w:sz w:val="20"/>
      <w:szCs w:val="20"/>
    </w:rPr>
  </w:style>
  <w:style w:type="character" w:styleId="FootnoteReference">
    <w:name w:val="footnote reference"/>
    <w:uiPriority w:val="99"/>
    <w:unhideWhenUsed/>
    <w:rsid w:val="00AE7EF3"/>
    <w:rPr>
      <w:vertAlign w:val="superscript"/>
    </w:rPr>
  </w:style>
  <w:style w:type="character" w:styleId="Hyperlink">
    <w:name w:val="Hyperlink"/>
    <w:basedOn w:val="DefaultParagraphFont"/>
    <w:uiPriority w:val="99"/>
    <w:unhideWhenUsed/>
    <w:rsid w:val="00F21F86"/>
    <w:rPr>
      <w:color w:val="0000FF"/>
      <w:u w:val="single"/>
    </w:rPr>
  </w:style>
  <w:style w:type="paragraph" w:styleId="NormalWeb">
    <w:name w:val="Normal (Web)"/>
    <w:basedOn w:val="Normal"/>
    <w:uiPriority w:val="99"/>
    <w:semiHidden/>
    <w:unhideWhenUsed/>
    <w:rsid w:val="00712A4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14029"/>
    <w:rPr>
      <w:color w:val="954F72" w:themeColor="followedHyperlink"/>
      <w:u w:val="single"/>
    </w:rPr>
  </w:style>
  <w:style w:type="table" w:styleId="TableGrid">
    <w:name w:val="Table Grid"/>
    <w:basedOn w:val="TableNormal"/>
    <w:uiPriority w:val="39"/>
    <w:rsid w:val="000B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B8B"/>
    <w:rPr>
      <w:rFonts w:ascii="Segoe UI" w:hAnsi="Segoe UI" w:cs="Segoe UI"/>
      <w:sz w:val="18"/>
      <w:szCs w:val="18"/>
    </w:rPr>
  </w:style>
  <w:style w:type="paragraph" w:styleId="Header">
    <w:name w:val="header"/>
    <w:basedOn w:val="Normal"/>
    <w:link w:val="HeaderChar"/>
    <w:uiPriority w:val="99"/>
    <w:unhideWhenUsed/>
    <w:rsid w:val="00AC59E1"/>
    <w:pPr>
      <w:tabs>
        <w:tab w:val="center" w:pos="4680"/>
        <w:tab w:val="right" w:pos="9360"/>
      </w:tabs>
    </w:pPr>
  </w:style>
  <w:style w:type="character" w:customStyle="1" w:styleId="HeaderChar">
    <w:name w:val="Header Char"/>
    <w:basedOn w:val="DefaultParagraphFont"/>
    <w:link w:val="Header"/>
    <w:uiPriority w:val="99"/>
    <w:rsid w:val="00AC59E1"/>
    <w:rPr>
      <w:sz w:val="24"/>
      <w:szCs w:val="24"/>
    </w:rPr>
  </w:style>
  <w:style w:type="paragraph" w:styleId="Footer">
    <w:name w:val="footer"/>
    <w:basedOn w:val="Normal"/>
    <w:link w:val="FooterChar"/>
    <w:uiPriority w:val="99"/>
    <w:unhideWhenUsed/>
    <w:rsid w:val="00AC59E1"/>
    <w:pPr>
      <w:tabs>
        <w:tab w:val="center" w:pos="4680"/>
        <w:tab w:val="right" w:pos="9360"/>
      </w:tabs>
    </w:pPr>
  </w:style>
  <w:style w:type="character" w:customStyle="1" w:styleId="FooterChar">
    <w:name w:val="Footer Char"/>
    <w:basedOn w:val="DefaultParagraphFont"/>
    <w:link w:val="Footer"/>
    <w:uiPriority w:val="99"/>
    <w:rsid w:val="00AC59E1"/>
    <w:rPr>
      <w:sz w:val="24"/>
      <w:szCs w:val="24"/>
    </w:rPr>
  </w:style>
  <w:style w:type="character" w:styleId="CommentReference">
    <w:name w:val="annotation reference"/>
    <w:basedOn w:val="DefaultParagraphFont"/>
    <w:uiPriority w:val="99"/>
    <w:semiHidden/>
    <w:unhideWhenUsed/>
    <w:rsid w:val="004D69CF"/>
    <w:rPr>
      <w:sz w:val="16"/>
      <w:szCs w:val="16"/>
    </w:rPr>
  </w:style>
  <w:style w:type="paragraph" w:styleId="CommentText">
    <w:name w:val="annotation text"/>
    <w:basedOn w:val="Normal"/>
    <w:link w:val="CommentTextChar"/>
    <w:uiPriority w:val="99"/>
    <w:semiHidden/>
    <w:unhideWhenUsed/>
    <w:rsid w:val="004D69CF"/>
    <w:rPr>
      <w:sz w:val="20"/>
      <w:szCs w:val="20"/>
    </w:rPr>
  </w:style>
  <w:style w:type="character" w:customStyle="1" w:styleId="CommentTextChar">
    <w:name w:val="Comment Text Char"/>
    <w:basedOn w:val="DefaultParagraphFont"/>
    <w:link w:val="CommentText"/>
    <w:uiPriority w:val="99"/>
    <w:semiHidden/>
    <w:rsid w:val="004D69CF"/>
    <w:rPr>
      <w:sz w:val="20"/>
      <w:szCs w:val="20"/>
    </w:rPr>
  </w:style>
  <w:style w:type="paragraph" w:styleId="CommentSubject">
    <w:name w:val="annotation subject"/>
    <w:basedOn w:val="CommentText"/>
    <w:next w:val="CommentText"/>
    <w:link w:val="CommentSubjectChar"/>
    <w:uiPriority w:val="99"/>
    <w:semiHidden/>
    <w:unhideWhenUsed/>
    <w:rsid w:val="004D69CF"/>
    <w:rPr>
      <w:b/>
      <w:bCs/>
    </w:rPr>
  </w:style>
  <w:style w:type="character" w:customStyle="1" w:styleId="CommentSubjectChar">
    <w:name w:val="Comment Subject Char"/>
    <w:basedOn w:val="CommentTextChar"/>
    <w:link w:val="CommentSubject"/>
    <w:uiPriority w:val="99"/>
    <w:semiHidden/>
    <w:rsid w:val="004D6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0511">
      <w:bodyDiv w:val="1"/>
      <w:marLeft w:val="0"/>
      <w:marRight w:val="0"/>
      <w:marTop w:val="0"/>
      <w:marBottom w:val="0"/>
      <w:divBdr>
        <w:top w:val="none" w:sz="0" w:space="0" w:color="auto"/>
        <w:left w:val="none" w:sz="0" w:space="0" w:color="auto"/>
        <w:bottom w:val="none" w:sz="0" w:space="0" w:color="auto"/>
        <w:right w:val="none" w:sz="0" w:space="0" w:color="auto"/>
      </w:divBdr>
    </w:div>
    <w:div w:id="1445149692">
      <w:bodyDiv w:val="1"/>
      <w:marLeft w:val="0"/>
      <w:marRight w:val="0"/>
      <w:marTop w:val="0"/>
      <w:marBottom w:val="0"/>
      <w:divBdr>
        <w:top w:val="none" w:sz="0" w:space="0" w:color="auto"/>
        <w:left w:val="none" w:sz="0" w:space="0" w:color="auto"/>
        <w:bottom w:val="none" w:sz="0" w:space="0" w:color="auto"/>
        <w:right w:val="none" w:sz="0" w:space="0" w:color="auto"/>
      </w:divBdr>
    </w:div>
    <w:div w:id="1650748511">
      <w:bodyDiv w:val="1"/>
      <w:marLeft w:val="0"/>
      <w:marRight w:val="0"/>
      <w:marTop w:val="0"/>
      <w:marBottom w:val="0"/>
      <w:divBdr>
        <w:top w:val="none" w:sz="0" w:space="0" w:color="auto"/>
        <w:left w:val="none" w:sz="0" w:space="0" w:color="auto"/>
        <w:bottom w:val="none" w:sz="0" w:space="0" w:color="auto"/>
        <w:right w:val="none" w:sz="0" w:space="0" w:color="auto"/>
      </w:divBdr>
    </w:div>
    <w:div w:id="1805611899">
      <w:bodyDiv w:val="1"/>
      <w:marLeft w:val="0"/>
      <w:marRight w:val="0"/>
      <w:marTop w:val="0"/>
      <w:marBottom w:val="0"/>
      <w:divBdr>
        <w:top w:val="none" w:sz="0" w:space="0" w:color="auto"/>
        <w:left w:val="none" w:sz="0" w:space="0" w:color="auto"/>
        <w:bottom w:val="none" w:sz="0" w:space="0" w:color="auto"/>
        <w:right w:val="none" w:sz="0" w:space="0" w:color="auto"/>
      </w:divBdr>
    </w:div>
    <w:div w:id="18348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ypdmonitor.org/wp-content/uploads/2019/01/2019-01-11-Combined-Ninth-Report-4.pdf" TargetMode="External"/><Relationship Id="rId2" Type="http://schemas.openxmlformats.org/officeDocument/2006/relationships/hyperlink" Target="http://www.nysd.uscourts.gov/cases/show.php?db=special&amp;id=317" TargetMode="External"/><Relationship Id="rId1" Type="http://schemas.openxmlformats.org/officeDocument/2006/relationships/hyperlink" Target="http://www.nysd.uscourts.gov/cases/show.php?db=special&amp;id=317" TargetMode="External"/><Relationship Id="rId4" Type="http://schemas.openxmlformats.org/officeDocument/2006/relationships/hyperlink" Target="https://www1.nyc.gov/assets/nypd/downloads/pdf/public_information/public-pguid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D545-A737-407E-B9AA-490FD43D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3100</Words>
  <Characters>17673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2019-04-26T03:20:00Z</cp:lastPrinted>
  <dcterms:created xsi:type="dcterms:W3CDTF">2019-04-30T15:47:00Z</dcterms:created>
  <dcterms:modified xsi:type="dcterms:W3CDTF">2019-04-30T15:47:00Z</dcterms:modified>
</cp:coreProperties>
</file>