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9E2D7B">
        <w:rPr>
          <w:b/>
          <w:sz w:val="24"/>
          <w:szCs w:val="24"/>
        </w:rPr>
        <w:t>362</w:t>
      </w:r>
      <w:r w:rsidR="0018753D">
        <w:rPr>
          <w:b/>
          <w:sz w:val="24"/>
          <w:szCs w:val="24"/>
        </w:rPr>
        <w:t xml:space="preserve"> through </w:t>
      </w:r>
      <w:r w:rsidR="009E2D7B">
        <w:rPr>
          <w:b/>
          <w:sz w:val="24"/>
          <w:szCs w:val="24"/>
        </w:rPr>
        <w:t>365</w:t>
      </w:r>
    </w:p>
    <w:p w:rsidR="00562122" w:rsidRPr="00AC55AD" w:rsidRDefault="00562122">
      <w:pPr>
        <w:jc w:val="center"/>
        <w:rPr>
          <w:b/>
          <w:sz w:val="24"/>
          <w:szCs w:val="24"/>
        </w:rPr>
      </w:pPr>
      <w:r>
        <w:rPr>
          <w:b/>
          <w:sz w:val="24"/>
          <w:szCs w:val="24"/>
        </w:rPr>
        <w:t xml:space="preserve">(Res. Nos. </w:t>
      </w:r>
      <w:r w:rsidR="00D469DD">
        <w:rPr>
          <w:b/>
          <w:sz w:val="24"/>
          <w:szCs w:val="24"/>
        </w:rPr>
        <w:t>831</w:t>
      </w:r>
      <w:r>
        <w:rPr>
          <w:b/>
          <w:sz w:val="24"/>
          <w:szCs w:val="24"/>
        </w:rPr>
        <w:t xml:space="preserve"> </w:t>
      </w:r>
      <w:r w:rsidR="0051200E">
        <w:rPr>
          <w:b/>
          <w:sz w:val="24"/>
          <w:szCs w:val="24"/>
        </w:rPr>
        <w:t>through</w:t>
      </w:r>
      <w:r>
        <w:rPr>
          <w:b/>
          <w:sz w:val="24"/>
          <w:szCs w:val="24"/>
        </w:rPr>
        <w:t xml:space="preserve"> </w:t>
      </w:r>
      <w:r w:rsidR="00D469DD">
        <w:rPr>
          <w:b/>
          <w:sz w:val="24"/>
          <w:szCs w:val="24"/>
        </w:rPr>
        <w:t>834</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Pr="00AB6134" w:rsidRDefault="008A70CC" w:rsidP="008A70CC">
      <w:pPr>
        <w:tabs>
          <w:tab w:val="left" w:pos="2340"/>
          <w:tab w:val="left" w:pos="7020"/>
        </w:tabs>
        <w:ind w:left="2340" w:hanging="2340"/>
        <w:jc w:val="both"/>
        <w:rPr>
          <w:b/>
          <w:sz w:val="24"/>
          <w:szCs w:val="24"/>
        </w:rPr>
      </w:pPr>
      <w:r w:rsidRPr="00AB6134">
        <w:rPr>
          <w:b/>
          <w:sz w:val="24"/>
          <w:szCs w:val="24"/>
        </w:rPr>
        <w:t>BROOKLYN</w:t>
      </w:r>
      <w:r w:rsidR="00C82611" w:rsidRPr="00AB6134">
        <w:rPr>
          <w:b/>
          <w:sz w:val="24"/>
          <w:szCs w:val="24"/>
        </w:rPr>
        <w:t xml:space="preserve"> CB</w:t>
      </w:r>
      <w:r w:rsidR="0051200E" w:rsidRPr="00AB6134">
        <w:rPr>
          <w:b/>
          <w:sz w:val="24"/>
          <w:szCs w:val="24"/>
        </w:rPr>
        <w:t>-</w:t>
      </w:r>
      <w:r w:rsidRPr="00AB6134">
        <w:rPr>
          <w:b/>
          <w:sz w:val="24"/>
          <w:szCs w:val="24"/>
        </w:rPr>
        <w:t>2</w:t>
      </w:r>
      <w:r w:rsidR="0051200E" w:rsidRPr="00AB6134">
        <w:rPr>
          <w:b/>
          <w:sz w:val="24"/>
          <w:szCs w:val="24"/>
        </w:rPr>
        <w:t xml:space="preserve"> </w:t>
      </w:r>
      <w:r w:rsidR="00562122" w:rsidRPr="00AB6134">
        <w:rPr>
          <w:b/>
          <w:sz w:val="24"/>
          <w:szCs w:val="24"/>
        </w:rPr>
        <w:t xml:space="preserve"> </w:t>
      </w:r>
      <w:r w:rsidR="007D048A" w:rsidRPr="00AB6134">
        <w:rPr>
          <w:b/>
          <w:sz w:val="24"/>
          <w:szCs w:val="24"/>
        </w:rPr>
        <w:t>-</w:t>
      </w:r>
      <w:r w:rsidR="0051200E" w:rsidRPr="00AB6134">
        <w:rPr>
          <w:b/>
          <w:sz w:val="24"/>
          <w:szCs w:val="24"/>
        </w:rPr>
        <w:t xml:space="preserve"> </w:t>
      </w:r>
      <w:r w:rsidR="00A91F53" w:rsidRPr="00AB6134">
        <w:rPr>
          <w:b/>
          <w:sz w:val="24"/>
          <w:szCs w:val="24"/>
        </w:rPr>
        <w:t xml:space="preserve"> </w:t>
      </w:r>
      <w:r w:rsidRPr="00AB6134">
        <w:rPr>
          <w:b/>
          <w:sz w:val="24"/>
          <w:szCs w:val="24"/>
        </w:rPr>
        <w:t>FOUR</w:t>
      </w:r>
      <w:r w:rsidR="0051200E" w:rsidRPr="00AB6134">
        <w:rPr>
          <w:b/>
          <w:sz w:val="24"/>
          <w:szCs w:val="24"/>
        </w:rPr>
        <w:t xml:space="preserve"> </w:t>
      </w:r>
      <w:r w:rsidR="00C82611" w:rsidRPr="00AB6134">
        <w:rPr>
          <w:b/>
          <w:sz w:val="24"/>
          <w:szCs w:val="24"/>
        </w:rPr>
        <w:t xml:space="preserve">APPLICATIONS RELATED TO </w:t>
      </w:r>
      <w:r w:rsidRPr="00AB6134">
        <w:rPr>
          <w:b/>
          <w:sz w:val="24"/>
          <w:szCs w:val="24"/>
        </w:rPr>
        <w:t>809 ATLANTIC AVENUE REZONING</w:t>
      </w:r>
    </w:p>
    <w:p w:rsidR="00562122" w:rsidRDefault="00562122" w:rsidP="00E22AC6">
      <w:pPr>
        <w:tabs>
          <w:tab w:val="left" w:pos="7020"/>
        </w:tabs>
        <w:jc w:val="both"/>
        <w:rPr>
          <w:b/>
          <w:sz w:val="24"/>
          <w:szCs w:val="24"/>
        </w:rPr>
      </w:pPr>
    </w:p>
    <w:p w:rsidR="0018753D" w:rsidRPr="008A70CC" w:rsidRDefault="008A70CC" w:rsidP="00E22AC6">
      <w:pPr>
        <w:tabs>
          <w:tab w:val="left" w:pos="7020"/>
        </w:tabs>
        <w:jc w:val="both"/>
        <w:rPr>
          <w:b/>
          <w:sz w:val="24"/>
          <w:szCs w:val="24"/>
        </w:rPr>
      </w:pPr>
      <w:r w:rsidRPr="008A70CC">
        <w:rPr>
          <w:b/>
          <w:sz w:val="24"/>
          <w:szCs w:val="24"/>
        </w:rPr>
        <w:t>C 190071 ZMK</w:t>
      </w:r>
      <w:r w:rsidR="0018753D" w:rsidRPr="008A70CC">
        <w:rPr>
          <w:b/>
          <w:sz w:val="24"/>
          <w:szCs w:val="24"/>
        </w:rPr>
        <w:t xml:space="preserve"> (L.U. No. </w:t>
      </w:r>
      <w:r>
        <w:rPr>
          <w:b/>
          <w:sz w:val="24"/>
          <w:szCs w:val="24"/>
        </w:rPr>
        <w:t>362</w:t>
      </w:r>
      <w:r w:rsidR="0018753D" w:rsidRPr="008A70CC">
        <w:rPr>
          <w:b/>
          <w:sz w:val="24"/>
          <w:szCs w:val="24"/>
        </w:rPr>
        <w:t>)</w:t>
      </w:r>
    </w:p>
    <w:p w:rsidR="0018753D" w:rsidRDefault="0018753D" w:rsidP="00E22AC6">
      <w:pPr>
        <w:tabs>
          <w:tab w:val="left" w:pos="7020"/>
        </w:tabs>
        <w:jc w:val="both"/>
        <w:rPr>
          <w:sz w:val="24"/>
          <w:szCs w:val="24"/>
        </w:rPr>
      </w:pPr>
    </w:p>
    <w:p w:rsidR="008A70CC" w:rsidRPr="008A70CC" w:rsidRDefault="0018753D" w:rsidP="008A70CC">
      <w:pPr>
        <w:jc w:val="both"/>
        <w:rPr>
          <w:sz w:val="24"/>
          <w:szCs w:val="24"/>
        </w:rPr>
      </w:pPr>
      <w:r>
        <w:rPr>
          <w:sz w:val="24"/>
          <w:szCs w:val="24"/>
        </w:rPr>
        <w:tab/>
      </w:r>
      <w:r w:rsidR="00C169E0" w:rsidRPr="00C169E0">
        <w:rPr>
          <w:sz w:val="24"/>
          <w:szCs w:val="24"/>
        </w:rPr>
        <w:t>City Planning Commission decision approving an application</w:t>
      </w:r>
      <w:r w:rsidR="00C169E0">
        <w:rPr>
          <w:sz w:val="24"/>
          <w:szCs w:val="24"/>
        </w:rPr>
        <w:t xml:space="preserve"> </w:t>
      </w:r>
      <w:r w:rsidR="008A70CC" w:rsidRPr="008A70CC">
        <w:rPr>
          <w:sz w:val="24"/>
          <w:szCs w:val="24"/>
        </w:rPr>
        <w:t>submitted by 550 Clinton Partners</w:t>
      </w:r>
      <w:r w:rsidR="003574CE">
        <w:rPr>
          <w:sz w:val="24"/>
          <w:szCs w:val="24"/>
        </w:rPr>
        <w:t>,</w:t>
      </w:r>
      <w:r w:rsidR="008A70CC" w:rsidRPr="008A70CC">
        <w:rPr>
          <w:sz w:val="24"/>
          <w:szCs w:val="24"/>
        </w:rPr>
        <w:t xml:space="preserve"> LLC</w:t>
      </w:r>
      <w:r w:rsidR="003574CE">
        <w:rPr>
          <w:sz w:val="24"/>
          <w:szCs w:val="24"/>
        </w:rPr>
        <w:t>,</w:t>
      </w:r>
      <w:r w:rsidR="008A70CC" w:rsidRPr="008A70CC">
        <w:rPr>
          <w:sz w:val="24"/>
          <w:szCs w:val="24"/>
        </w:rPr>
        <w:t xml:space="preserve"> and 539 Vanderbilt Partners</w:t>
      </w:r>
      <w:r w:rsidR="003574CE">
        <w:rPr>
          <w:sz w:val="24"/>
          <w:szCs w:val="24"/>
        </w:rPr>
        <w:t>,</w:t>
      </w:r>
      <w:r w:rsidR="008A70CC" w:rsidRPr="008A70CC">
        <w:rPr>
          <w:sz w:val="24"/>
          <w:szCs w:val="24"/>
        </w:rPr>
        <w:t xml:space="preserve"> LLC</w:t>
      </w:r>
      <w:r w:rsidR="003574CE">
        <w:rPr>
          <w:sz w:val="24"/>
          <w:szCs w:val="24"/>
        </w:rPr>
        <w:t>,</w:t>
      </w:r>
      <w:r w:rsidR="008A70CC" w:rsidRPr="008A70CC">
        <w:rPr>
          <w:sz w:val="24"/>
          <w:szCs w:val="24"/>
        </w:rPr>
        <w:t xml:space="preserve"> pursuant to Sections 197-c and 201 of the New York City Charter for an amendment of the Zoning Map, Section No. 16c:</w:t>
      </w:r>
    </w:p>
    <w:p w:rsidR="008A70CC" w:rsidRPr="008A70CC" w:rsidRDefault="008A70CC" w:rsidP="008A70CC">
      <w:pPr>
        <w:widowControl w:val="0"/>
        <w:autoSpaceDE w:val="0"/>
        <w:autoSpaceDN w:val="0"/>
        <w:adjustRightInd w:val="0"/>
        <w:jc w:val="both"/>
        <w:rPr>
          <w:sz w:val="24"/>
          <w:szCs w:val="24"/>
        </w:rPr>
      </w:pPr>
    </w:p>
    <w:p w:rsidR="008A70CC" w:rsidRPr="008A70CC" w:rsidRDefault="008A70CC" w:rsidP="008A70CC">
      <w:pPr>
        <w:widowControl w:val="0"/>
        <w:numPr>
          <w:ilvl w:val="0"/>
          <w:numId w:val="11"/>
        </w:numPr>
        <w:tabs>
          <w:tab w:val="left" w:pos="720"/>
        </w:tabs>
        <w:autoSpaceDE w:val="0"/>
        <w:autoSpaceDN w:val="0"/>
        <w:adjustRightInd w:val="0"/>
        <w:spacing w:after="120"/>
        <w:ind w:hanging="720"/>
        <w:contextualSpacing/>
        <w:jc w:val="both"/>
        <w:rPr>
          <w:bCs/>
          <w:sz w:val="24"/>
          <w:szCs w:val="24"/>
        </w:rPr>
      </w:pPr>
      <w:r w:rsidRPr="008A70CC">
        <w:rPr>
          <w:bCs/>
          <w:sz w:val="24"/>
          <w:szCs w:val="24"/>
        </w:rPr>
        <w:t>eliminating from within an existing R7A District a C2-4 District bounded by a line 100 feet northerly of Atlantic Avenue, Clinton Avenue, Atlantic Avenue, and Vanderbilt Avenue;</w:t>
      </w:r>
    </w:p>
    <w:p w:rsidR="008A70CC" w:rsidRPr="008A70CC" w:rsidRDefault="008A70CC" w:rsidP="008A70CC">
      <w:pPr>
        <w:spacing w:after="120"/>
        <w:ind w:left="720"/>
        <w:contextualSpacing/>
        <w:jc w:val="both"/>
        <w:rPr>
          <w:bCs/>
          <w:sz w:val="24"/>
          <w:szCs w:val="24"/>
        </w:rPr>
      </w:pPr>
    </w:p>
    <w:p w:rsidR="008A70CC" w:rsidRPr="008A70CC" w:rsidRDefault="008A70CC" w:rsidP="008A70CC">
      <w:pPr>
        <w:widowControl w:val="0"/>
        <w:numPr>
          <w:ilvl w:val="0"/>
          <w:numId w:val="11"/>
        </w:numPr>
        <w:tabs>
          <w:tab w:val="left" w:pos="720"/>
        </w:tabs>
        <w:autoSpaceDE w:val="0"/>
        <w:autoSpaceDN w:val="0"/>
        <w:adjustRightInd w:val="0"/>
        <w:ind w:hanging="720"/>
        <w:contextualSpacing/>
        <w:jc w:val="both"/>
        <w:rPr>
          <w:bCs/>
          <w:sz w:val="24"/>
          <w:szCs w:val="24"/>
        </w:rPr>
      </w:pPr>
      <w:r w:rsidRPr="008A70CC">
        <w:rPr>
          <w:bCs/>
          <w:sz w:val="24"/>
          <w:szCs w:val="24"/>
        </w:rPr>
        <w:t>changing from an R7A District to an R6A District property bounded by a line 100 feet northerly of Atlantic Avenue, a line perpendicular to the westerly street line of Clinton Avenue distant 100 feet northerly (as measured along the street line) from the point of intersection of northerly street line of Atlantic Avenue and the westerly street line of Clinton Avenue, and a line midway between Vanderbilt Avenue and Clinton Avenue;</w:t>
      </w:r>
    </w:p>
    <w:p w:rsidR="008A70CC" w:rsidRPr="008A70CC" w:rsidRDefault="008A70CC" w:rsidP="008A70CC">
      <w:pPr>
        <w:widowControl w:val="0"/>
        <w:autoSpaceDE w:val="0"/>
        <w:autoSpaceDN w:val="0"/>
        <w:adjustRightInd w:val="0"/>
        <w:jc w:val="both"/>
        <w:rPr>
          <w:bCs/>
          <w:sz w:val="24"/>
          <w:szCs w:val="24"/>
        </w:rPr>
      </w:pPr>
    </w:p>
    <w:p w:rsidR="008A70CC" w:rsidRPr="008A70CC" w:rsidRDefault="008A70CC" w:rsidP="008A70CC">
      <w:pPr>
        <w:widowControl w:val="0"/>
        <w:numPr>
          <w:ilvl w:val="0"/>
          <w:numId w:val="11"/>
        </w:numPr>
        <w:tabs>
          <w:tab w:val="left" w:pos="720"/>
        </w:tabs>
        <w:autoSpaceDE w:val="0"/>
        <w:autoSpaceDN w:val="0"/>
        <w:adjustRightInd w:val="0"/>
        <w:ind w:hanging="720"/>
        <w:contextualSpacing/>
        <w:jc w:val="both"/>
        <w:rPr>
          <w:bCs/>
          <w:sz w:val="24"/>
          <w:szCs w:val="24"/>
        </w:rPr>
      </w:pPr>
      <w:r w:rsidRPr="008A70CC">
        <w:rPr>
          <w:bCs/>
          <w:sz w:val="24"/>
          <w:szCs w:val="24"/>
        </w:rPr>
        <w:t>changing from an R6A District to an R9 District property bounded by:</w:t>
      </w:r>
    </w:p>
    <w:p w:rsidR="008A70CC" w:rsidRPr="008A70CC" w:rsidRDefault="008A70CC" w:rsidP="008A70CC">
      <w:pPr>
        <w:widowControl w:val="0"/>
        <w:autoSpaceDE w:val="0"/>
        <w:autoSpaceDN w:val="0"/>
        <w:adjustRightInd w:val="0"/>
        <w:jc w:val="both"/>
        <w:rPr>
          <w:bCs/>
          <w:sz w:val="24"/>
          <w:szCs w:val="24"/>
        </w:rPr>
      </w:pPr>
    </w:p>
    <w:p w:rsidR="008A70CC" w:rsidRPr="008A70CC" w:rsidRDefault="008A70CC" w:rsidP="008A70CC">
      <w:pPr>
        <w:widowControl w:val="0"/>
        <w:numPr>
          <w:ilvl w:val="1"/>
          <w:numId w:val="11"/>
        </w:numPr>
        <w:tabs>
          <w:tab w:val="left" w:pos="1440"/>
        </w:tabs>
        <w:autoSpaceDE w:val="0"/>
        <w:autoSpaceDN w:val="0"/>
        <w:adjustRightInd w:val="0"/>
        <w:ind w:hanging="720"/>
        <w:contextualSpacing/>
        <w:jc w:val="both"/>
        <w:rPr>
          <w:bCs/>
          <w:sz w:val="24"/>
          <w:szCs w:val="24"/>
        </w:rPr>
      </w:pPr>
      <w:r w:rsidRPr="008A70CC">
        <w:rPr>
          <w:bCs/>
          <w:sz w:val="24"/>
          <w:szCs w:val="24"/>
        </w:rPr>
        <w:t>a line perpendicular to the easterly street line of Vanderbilt Avenue distant 135 feet northerly (as measured along the street line) from the point of intersection of the northerly street line of Atlantic Avenue and the easterly street line of Vanderbilt Avenue, a line midway between Vanderbilt Avenue and Clinton Avenue, a line 100 feet northerly of Atlantic Avenue, and a line 80 feet easterly of Vanderbilt Avenue; and</w:t>
      </w:r>
    </w:p>
    <w:p w:rsidR="008A70CC" w:rsidRPr="008A70CC" w:rsidRDefault="008A70CC" w:rsidP="008A70CC">
      <w:pPr>
        <w:ind w:left="1440"/>
        <w:contextualSpacing/>
        <w:jc w:val="both"/>
        <w:rPr>
          <w:bCs/>
          <w:sz w:val="24"/>
          <w:szCs w:val="24"/>
        </w:rPr>
      </w:pPr>
    </w:p>
    <w:p w:rsidR="008A70CC" w:rsidRPr="008A70CC" w:rsidRDefault="008A70CC" w:rsidP="008A70CC">
      <w:pPr>
        <w:widowControl w:val="0"/>
        <w:numPr>
          <w:ilvl w:val="1"/>
          <w:numId w:val="11"/>
        </w:numPr>
        <w:tabs>
          <w:tab w:val="left" w:pos="1440"/>
        </w:tabs>
        <w:autoSpaceDE w:val="0"/>
        <w:autoSpaceDN w:val="0"/>
        <w:adjustRightInd w:val="0"/>
        <w:ind w:hanging="720"/>
        <w:contextualSpacing/>
        <w:jc w:val="both"/>
        <w:rPr>
          <w:bCs/>
          <w:sz w:val="24"/>
          <w:szCs w:val="24"/>
        </w:rPr>
      </w:pPr>
      <w:r w:rsidRPr="008A70CC">
        <w:rPr>
          <w:bCs/>
          <w:sz w:val="24"/>
          <w:szCs w:val="24"/>
        </w:rPr>
        <w:t xml:space="preserve">a line perpendicular to the westerly street line of Clinton Avenue distant 100 feet northerly (as measured along the street line) from the point of intersection of the </w:t>
      </w:r>
      <w:r w:rsidRPr="008A70CC">
        <w:rPr>
          <w:bCs/>
          <w:sz w:val="24"/>
          <w:szCs w:val="24"/>
        </w:rPr>
        <w:lastRenderedPageBreak/>
        <w:t>northerly street line of Atlantic Avenue and the westerly street line of Clinton Avenue, Clinton Avenue, and a line 100 feet northerly of Atlantic Avenue;</w:t>
      </w:r>
    </w:p>
    <w:p w:rsidR="008A70CC" w:rsidRPr="008A70CC" w:rsidRDefault="008A70CC" w:rsidP="008A70CC">
      <w:pPr>
        <w:widowControl w:val="0"/>
        <w:autoSpaceDE w:val="0"/>
        <w:autoSpaceDN w:val="0"/>
        <w:adjustRightInd w:val="0"/>
        <w:jc w:val="both"/>
        <w:rPr>
          <w:bCs/>
          <w:sz w:val="24"/>
          <w:szCs w:val="24"/>
        </w:rPr>
      </w:pPr>
    </w:p>
    <w:p w:rsidR="008A70CC" w:rsidRPr="008A70CC" w:rsidRDefault="008A70CC" w:rsidP="008A70CC">
      <w:pPr>
        <w:widowControl w:val="0"/>
        <w:numPr>
          <w:ilvl w:val="0"/>
          <w:numId w:val="11"/>
        </w:numPr>
        <w:tabs>
          <w:tab w:val="left" w:pos="720"/>
        </w:tabs>
        <w:autoSpaceDE w:val="0"/>
        <w:autoSpaceDN w:val="0"/>
        <w:adjustRightInd w:val="0"/>
        <w:ind w:hanging="720"/>
        <w:contextualSpacing/>
        <w:jc w:val="both"/>
        <w:rPr>
          <w:bCs/>
          <w:sz w:val="24"/>
          <w:szCs w:val="24"/>
        </w:rPr>
      </w:pPr>
      <w:r w:rsidRPr="008A70CC">
        <w:rPr>
          <w:bCs/>
          <w:sz w:val="24"/>
          <w:szCs w:val="24"/>
        </w:rPr>
        <w:t>changing from an R7A District to an R9 District property bounded by a line perpendicular to the easterly street line of Vanderbilt Avenue distant 135 feet northerly (as measured along the street line) from the point of intersection of the northerly street line of Atlantic Avenue and the easterly street line of Vanderbilt Avenue, a line 80 feet easterly of Vanderbilt Avenue, a line 100 feet northerly of Atlantic Avenue, a line midway between Vanderbilt Avenue and Clinton Avenue, a line perpendicular to the westerly street line of Clinton Avenue distant 100 feet northerly (as measured along the street line) from the point of intersection of the northerly street line of Atlantic Avenue and the westerly street line of Clinton Avenue, a line 100 feet northerly of Atlantic Avenue, Clinton Avenue, Atlantic Avenue, and Vanderbilt Avenue; and</w:t>
      </w:r>
    </w:p>
    <w:p w:rsidR="008A70CC" w:rsidRPr="008A70CC" w:rsidRDefault="008A70CC" w:rsidP="008A70CC">
      <w:pPr>
        <w:ind w:left="720"/>
        <w:contextualSpacing/>
        <w:jc w:val="both"/>
        <w:rPr>
          <w:bCs/>
          <w:sz w:val="24"/>
          <w:szCs w:val="24"/>
        </w:rPr>
      </w:pPr>
    </w:p>
    <w:p w:rsidR="008A70CC" w:rsidRPr="008A70CC" w:rsidRDefault="008A70CC" w:rsidP="008A70CC">
      <w:pPr>
        <w:widowControl w:val="0"/>
        <w:numPr>
          <w:ilvl w:val="0"/>
          <w:numId w:val="11"/>
        </w:numPr>
        <w:tabs>
          <w:tab w:val="left" w:pos="720"/>
        </w:tabs>
        <w:autoSpaceDE w:val="0"/>
        <w:autoSpaceDN w:val="0"/>
        <w:adjustRightInd w:val="0"/>
        <w:ind w:hanging="720"/>
        <w:contextualSpacing/>
        <w:jc w:val="both"/>
        <w:rPr>
          <w:bCs/>
          <w:sz w:val="24"/>
          <w:szCs w:val="24"/>
        </w:rPr>
      </w:pPr>
      <w:r w:rsidRPr="008A70CC">
        <w:rPr>
          <w:bCs/>
          <w:sz w:val="24"/>
          <w:szCs w:val="24"/>
        </w:rPr>
        <w:t>establishing within the proposed R9 District a C2-5 District bounded by a line perpendicular to the easterly street line of Vanderbilt Avenue distant 135 feet northerly (as measured along the street line) from the point of intersection of the northerly street line of Atlantic Avenue and the easterly street line of Vanderbilt Avenue, a line midway between Vanderbilt Avenue and Clinton Avenue, a line perpendicular to the westerly street line of Clinton Avenue distant 100 feet northerly (as measure along the street line) from the point of intersection of the northerly street line of Atlantic Avenue and the westerly street line of Clinton Avenue, Clinton Avenue, Atlantic Avenue, and Vanderbilt Avenue;</w:t>
      </w:r>
    </w:p>
    <w:p w:rsidR="008A70CC" w:rsidRPr="008A70CC" w:rsidRDefault="008A70CC" w:rsidP="008A70CC">
      <w:pPr>
        <w:widowControl w:val="0"/>
        <w:autoSpaceDE w:val="0"/>
        <w:autoSpaceDN w:val="0"/>
        <w:adjustRightInd w:val="0"/>
        <w:jc w:val="both"/>
        <w:rPr>
          <w:bCs/>
          <w:sz w:val="24"/>
          <w:szCs w:val="24"/>
        </w:rPr>
      </w:pPr>
    </w:p>
    <w:p w:rsidR="008A70CC" w:rsidRPr="008A70CC" w:rsidRDefault="008A70CC" w:rsidP="008A70CC">
      <w:pPr>
        <w:widowControl w:val="0"/>
        <w:autoSpaceDE w:val="0"/>
        <w:autoSpaceDN w:val="0"/>
        <w:adjustRightInd w:val="0"/>
        <w:jc w:val="both"/>
        <w:rPr>
          <w:bCs/>
          <w:sz w:val="24"/>
          <w:szCs w:val="24"/>
        </w:rPr>
      </w:pPr>
      <w:r w:rsidRPr="008A70CC">
        <w:rPr>
          <w:bCs/>
          <w:sz w:val="24"/>
          <w:szCs w:val="24"/>
        </w:rPr>
        <w:t>as shown on a diagram (for illustrative purposes only) dated September 24, 2018, and subject to the conditions of CEQR Declaration E-499</w:t>
      </w:r>
      <w:r w:rsidRPr="008A70CC">
        <w:rPr>
          <w:sz w:val="24"/>
          <w:szCs w:val="24"/>
        </w:rPr>
        <w:t>.</w:t>
      </w:r>
    </w:p>
    <w:p w:rsidR="0018753D" w:rsidRPr="0018753D" w:rsidRDefault="0018753D" w:rsidP="008A70CC">
      <w:pPr>
        <w:jc w:val="both"/>
        <w:rPr>
          <w:sz w:val="24"/>
          <w:szCs w:val="24"/>
        </w:rPr>
      </w:pPr>
    </w:p>
    <w:p w:rsidR="0018753D" w:rsidRDefault="0018753D" w:rsidP="00E22AC6">
      <w:pPr>
        <w:tabs>
          <w:tab w:val="left" w:pos="7020"/>
        </w:tabs>
        <w:jc w:val="both"/>
        <w:rPr>
          <w:b/>
          <w:sz w:val="24"/>
          <w:szCs w:val="24"/>
        </w:rPr>
      </w:pPr>
    </w:p>
    <w:p w:rsidR="0018753D" w:rsidRPr="003574CE" w:rsidRDefault="003574CE" w:rsidP="00E22AC6">
      <w:pPr>
        <w:tabs>
          <w:tab w:val="left" w:pos="7020"/>
        </w:tabs>
        <w:jc w:val="both"/>
        <w:rPr>
          <w:b/>
          <w:sz w:val="24"/>
          <w:szCs w:val="24"/>
        </w:rPr>
      </w:pPr>
      <w:r w:rsidRPr="003574CE">
        <w:rPr>
          <w:b/>
          <w:sz w:val="24"/>
          <w:szCs w:val="24"/>
        </w:rPr>
        <w:t xml:space="preserve">C 190072 ZSK </w:t>
      </w:r>
      <w:r w:rsidR="0018753D" w:rsidRPr="003574CE">
        <w:rPr>
          <w:b/>
          <w:sz w:val="24"/>
          <w:szCs w:val="24"/>
        </w:rPr>
        <w:t xml:space="preserve">(L.U. No. </w:t>
      </w:r>
      <w:r w:rsidRPr="003574CE">
        <w:rPr>
          <w:b/>
          <w:sz w:val="24"/>
          <w:szCs w:val="24"/>
        </w:rPr>
        <w:t>363</w:t>
      </w:r>
      <w:r w:rsidR="0018753D" w:rsidRPr="003574CE">
        <w:rPr>
          <w:b/>
          <w:sz w:val="24"/>
          <w:szCs w:val="24"/>
        </w:rPr>
        <w:t>)</w:t>
      </w:r>
    </w:p>
    <w:p w:rsidR="0018753D" w:rsidRDefault="0018753D" w:rsidP="00E22AC6">
      <w:pPr>
        <w:tabs>
          <w:tab w:val="left" w:pos="7020"/>
        </w:tabs>
        <w:jc w:val="both"/>
        <w:rPr>
          <w:sz w:val="24"/>
          <w:szCs w:val="24"/>
        </w:rPr>
      </w:pPr>
    </w:p>
    <w:p w:rsidR="003574CE" w:rsidRPr="003574CE" w:rsidRDefault="0018753D" w:rsidP="003574CE">
      <w:pPr>
        <w:jc w:val="both"/>
        <w:rPr>
          <w:sz w:val="24"/>
          <w:szCs w:val="24"/>
        </w:rPr>
      </w:pPr>
      <w:r>
        <w:rPr>
          <w:sz w:val="24"/>
          <w:szCs w:val="24"/>
        </w:rPr>
        <w:tab/>
      </w:r>
      <w:r w:rsidR="00343BA4" w:rsidRPr="00C169E0">
        <w:rPr>
          <w:sz w:val="24"/>
          <w:szCs w:val="24"/>
        </w:rPr>
        <w:t xml:space="preserve">City Planning Commission decision approving an </w:t>
      </w:r>
      <w:r w:rsidR="00343BA4">
        <w:rPr>
          <w:sz w:val="24"/>
          <w:szCs w:val="24"/>
        </w:rPr>
        <w:t>application</w:t>
      </w:r>
      <w:r w:rsidR="003574CE">
        <w:rPr>
          <w:sz w:val="24"/>
          <w:szCs w:val="24"/>
        </w:rPr>
        <w:t xml:space="preserve"> </w:t>
      </w:r>
      <w:r w:rsidR="003574CE" w:rsidRPr="003574CE">
        <w:rPr>
          <w:sz w:val="24"/>
          <w:szCs w:val="24"/>
        </w:rPr>
        <w:t>submitted by 550 Clinton Partners</w:t>
      </w:r>
      <w:r w:rsidR="003574CE">
        <w:rPr>
          <w:sz w:val="24"/>
          <w:szCs w:val="24"/>
        </w:rPr>
        <w:t>,</w:t>
      </w:r>
      <w:r w:rsidR="003574CE" w:rsidRPr="003574CE">
        <w:rPr>
          <w:sz w:val="24"/>
          <w:szCs w:val="24"/>
        </w:rPr>
        <w:t xml:space="preserve"> LLC</w:t>
      </w:r>
      <w:r w:rsidR="003574CE">
        <w:rPr>
          <w:sz w:val="24"/>
          <w:szCs w:val="24"/>
        </w:rPr>
        <w:t>,</w:t>
      </w:r>
      <w:r w:rsidR="003574CE" w:rsidRPr="003574CE">
        <w:rPr>
          <w:sz w:val="24"/>
          <w:szCs w:val="24"/>
        </w:rPr>
        <w:t xml:space="preserve"> and 539 Vanderbilt Partners</w:t>
      </w:r>
      <w:r w:rsidR="003574CE">
        <w:rPr>
          <w:sz w:val="24"/>
          <w:szCs w:val="24"/>
        </w:rPr>
        <w:t>,</w:t>
      </w:r>
      <w:r w:rsidR="003574CE" w:rsidRPr="003574CE">
        <w:rPr>
          <w:sz w:val="24"/>
          <w:szCs w:val="24"/>
        </w:rPr>
        <w:t xml:space="preserve"> LLC</w:t>
      </w:r>
      <w:r w:rsidR="003574CE">
        <w:rPr>
          <w:sz w:val="24"/>
          <w:szCs w:val="24"/>
        </w:rPr>
        <w:t>,</w:t>
      </w:r>
      <w:r w:rsidR="003574CE" w:rsidRPr="003574CE">
        <w:rPr>
          <w:sz w:val="24"/>
          <w:szCs w:val="24"/>
        </w:rPr>
        <w:t xml:space="preserve"> pursuant to Sections 197-c and 201 of the New York City Charter, for the grant of a special permit pursuant to Section 74-711 of the Zoning Resolution to modify:</w:t>
      </w:r>
    </w:p>
    <w:p w:rsidR="003574CE" w:rsidRPr="003574CE" w:rsidRDefault="003574CE" w:rsidP="003574CE">
      <w:pPr>
        <w:widowControl w:val="0"/>
        <w:autoSpaceDE w:val="0"/>
        <w:autoSpaceDN w:val="0"/>
        <w:adjustRightInd w:val="0"/>
        <w:rPr>
          <w:sz w:val="24"/>
          <w:szCs w:val="24"/>
        </w:rPr>
      </w:pP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the zoning lot divided by district boundaries regulations of Section 77-02 (Zoning Lots not Existing Prior to Effective Date or Amendment of Resolution) and Section 77-22 (Floor Area Ratio);</w:t>
      </w: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the lot coverage regulations of Section 23-16 (Special Floor Area and Lot Coverage Provisions for Certain Areas);</w:t>
      </w: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 xml:space="preserve">the rear yard regulations of Section 23-52 (Special Provisions for Shallow Interior Lots), Section 33-26 (Minimum Required Rear Yards), and Section 33-29 (Special Provisions </w:t>
      </w:r>
      <w:r w:rsidRPr="003574CE">
        <w:rPr>
          <w:bCs/>
          <w:sz w:val="24"/>
          <w:szCs w:val="24"/>
        </w:rPr>
        <w:lastRenderedPageBreak/>
        <w:t>Applying along District Boundaries);</w:t>
      </w: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the tower-on-a-base regulations of Section 23-651(a) (Tower regulations) and Section 23-651(b) (Building base regulations);</w:t>
      </w: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the inner court regulations of Section 23-851 (Minimum dimensions of inner courts) and the inner recess regulations of Section 23-852 (Inner court recesses); and</w:t>
      </w:r>
    </w:p>
    <w:p w:rsidR="003574CE" w:rsidRPr="003574CE" w:rsidRDefault="003574CE" w:rsidP="003574CE">
      <w:pPr>
        <w:widowControl w:val="0"/>
        <w:numPr>
          <w:ilvl w:val="0"/>
          <w:numId w:val="12"/>
        </w:numPr>
        <w:autoSpaceDE w:val="0"/>
        <w:autoSpaceDN w:val="0"/>
        <w:adjustRightInd w:val="0"/>
        <w:contextualSpacing/>
        <w:jc w:val="both"/>
        <w:rPr>
          <w:bCs/>
          <w:sz w:val="24"/>
          <w:szCs w:val="24"/>
        </w:rPr>
      </w:pPr>
      <w:r w:rsidRPr="003574CE">
        <w:rPr>
          <w:bCs/>
          <w:sz w:val="24"/>
          <w:szCs w:val="24"/>
        </w:rPr>
        <w:t>the minimum distance between legally required windows and lot line regulations of Section 23-86 (Minimum Distance Between Legally Required Windows and Walls or Lot Lines)</w:t>
      </w:r>
    </w:p>
    <w:p w:rsidR="003574CE" w:rsidRPr="003574CE" w:rsidRDefault="003574CE" w:rsidP="003574CE">
      <w:pPr>
        <w:widowControl w:val="0"/>
        <w:autoSpaceDE w:val="0"/>
        <w:autoSpaceDN w:val="0"/>
        <w:adjustRightInd w:val="0"/>
        <w:rPr>
          <w:bCs/>
          <w:sz w:val="24"/>
          <w:szCs w:val="24"/>
        </w:rPr>
      </w:pPr>
    </w:p>
    <w:p w:rsidR="003574CE" w:rsidRPr="003574CE" w:rsidRDefault="003574CE" w:rsidP="003574CE">
      <w:pPr>
        <w:widowControl w:val="0"/>
        <w:autoSpaceDE w:val="0"/>
        <w:autoSpaceDN w:val="0"/>
        <w:adjustRightInd w:val="0"/>
        <w:jc w:val="both"/>
        <w:rPr>
          <w:bCs/>
          <w:sz w:val="24"/>
          <w:szCs w:val="24"/>
        </w:rPr>
      </w:pPr>
      <w:r w:rsidRPr="003574CE">
        <w:rPr>
          <w:bCs/>
          <w:sz w:val="24"/>
          <w:szCs w:val="24"/>
        </w:rPr>
        <w:t>in connection with a proposed mixed-use development on property located at 550 Clinton Avenue a.k.a. 539 Vanderbilt Avenue (Block 2010, Lots 1, 10, 51, 59, 1001-1010, and 1101-1118), in R6A, R7A and R9/C2-5 Distri</w:t>
      </w:r>
      <w:r>
        <w:rPr>
          <w:bCs/>
          <w:sz w:val="24"/>
          <w:szCs w:val="24"/>
        </w:rPr>
        <w:t>cts.</w:t>
      </w:r>
    </w:p>
    <w:p w:rsidR="0018753D" w:rsidRDefault="0018753D" w:rsidP="0018753D">
      <w:pPr>
        <w:jc w:val="both"/>
        <w:rPr>
          <w:sz w:val="24"/>
          <w:szCs w:val="24"/>
        </w:rPr>
      </w:pPr>
    </w:p>
    <w:p w:rsidR="00343BA4" w:rsidRPr="0018753D" w:rsidRDefault="00343BA4" w:rsidP="0018753D">
      <w:pPr>
        <w:jc w:val="both"/>
        <w:rPr>
          <w:sz w:val="24"/>
          <w:szCs w:val="24"/>
        </w:rPr>
      </w:pPr>
    </w:p>
    <w:p w:rsidR="0018753D" w:rsidRPr="004B110A" w:rsidRDefault="003574CE" w:rsidP="0018753D">
      <w:pPr>
        <w:tabs>
          <w:tab w:val="left" w:pos="720"/>
          <w:tab w:val="left" w:pos="7020"/>
        </w:tabs>
        <w:jc w:val="both"/>
        <w:rPr>
          <w:b/>
          <w:sz w:val="24"/>
          <w:szCs w:val="24"/>
        </w:rPr>
      </w:pPr>
      <w:r w:rsidRPr="004B110A">
        <w:rPr>
          <w:b/>
          <w:sz w:val="24"/>
          <w:szCs w:val="24"/>
        </w:rPr>
        <w:t xml:space="preserve">C 190073 ZSK </w:t>
      </w:r>
      <w:r w:rsidR="0018753D" w:rsidRPr="004B110A">
        <w:rPr>
          <w:b/>
          <w:sz w:val="24"/>
          <w:szCs w:val="24"/>
        </w:rPr>
        <w:t xml:space="preserve">(L.U. No. </w:t>
      </w:r>
      <w:r w:rsidRPr="004B110A">
        <w:rPr>
          <w:b/>
          <w:sz w:val="24"/>
          <w:szCs w:val="24"/>
        </w:rPr>
        <w:t>364</w:t>
      </w:r>
      <w:r w:rsidR="0018753D" w:rsidRPr="004B110A">
        <w:rPr>
          <w:b/>
          <w:sz w:val="24"/>
          <w:szCs w:val="24"/>
        </w:rPr>
        <w:t>)</w:t>
      </w:r>
    </w:p>
    <w:p w:rsidR="0018753D" w:rsidRPr="004B110A" w:rsidRDefault="0018753D" w:rsidP="0018753D">
      <w:pPr>
        <w:tabs>
          <w:tab w:val="left" w:pos="720"/>
          <w:tab w:val="left" w:pos="7020"/>
        </w:tabs>
        <w:jc w:val="both"/>
        <w:rPr>
          <w:sz w:val="24"/>
          <w:szCs w:val="24"/>
        </w:rPr>
      </w:pPr>
    </w:p>
    <w:p w:rsidR="003574CE" w:rsidRPr="004B110A" w:rsidRDefault="00F90E41" w:rsidP="003574CE">
      <w:pPr>
        <w:jc w:val="both"/>
        <w:rPr>
          <w:sz w:val="24"/>
          <w:szCs w:val="24"/>
        </w:rPr>
      </w:pPr>
      <w:r w:rsidRPr="004B110A">
        <w:rPr>
          <w:b/>
          <w:sz w:val="24"/>
          <w:szCs w:val="24"/>
        </w:rPr>
        <w:tab/>
      </w:r>
      <w:r w:rsidR="00343BA4" w:rsidRPr="004B110A">
        <w:rPr>
          <w:sz w:val="24"/>
          <w:szCs w:val="24"/>
        </w:rPr>
        <w:t xml:space="preserve">City Planning Commission decision approving an application </w:t>
      </w:r>
      <w:r w:rsidR="003574CE" w:rsidRPr="004B110A">
        <w:rPr>
          <w:sz w:val="24"/>
          <w:szCs w:val="24"/>
        </w:rPr>
        <w:t>submitted by 550 Clinton Partners, LLC, and 539 Vanderbilt Partners, LLC, pursuant to Sections 197-c and 201 of the New York City Charter for the grant of a special permit pursuant to Section 74-533 of the Zoning Resolution to waive the required number of accessory off-street parking spaces for dwelling units in a development within a Transit Zone, that includes at least 20 percent of all dwelling units as income-restricted housing units, in connection with a proposed mixed-use development on property located at 550 Clinton Avenue a.k.a. 539 Vanderbilt Avenue (Block 2010, Lots 1, 10, 51, 59, 1001-1010, and 1101-1118), in R6A, R7A and R9/C2-5 Districts.</w:t>
      </w:r>
    </w:p>
    <w:p w:rsidR="00343BA4" w:rsidRPr="004B110A" w:rsidRDefault="00343BA4" w:rsidP="00F90E41">
      <w:pPr>
        <w:widowControl w:val="0"/>
        <w:autoSpaceDE w:val="0"/>
        <w:autoSpaceDN w:val="0"/>
        <w:adjustRightInd w:val="0"/>
        <w:jc w:val="both"/>
        <w:rPr>
          <w:sz w:val="24"/>
          <w:szCs w:val="24"/>
        </w:rPr>
      </w:pPr>
    </w:p>
    <w:p w:rsidR="003574CE" w:rsidRPr="004B110A" w:rsidRDefault="003574CE" w:rsidP="00F90E41">
      <w:pPr>
        <w:widowControl w:val="0"/>
        <w:autoSpaceDE w:val="0"/>
        <w:autoSpaceDN w:val="0"/>
        <w:adjustRightInd w:val="0"/>
        <w:jc w:val="both"/>
        <w:rPr>
          <w:sz w:val="24"/>
          <w:szCs w:val="24"/>
        </w:rPr>
      </w:pPr>
    </w:p>
    <w:p w:rsidR="00F90E41" w:rsidRPr="004B110A" w:rsidRDefault="003574CE" w:rsidP="00F33120">
      <w:pPr>
        <w:autoSpaceDE w:val="0"/>
        <w:autoSpaceDN w:val="0"/>
        <w:adjustRightInd w:val="0"/>
        <w:jc w:val="both"/>
        <w:rPr>
          <w:b/>
          <w:sz w:val="24"/>
          <w:szCs w:val="24"/>
        </w:rPr>
      </w:pPr>
      <w:r w:rsidRPr="004B110A">
        <w:rPr>
          <w:b/>
          <w:sz w:val="24"/>
          <w:szCs w:val="24"/>
        </w:rPr>
        <w:t xml:space="preserve">N 190074 ZRK </w:t>
      </w:r>
      <w:r w:rsidR="00F90E41" w:rsidRPr="004B110A">
        <w:rPr>
          <w:b/>
          <w:sz w:val="24"/>
          <w:szCs w:val="24"/>
        </w:rPr>
        <w:t xml:space="preserve">(L.U. No. </w:t>
      </w:r>
      <w:r w:rsidRPr="004B110A">
        <w:rPr>
          <w:b/>
          <w:sz w:val="24"/>
          <w:szCs w:val="24"/>
        </w:rPr>
        <w:t>365)</w:t>
      </w:r>
    </w:p>
    <w:p w:rsidR="0018753D" w:rsidRPr="004B110A" w:rsidRDefault="0018753D" w:rsidP="00F33120">
      <w:pPr>
        <w:autoSpaceDE w:val="0"/>
        <w:autoSpaceDN w:val="0"/>
        <w:adjustRightInd w:val="0"/>
        <w:jc w:val="both"/>
        <w:rPr>
          <w:sz w:val="24"/>
          <w:szCs w:val="24"/>
        </w:rPr>
      </w:pPr>
    </w:p>
    <w:p w:rsidR="003574CE" w:rsidRPr="004B110A" w:rsidRDefault="00F90E41" w:rsidP="003574CE">
      <w:pPr>
        <w:jc w:val="both"/>
        <w:rPr>
          <w:sz w:val="24"/>
          <w:szCs w:val="24"/>
        </w:rPr>
      </w:pPr>
      <w:r w:rsidRPr="004B110A">
        <w:rPr>
          <w:sz w:val="24"/>
          <w:szCs w:val="24"/>
        </w:rPr>
        <w:tab/>
      </w:r>
      <w:r w:rsidR="006C55DB" w:rsidRPr="004B110A">
        <w:rPr>
          <w:sz w:val="24"/>
          <w:szCs w:val="24"/>
        </w:rPr>
        <w:t xml:space="preserve">City Planning Commission decision approving an application </w:t>
      </w:r>
      <w:r w:rsidR="003574CE" w:rsidRPr="004B110A">
        <w:rPr>
          <w:sz w:val="24"/>
          <w:szCs w:val="24"/>
        </w:rPr>
        <w:t>submitted by 550 Clinton Partners LLC and 539 Vanderbilt Partners LLC, pursuant to Section 201 of the New York City Charter, for an amendment of the Zoning Resolution of the City of New York, modifying Appendix F for the purpose of establishing a Mandatory Inclusionary Ho</w:t>
      </w:r>
      <w:r w:rsidR="00645834">
        <w:rPr>
          <w:sz w:val="24"/>
          <w:szCs w:val="24"/>
        </w:rPr>
        <w:t>using A</w:t>
      </w:r>
      <w:r w:rsidR="003574CE" w:rsidRPr="004B110A">
        <w:rPr>
          <w:sz w:val="24"/>
          <w:szCs w:val="24"/>
        </w:rPr>
        <w:t>rea.</w:t>
      </w:r>
    </w:p>
    <w:p w:rsidR="00F90E41" w:rsidRPr="004B110A" w:rsidRDefault="00F90E41" w:rsidP="006C55DB">
      <w:pPr>
        <w:tabs>
          <w:tab w:val="left" w:pos="720"/>
        </w:tabs>
        <w:autoSpaceDE w:val="0"/>
        <w:autoSpaceDN w:val="0"/>
        <w:adjustRightInd w:val="0"/>
        <w:spacing w:after="240"/>
        <w:jc w:val="both"/>
        <w:rPr>
          <w:sz w:val="24"/>
          <w:szCs w:val="24"/>
        </w:rPr>
      </w:pPr>
    </w:p>
    <w:p w:rsidR="00F90E41" w:rsidRDefault="00F90E41"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4B110A" w:rsidRDefault="00F503C5" w:rsidP="00F503C5">
      <w:pPr>
        <w:pStyle w:val="Heading2"/>
        <w:jc w:val="both"/>
        <w:rPr>
          <w:szCs w:val="24"/>
        </w:rPr>
      </w:pPr>
      <w:r w:rsidRPr="004B110A">
        <w:rPr>
          <w:szCs w:val="24"/>
        </w:rPr>
        <w:t>INTENT</w:t>
      </w:r>
    </w:p>
    <w:p w:rsidR="00F503C5" w:rsidRPr="004B110A" w:rsidRDefault="00F503C5" w:rsidP="00F503C5">
      <w:pPr>
        <w:jc w:val="both"/>
        <w:rPr>
          <w:sz w:val="24"/>
          <w:szCs w:val="24"/>
        </w:rPr>
      </w:pPr>
    </w:p>
    <w:p w:rsidR="00C41E60" w:rsidRPr="004B110A" w:rsidRDefault="00AB6134" w:rsidP="00CF68F7">
      <w:pPr>
        <w:jc w:val="both"/>
        <w:rPr>
          <w:bCs/>
          <w:sz w:val="24"/>
          <w:szCs w:val="24"/>
        </w:rPr>
      </w:pPr>
      <w:r w:rsidRPr="004B110A">
        <w:rPr>
          <w:sz w:val="24"/>
          <w:szCs w:val="24"/>
        </w:rPr>
        <w:tab/>
        <w:t xml:space="preserve">To approve amendments to change </w:t>
      </w:r>
      <w:r w:rsidRPr="004B110A">
        <w:rPr>
          <w:bCs/>
          <w:sz w:val="24"/>
          <w:szCs w:val="24"/>
        </w:rPr>
        <w:t>R7A/C2-4, R7A and R6A districts to an R9/C2-5 district and to change an R7A/C2-4 district to an R6A district, and designate a Mandat</w:t>
      </w:r>
      <w:r w:rsidR="00A04D57">
        <w:rPr>
          <w:bCs/>
          <w:sz w:val="24"/>
          <w:szCs w:val="24"/>
        </w:rPr>
        <w:t>ory Inclusionary Housing (MIH) A</w:t>
      </w:r>
      <w:r w:rsidRPr="004B110A">
        <w:rPr>
          <w:bCs/>
          <w:sz w:val="24"/>
          <w:szCs w:val="24"/>
        </w:rPr>
        <w:t xml:space="preserve">rea; approve </w:t>
      </w:r>
      <w:r w:rsidR="00C41E60" w:rsidRPr="004B110A">
        <w:rPr>
          <w:bCs/>
          <w:sz w:val="24"/>
          <w:szCs w:val="24"/>
        </w:rPr>
        <w:t>special permit pursuant to Zoning Resolution (ZR) Section 74-711 to modify the regulation governing transfer of floor area between different zoning districts (ZR 77-02 and 77-22), the lot coverage regulations of Section 23-16, the rear yard regulations of Section 23-52, Section 33-26 and Section 33-29, the tower-on-a-base regulations of Section 23-651(a) and Section 23-651(b)</w:t>
      </w:r>
      <w:r w:rsidR="0077230A">
        <w:rPr>
          <w:bCs/>
          <w:sz w:val="24"/>
          <w:szCs w:val="24"/>
        </w:rPr>
        <w:t>, the court regulations of 23-851 and 23-852, the window-to-lot-line regulations of 23-861</w:t>
      </w:r>
      <w:r w:rsidR="00C41E60" w:rsidRPr="004B110A">
        <w:rPr>
          <w:bCs/>
          <w:sz w:val="24"/>
          <w:szCs w:val="24"/>
        </w:rPr>
        <w:t xml:space="preserve">; and approve special permit pursuant to ZR Section 74-533 to waive residential parking </w:t>
      </w:r>
      <w:r w:rsidR="004B110A" w:rsidRPr="004B110A">
        <w:rPr>
          <w:bCs/>
          <w:sz w:val="24"/>
          <w:szCs w:val="24"/>
        </w:rPr>
        <w:t xml:space="preserve">requirements of ZR Section 25-23 to </w:t>
      </w:r>
      <w:r w:rsidR="004B110A" w:rsidRPr="004B110A">
        <w:rPr>
          <w:sz w:val="24"/>
          <w:szCs w:val="24"/>
        </w:rPr>
        <w:t>facilitate the development of two new mixed-use buildings on the development site, one 4 stories and one 29 stories, with approximately 204,000 square feet of residential floor area and 33,000 square feet of commercial floor area and fund the restoration of the landmarked Church of St. Luke &amp; St. Matthew at 809 Atlantic Avenue in the Fort Greene/Clinton Hill neighborhood of Brooklyn, Community District 2</w:t>
      </w:r>
      <w:r w:rsidR="005E12DC">
        <w:rPr>
          <w:sz w:val="24"/>
          <w:szCs w:val="24"/>
        </w:rPr>
        <w:t>.</w:t>
      </w:r>
    </w:p>
    <w:p w:rsidR="00AB6134" w:rsidRPr="004B110A" w:rsidRDefault="00AB6134" w:rsidP="00CF68F7">
      <w:pPr>
        <w:jc w:val="both"/>
        <w:rPr>
          <w:sz w:val="24"/>
          <w:szCs w:val="24"/>
        </w:rPr>
      </w:pPr>
    </w:p>
    <w:p w:rsidR="00AB6134" w:rsidRPr="004B110A" w:rsidRDefault="00AB6134" w:rsidP="00CF68F7">
      <w:pPr>
        <w:jc w:val="both"/>
        <w:rPr>
          <w:sz w:val="24"/>
          <w:szCs w:val="24"/>
        </w:rPr>
      </w:pPr>
    </w:p>
    <w:p w:rsidR="0054560A" w:rsidRPr="004B110A" w:rsidRDefault="0054560A"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004B110A">
        <w:rPr>
          <w:sz w:val="24"/>
          <w:szCs w:val="24"/>
        </w:rPr>
        <w:t xml:space="preserve">  March 6</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5035F6">
        <w:rPr>
          <w:sz w:val="24"/>
          <w:szCs w:val="24"/>
        </w:rPr>
        <w:t>Seven</w:t>
      </w:r>
      <w:r w:rsidR="004B110A">
        <w:rPr>
          <w:sz w:val="24"/>
          <w:szCs w:val="24"/>
        </w:rPr>
        <w:tab/>
      </w:r>
      <w:r w:rsidR="001603F5">
        <w:rPr>
          <w:sz w:val="24"/>
          <w:szCs w:val="24"/>
        </w:rPr>
        <w:tab/>
      </w:r>
      <w:r w:rsidR="001603F5" w:rsidRPr="00AC55AD">
        <w:rPr>
          <w:sz w:val="24"/>
          <w:szCs w:val="24"/>
        </w:rPr>
        <w:t xml:space="preserve"> </w:t>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4B110A">
        <w:rPr>
          <w:sz w:val="24"/>
          <w:szCs w:val="24"/>
        </w:rPr>
        <w:t>None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666A18">
        <w:rPr>
          <w:sz w:val="24"/>
          <w:szCs w:val="24"/>
        </w:rPr>
        <w:t>April 2</w:t>
      </w:r>
      <w:r>
        <w:rPr>
          <w:sz w:val="24"/>
          <w:szCs w:val="24"/>
        </w:rPr>
        <w:t>, 201</w:t>
      </w:r>
      <w:r w:rsidR="00CD1CD3">
        <w:rPr>
          <w:sz w:val="24"/>
          <w:szCs w:val="24"/>
        </w:rPr>
        <w:t>9</w:t>
      </w:r>
    </w:p>
    <w:p w:rsidR="0085450A" w:rsidRPr="00AC55AD" w:rsidRDefault="0085450A" w:rsidP="0085450A">
      <w:pPr>
        <w:jc w:val="both"/>
        <w:rPr>
          <w:sz w:val="24"/>
          <w:szCs w:val="24"/>
        </w:rPr>
      </w:pPr>
      <w:r w:rsidRPr="00AC55AD">
        <w:rPr>
          <w:sz w:val="24"/>
          <w:szCs w:val="24"/>
        </w:rPr>
        <w:t xml:space="preserve"> </w:t>
      </w:r>
    </w:p>
    <w:p w:rsidR="0085450A" w:rsidRPr="008E45FC" w:rsidRDefault="0085450A" w:rsidP="009D048C">
      <w:pPr>
        <w:pStyle w:val="BodyText"/>
        <w:ind w:right="-180"/>
        <w:rPr>
          <w:szCs w:val="24"/>
        </w:rPr>
      </w:pPr>
      <w:r w:rsidRPr="008E45FC">
        <w:rPr>
          <w:szCs w:val="24"/>
        </w:rPr>
        <w:tab/>
        <w:t>The Subcommittee recommends that the Land Use Committee approve the decision</w:t>
      </w:r>
      <w:r w:rsidR="00135141">
        <w:rPr>
          <w:szCs w:val="24"/>
        </w:rPr>
        <w:t>s</w:t>
      </w:r>
      <w:r w:rsidRPr="008E45FC">
        <w:rPr>
          <w:szCs w:val="24"/>
        </w:rPr>
        <w:t xml:space="preserve"> </w:t>
      </w:r>
      <w:r w:rsidR="007D048A" w:rsidRPr="008E45FC">
        <w:rPr>
          <w:szCs w:val="24"/>
        </w:rPr>
        <w:t>of the City Plannin</w:t>
      </w:r>
      <w:r w:rsidR="00C10264" w:rsidRPr="008E45FC">
        <w:rPr>
          <w:szCs w:val="24"/>
        </w:rPr>
        <w:t xml:space="preserve">g Commission </w:t>
      </w:r>
      <w:r w:rsidR="00574849" w:rsidRPr="008E45FC">
        <w:rPr>
          <w:szCs w:val="24"/>
        </w:rPr>
        <w:t>(“CPC”) on L.U. No</w:t>
      </w:r>
      <w:r w:rsidR="008E45FC" w:rsidRPr="008E45FC">
        <w:rPr>
          <w:szCs w:val="24"/>
        </w:rPr>
        <w:t>s</w:t>
      </w:r>
      <w:r w:rsidR="00574849" w:rsidRPr="008E45FC">
        <w:rPr>
          <w:szCs w:val="24"/>
        </w:rPr>
        <w:t xml:space="preserve">. </w:t>
      </w:r>
      <w:r w:rsidR="004B110A" w:rsidRPr="008E45FC">
        <w:rPr>
          <w:szCs w:val="24"/>
        </w:rPr>
        <w:t xml:space="preserve">362 </w:t>
      </w:r>
      <w:r w:rsidR="0077230A">
        <w:rPr>
          <w:szCs w:val="24"/>
        </w:rPr>
        <w:t>through</w:t>
      </w:r>
      <w:r w:rsidR="009D048C" w:rsidRPr="008E45FC">
        <w:rPr>
          <w:szCs w:val="24"/>
        </w:rPr>
        <w:t xml:space="preserve"> 365.</w:t>
      </w:r>
    </w:p>
    <w:p w:rsidR="009D048C" w:rsidRDefault="009D048C" w:rsidP="009D048C">
      <w:pPr>
        <w:pStyle w:val="BodyText"/>
        <w:ind w:right="-180"/>
        <w:rPr>
          <w:b/>
          <w:szCs w:val="24"/>
          <w:u w:val="single"/>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666A18" w:rsidRDefault="00666A18" w:rsidP="00666A18">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666A18" w:rsidRDefault="00666A18" w:rsidP="00666A18">
      <w:pPr>
        <w:tabs>
          <w:tab w:val="left" w:pos="2520"/>
        </w:tabs>
        <w:jc w:val="both"/>
        <w:rPr>
          <w:sz w:val="24"/>
          <w:szCs w:val="24"/>
        </w:rPr>
      </w:pPr>
      <w:r>
        <w:rPr>
          <w:sz w:val="24"/>
          <w:szCs w:val="24"/>
        </w:rPr>
        <w:t>Constantinides</w:t>
      </w:r>
    </w:p>
    <w:p w:rsidR="00666A18" w:rsidRDefault="00666A18" w:rsidP="00666A18">
      <w:pPr>
        <w:tabs>
          <w:tab w:val="left" w:pos="2520"/>
        </w:tabs>
        <w:jc w:val="both"/>
        <w:rPr>
          <w:sz w:val="24"/>
          <w:szCs w:val="24"/>
        </w:rPr>
      </w:pPr>
      <w:r>
        <w:rPr>
          <w:sz w:val="24"/>
          <w:szCs w:val="24"/>
        </w:rPr>
        <w:t>Lancman</w:t>
      </w:r>
    </w:p>
    <w:p w:rsidR="00666A18" w:rsidRDefault="00666A18" w:rsidP="00666A18">
      <w:pPr>
        <w:tabs>
          <w:tab w:val="left" w:pos="2520"/>
        </w:tabs>
        <w:jc w:val="both"/>
        <w:rPr>
          <w:sz w:val="24"/>
          <w:szCs w:val="24"/>
        </w:rPr>
      </w:pPr>
      <w:r>
        <w:rPr>
          <w:sz w:val="24"/>
          <w:szCs w:val="24"/>
        </w:rPr>
        <w:t>Levin</w:t>
      </w:r>
    </w:p>
    <w:p w:rsidR="00666A18" w:rsidRDefault="00666A18" w:rsidP="00666A18">
      <w:pPr>
        <w:tabs>
          <w:tab w:val="left" w:pos="2520"/>
        </w:tabs>
        <w:jc w:val="both"/>
        <w:rPr>
          <w:sz w:val="24"/>
          <w:szCs w:val="24"/>
        </w:rPr>
      </w:pPr>
      <w:r>
        <w:rPr>
          <w:sz w:val="24"/>
          <w:szCs w:val="24"/>
        </w:rPr>
        <w:t>Reynoso</w:t>
      </w:r>
    </w:p>
    <w:p w:rsidR="00666A18" w:rsidRDefault="00666A18" w:rsidP="00666A18">
      <w:pPr>
        <w:tabs>
          <w:tab w:val="left" w:pos="2520"/>
        </w:tabs>
        <w:jc w:val="both"/>
        <w:rPr>
          <w:sz w:val="24"/>
          <w:szCs w:val="24"/>
        </w:rPr>
      </w:pPr>
      <w:r>
        <w:rPr>
          <w:sz w:val="24"/>
          <w:szCs w:val="24"/>
        </w:rPr>
        <w:t>Richards</w:t>
      </w:r>
    </w:p>
    <w:p w:rsidR="00666A18" w:rsidRDefault="00666A18" w:rsidP="00666A18">
      <w:pPr>
        <w:tabs>
          <w:tab w:val="left" w:pos="2520"/>
        </w:tabs>
        <w:jc w:val="both"/>
        <w:rPr>
          <w:sz w:val="24"/>
          <w:szCs w:val="24"/>
        </w:rPr>
      </w:pPr>
      <w:r>
        <w:rPr>
          <w:sz w:val="24"/>
          <w:szCs w:val="24"/>
        </w:rPr>
        <w:t>Rivera</w:t>
      </w:r>
    </w:p>
    <w:p w:rsidR="00666A18" w:rsidRDefault="00666A18" w:rsidP="00666A18">
      <w:pPr>
        <w:tabs>
          <w:tab w:val="left" w:pos="2520"/>
        </w:tabs>
        <w:jc w:val="both"/>
        <w:rPr>
          <w:sz w:val="24"/>
          <w:szCs w:val="24"/>
        </w:rPr>
      </w:pPr>
      <w:r>
        <w:rPr>
          <w:sz w:val="24"/>
          <w:szCs w:val="24"/>
        </w:rPr>
        <w:t>Torres</w:t>
      </w:r>
    </w:p>
    <w:p w:rsidR="00666A18" w:rsidRDefault="00666A18" w:rsidP="00666A18">
      <w:pPr>
        <w:tabs>
          <w:tab w:val="left" w:pos="2520"/>
        </w:tabs>
        <w:jc w:val="both"/>
        <w:rPr>
          <w:sz w:val="24"/>
          <w:szCs w:val="24"/>
        </w:rPr>
      </w:pPr>
      <w:r>
        <w:rPr>
          <w:sz w:val="24"/>
          <w:szCs w:val="24"/>
        </w:rPr>
        <w:t>Grodenchik</w:t>
      </w:r>
    </w:p>
    <w:p w:rsidR="0054560A" w:rsidRDefault="0054560A" w:rsidP="00C10264">
      <w:pPr>
        <w:rPr>
          <w:sz w:val="24"/>
          <w:szCs w:val="24"/>
        </w:rPr>
      </w:pPr>
    </w:p>
    <w:p w:rsidR="0054560A" w:rsidRDefault="0054560A" w:rsidP="00C10264">
      <w:pPr>
        <w:rPr>
          <w:sz w:val="24"/>
          <w:szCs w:val="24"/>
        </w:rPr>
      </w:pPr>
    </w:p>
    <w:p w:rsidR="0054560A" w:rsidRDefault="0054560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666A18" w:rsidRPr="00666A18">
        <w:rPr>
          <w:sz w:val="24"/>
          <w:szCs w:val="24"/>
        </w:rPr>
        <w:t>April 3</w:t>
      </w:r>
      <w:r w:rsidR="00E874A9" w:rsidRPr="00666A18">
        <w:rPr>
          <w:sz w:val="24"/>
          <w:szCs w:val="24"/>
        </w:rPr>
        <w:t xml:space="preserve">, </w:t>
      </w:r>
      <w:r w:rsidR="00B41795" w:rsidRPr="00666A18">
        <w:rPr>
          <w:sz w:val="24"/>
          <w:szCs w:val="24"/>
        </w:rPr>
        <w:t>201</w:t>
      </w:r>
      <w:r w:rsidR="00CD1CD3" w:rsidRPr="00666A18">
        <w:rPr>
          <w:sz w:val="24"/>
          <w:szCs w:val="24"/>
        </w:rPr>
        <w:t>9</w:t>
      </w:r>
    </w:p>
    <w:p w:rsidR="00F62D5F" w:rsidRPr="008A7D9E" w:rsidRDefault="00F62D5F" w:rsidP="00F62D5F">
      <w:pPr>
        <w:jc w:val="both"/>
        <w:rPr>
          <w:sz w:val="24"/>
          <w:szCs w:val="24"/>
        </w:rPr>
      </w:pPr>
    </w:p>
    <w:p w:rsidR="004B110A" w:rsidRDefault="00F62D5F" w:rsidP="001603F5">
      <w:pPr>
        <w:pStyle w:val="BodyText"/>
        <w:ind w:right="-180"/>
        <w:rPr>
          <w:szCs w:val="24"/>
        </w:rPr>
      </w:pPr>
      <w:r w:rsidRPr="008A7D9E">
        <w:rPr>
          <w:szCs w:val="24"/>
        </w:rPr>
        <w:tab/>
        <w:t xml:space="preserve">The Committee recommends that the Council </w:t>
      </w:r>
      <w:r w:rsidR="004B110A">
        <w:rPr>
          <w:szCs w:val="24"/>
        </w:rPr>
        <w:t>approve the attached resolutions.</w:t>
      </w:r>
    </w:p>
    <w:p w:rsidR="001603F5" w:rsidRDefault="001603F5" w:rsidP="001603F5">
      <w:pPr>
        <w:pStyle w:val="BodyText"/>
        <w:ind w:right="-180"/>
        <w:rPr>
          <w:szCs w:val="24"/>
        </w:rPr>
      </w:pPr>
    </w:p>
    <w:p w:rsidR="004F39B5" w:rsidRDefault="001603F5" w:rsidP="001603F5">
      <w:pPr>
        <w:tabs>
          <w:tab w:val="left" w:pos="-1440"/>
          <w:tab w:val="left" w:pos="2520"/>
          <w:tab w:val="left" w:pos="4860"/>
          <w:tab w:val="left" w:pos="5040"/>
        </w:tabs>
        <w:jc w:val="both"/>
        <w:rPr>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Salamanca</w:t>
      </w:r>
      <w:r w:rsidRPr="005E12DC">
        <w:rPr>
          <w:snapToGrid w:val="0"/>
          <w:sz w:val="24"/>
          <w:szCs w:val="24"/>
        </w:rPr>
        <w:tab/>
        <w:t>Barron</w:t>
      </w:r>
      <w:r>
        <w:rPr>
          <w:snapToGrid w:val="0"/>
          <w:sz w:val="24"/>
          <w:szCs w:val="24"/>
        </w:rPr>
        <w:tab/>
      </w:r>
      <w:r w:rsidRPr="005E12DC">
        <w:rPr>
          <w:snapToGrid w:val="0"/>
          <w:sz w:val="24"/>
          <w:szCs w:val="24"/>
        </w:rPr>
        <w:tab/>
        <w:t>None</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Gibson</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Constantinides</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Deutsch</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Kallos</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Koo</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Lancman</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Miller</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Reynoso</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Richards</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Torres</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Treyger</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Grodenchik</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Adams</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Diaz, Sr.</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Moya</w:t>
      </w:r>
    </w:p>
    <w:p w:rsidR="005E12DC" w:rsidRPr="005E12DC" w:rsidRDefault="005E12DC" w:rsidP="005E12DC">
      <w:pPr>
        <w:widowControl w:val="0"/>
        <w:tabs>
          <w:tab w:val="left" w:pos="-1440"/>
          <w:tab w:val="left" w:pos="2520"/>
          <w:tab w:val="left" w:pos="4860"/>
        </w:tabs>
        <w:jc w:val="both"/>
        <w:rPr>
          <w:snapToGrid w:val="0"/>
          <w:sz w:val="24"/>
          <w:szCs w:val="24"/>
        </w:rPr>
      </w:pPr>
      <w:r w:rsidRPr="005E12DC">
        <w:rPr>
          <w:snapToGrid w:val="0"/>
          <w:sz w:val="24"/>
          <w:szCs w:val="24"/>
        </w:rPr>
        <w:t>Rivera</w:t>
      </w:r>
    </w:p>
    <w:p w:rsidR="004F39B5" w:rsidRDefault="004F39B5" w:rsidP="001603F5">
      <w:pPr>
        <w:tabs>
          <w:tab w:val="left" w:pos="-1440"/>
          <w:tab w:val="left" w:pos="2520"/>
          <w:tab w:val="left" w:pos="4860"/>
          <w:tab w:val="left" w:pos="5040"/>
        </w:tabs>
        <w:jc w:val="both"/>
        <w:rPr>
          <w:sz w:val="24"/>
          <w:szCs w:val="24"/>
        </w:rPr>
      </w:pPr>
    </w:p>
    <w:p w:rsidR="004F39B5" w:rsidRDefault="004F39B5" w:rsidP="001603F5">
      <w:pPr>
        <w:tabs>
          <w:tab w:val="left" w:pos="-1440"/>
          <w:tab w:val="left" w:pos="2520"/>
          <w:tab w:val="left" w:pos="4860"/>
          <w:tab w:val="left" w:pos="5040"/>
        </w:tabs>
        <w:jc w:val="both"/>
        <w:rPr>
          <w:sz w:val="24"/>
          <w:szCs w:val="24"/>
        </w:rPr>
      </w:pPr>
    </w:p>
    <w:p w:rsidR="00666A18" w:rsidRDefault="00666A18" w:rsidP="001603F5">
      <w:pPr>
        <w:tabs>
          <w:tab w:val="left" w:pos="-1440"/>
          <w:tab w:val="left" w:pos="2520"/>
          <w:tab w:val="left" w:pos="4860"/>
          <w:tab w:val="left" w:pos="5040"/>
        </w:tabs>
        <w:jc w:val="both"/>
        <w:rPr>
          <w:sz w:val="24"/>
          <w:szCs w:val="24"/>
        </w:rPr>
      </w:pPr>
    </w:p>
    <w:sectPr w:rsidR="00666A18" w:rsidSect="008A70CC">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Pr="00AB6134" w:rsidRDefault="00574106">
    <w:pPr>
      <w:pStyle w:val="Header"/>
      <w:rPr>
        <w:b/>
        <w:bCs/>
        <w:sz w:val="24"/>
        <w:szCs w:val="24"/>
      </w:rPr>
    </w:pPr>
    <w:r w:rsidRPr="00AB6134">
      <w:rPr>
        <w:b/>
        <w:bCs/>
        <w:sz w:val="24"/>
        <w:szCs w:val="24"/>
      </w:rPr>
      <w:t xml:space="preserve">Page </w:t>
    </w:r>
    <w:r w:rsidRPr="00AB6134">
      <w:rPr>
        <w:b/>
        <w:bCs/>
        <w:sz w:val="24"/>
        <w:szCs w:val="24"/>
      </w:rPr>
      <w:fldChar w:fldCharType="begin"/>
    </w:r>
    <w:r w:rsidRPr="00AB6134">
      <w:rPr>
        <w:b/>
        <w:bCs/>
        <w:sz w:val="24"/>
        <w:szCs w:val="24"/>
      </w:rPr>
      <w:instrText xml:space="preserve"> PAGE </w:instrText>
    </w:r>
    <w:r w:rsidRPr="00AB6134">
      <w:rPr>
        <w:b/>
        <w:bCs/>
        <w:sz w:val="24"/>
        <w:szCs w:val="24"/>
      </w:rPr>
      <w:fldChar w:fldCharType="separate"/>
    </w:r>
    <w:r w:rsidR="00641F96">
      <w:rPr>
        <w:b/>
        <w:bCs/>
        <w:noProof/>
        <w:sz w:val="24"/>
        <w:szCs w:val="24"/>
      </w:rPr>
      <w:t>2</w:t>
    </w:r>
    <w:r w:rsidRPr="00AB6134">
      <w:rPr>
        <w:b/>
        <w:bCs/>
        <w:sz w:val="24"/>
        <w:szCs w:val="24"/>
      </w:rPr>
      <w:fldChar w:fldCharType="end"/>
    </w:r>
    <w:r w:rsidRPr="00AB6134">
      <w:rPr>
        <w:b/>
        <w:bCs/>
        <w:sz w:val="24"/>
        <w:szCs w:val="24"/>
      </w:rPr>
      <w:t xml:space="preserve"> of </w:t>
    </w:r>
    <w:r w:rsidRPr="00AB6134">
      <w:rPr>
        <w:b/>
        <w:bCs/>
        <w:sz w:val="24"/>
        <w:szCs w:val="24"/>
      </w:rPr>
      <w:fldChar w:fldCharType="begin"/>
    </w:r>
    <w:r w:rsidRPr="00AB6134">
      <w:rPr>
        <w:b/>
        <w:bCs/>
        <w:sz w:val="24"/>
        <w:szCs w:val="24"/>
      </w:rPr>
      <w:instrText xml:space="preserve"> NUMPAGES </w:instrText>
    </w:r>
    <w:r w:rsidRPr="00AB6134">
      <w:rPr>
        <w:b/>
        <w:bCs/>
        <w:sz w:val="24"/>
        <w:szCs w:val="24"/>
      </w:rPr>
      <w:fldChar w:fldCharType="separate"/>
    </w:r>
    <w:r w:rsidR="00641F96">
      <w:rPr>
        <w:b/>
        <w:bCs/>
        <w:noProof/>
        <w:sz w:val="24"/>
        <w:szCs w:val="24"/>
      </w:rPr>
      <w:t>5</w:t>
    </w:r>
    <w:r w:rsidRPr="00AB6134">
      <w:rPr>
        <w:b/>
        <w:bCs/>
        <w:sz w:val="24"/>
        <w:szCs w:val="24"/>
      </w:rPr>
      <w:fldChar w:fldCharType="end"/>
    </w:r>
  </w:p>
  <w:p w:rsidR="00822B56" w:rsidRPr="00AB6134" w:rsidRDefault="00AB6134" w:rsidP="00822B56">
    <w:pPr>
      <w:rPr>
        <w:b/>
        <w:sz w:val="24"/>
        <w:szCs w:val="24"/>
      </w:rPr>
    </w:pPr>
    <w:r w:rsidRPr="00AB6134">
      <w:rPr>
        <w:b/>
        <w:sz w:val="24"/>
        <w:szCs w:val="24"/>
      </w:rPr>
      <w:t>C 190071 ZMK, C 190072 ZSK, C 190073 ZSK, and N 190074 ZRK</w:t>
    </w:r>
  </w:p>
  <w:p w:rsidR="001A727A" w:rsidRPr="00AB6134" w:rsidRDefault="00574106" w:rsidP="001A727A">
    <w:pPr>
      <w:rPr>
        <w:b/>
        <w:sz w:val="24"/>
        <w:szCs w:val="24"/>
      </w:rPr>
    </w:pPr>
    <w:r w:rsidRPr="00AB6134">
      <w:rPr>
        <w:b/>
        <w:sz w:val="24"/>
        <w:szCs w:val="24"/>
      </w:rPr>
      <w:t>L.U</w:t>
    </w:r>
    <w:r w:rsidR="00562122" w:rsidRPr="00AB6134">
      <w:rPr>
        <w:b/>
        <w:sz w:val="24"/>
        <w:szCs w:val="24"/>
      </w:rPr>
      <w:t>.</w:t>
    </w:r>
    <w:r w:rsidRPr="00AB6134">
      <w:rPr>
        <w:b/>
        <w:sz w:val="24"/>
        <w:szCs w:val="24"/>
      </w:rPr>
      <w:t xml:space="preserve"> No</w:t>
    </w:r>
    <w:r w:rsidR="003D00D6" w:rsidRPr="00AB6134">
      <w:rPr>
        <w:b/>
        <w:sz w:val="24"/>
        <w:szCs w:val="24"/>
      </w:rPr>
      <w:t>s</w:t>
    </w:r>
    <w:r w:rsidRPr="00AB6134">
      <w:rPr>
        <w:b/>
        <w:sz w:val="24"/>
        <w:szCs w:val="24"/>
      </w:rPr>
      <w:t xml:space="preserve">. </w:t>
    </w:r>
    <w:r w:rsidR="00AB6134" w:rsidRPr="00AB6134">
      <w:rPr>
        <w:b/>
        <w:sz w:val="24"/>
        <w:szCs w:val="24"/>
      </w:rPr>
      <w:t>362-365</w:t>
    </w:r>
    <w:r w:rsidR="00F90E41" w:rsidRPr="00AB6134">
      <w:rPr>
        <w:b/>
        <w:sz w:val="24"/>
        <w:szCs w:val="24"/>
      </w:rPr>
      <w:t xml:space="preserve"> (Res. Nos. </w:t>
    </w:r>
    <w:r w:rsidR="00D469DD">
      <w:rPr>
        <w:b/>
        <w:sz w:val="24"/>
        <w:szCs w:val="24"/>
      </w:rPr>
      <w:t>831</w:t>
    </w:r>
    <w:r w:rsidR="00F90E41" w:rsidRPr="00AB6134">
      <w:rPr>
        <w:b/>
        <w:sz w:val="24"/>
        <w:szCs w:val="24"/>
      </w:rPr>
      <w:t>-</w:t>
    </w:r>
    <w:r w:rsidR="00D469DD">
      <w:rPr>
        <w:b/>
        <w:sz w:val="24"/>
        <w:szCs w:val="24"/>
      </w:rPr>
      <w:t>834</w:t>
    </w:r>
    <w:r w:rsidR="00F90E41" w:rsidRPr="00AB6134">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447A83"/>
    <w:multiLevelType w:val="hybridMultilevel"/>
    <w:tmpl w:val="81DE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66021"/>
    <w:multiLevelType w:val="hybridMultilevel"/>
    <w:tmpl w:val="43E6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2"/>
  </w:num>
  <w:num w:numId="6">
    <w:abstractNumId w:val="0"/>
  </w:num>
  <w:num w:numId="7">
    <w:abstractNumId w:val="11"/>
  </w:num>
  <w:num w:numId="8">
    <w:abstractNumId w:val="3"/>
  </w:num>
  <w:num w:numId="9">
    <w:abstractNumId w:val="8"/>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35141"/>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D2049"/>
    <w:rsid w:val="002E3ABA"/>
    <w:rsid w:val="002F58E9"/>
    <w:rsid w:val="002F5CB4"/>
    <w:rsid w:val="002F7B48"/>
    <w:rsid w:val="00306524"/>
    <w:rsid w:val="003134E7"/>
    <w:rsid w:val="00331FDB"/>
    <w:rsid w:val="003336C1"/>
    <w:rsid w:val="003410BD"/>
    <w:rsid w:val="00342EC3"/>
    <w:rsid w:val="00343BA4"/>
    <w:rsid w:val="003458BF"/>
    <w:rsid w:val="003574CE"/>
    <w:rsid w:val="00362003"/>
    <w:rsid w:val="00362E64"/>
    <w:rsid w:val="003672FC"/>
    <w:rsid w:val="00367CD7"/>
    <w:rsid w:val="0037232E"/>
    <w:rsid w:val="00382769"/>
    <w:rsid w:val="003B171F"/>
    <w:rsid w:val="003B4966"/>
    <w:rsid w:val="003C4F48"/>
    <w:rsid w:val="003D00D6"/>
    <w:rsid w:val="003D3B3F"/>
    <w:rsid w:val="003E33D0"/>
    <w:rsid w:val="00401657"/>
    <w:rsid w:val="004062C1"/>
    <w:rsid w:val="00446196"/>
    <w:rsid w:val="0044724C"/>
    <w:rsid w:val="0046504D"/>
    <w:rsid w:val="00485687"/>
    <w:rsid w:val="004A11E9"/>
    <w:rsid w:val="004A67AA"/>
    <w:rsid w:val="004B110A"/>
    <w:rsid w:val="004D4F79"/>
    <w:rsid w:val="004D75E1"/>
    <w:rsid w:val="004E4066"/>
    <w:rsid w:val="004E45EA"/>
    <w:rsid w:val="004F0D6D"/>
    <w:rsid w:val="004F39B5"/>
    <w:rsid w:val="004F7BB9"/>
    <w:rsid w:val="00502382"/>
    <w:rsid w:val="00502A0B"/>
    <w:rsid w:val="005035F6"/>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6013"/>
    <w:rsid w:val="00593943"/>
    <w:rsid w:val="005A159C"/>
    <w:rsid w:val="005A299B"/>
    <w:rsid w:val="005C3812"/>
    <w:rsid w:val="005E12DC"/>
    <w:rsid w:val="005E16D9"/>
    <w:rsid w:val="005E5B80"/>
    <w:rsid w:val="005E76ED"/>
    <w:rsid w:val="0060042F"/>
    <w:rsid w:val="006225A8"/>
    <w:rsid w:val="006228B2"/>
    <w:rsid w:val="00625B86"/>
    <w:rsid w:val="00632DBC"/>
    <w:rsid w:val="006357EF"/>
    <w:rsid w:val="00641F96"/>
    <w:rsid w:val="00645834"/>
    <w:rsid w:val="006507DB"/>
    <w:rsid w:val="00651C7B"/>
    <w:rsid w:val="0065326C"/>
    <w:rsid w:val="00661C15"/>
    <w:rsid w:val="00661D83"/>
    <w:rsid w:val="006627BF"/>
    <w:rsid w:val="00666A18"/>
    <w:rsid w:val="006721B3"/>
    <w:rsid w:val="006876C3"/>
    <w:rsid w:val="006A378B"/>
    <w:rsid w:val="006B01F0"/>
    <w:rsid w:val="006B0678"/>
    <w:rsid w:val="006B4A62"/>
    <w:rsid w:val="006C02E8"/>
    <w:rsid w:val="006C55DB"/>
    <w:rsid w:val="006D6E02"/>
    <w:rsid w:val="006E18F9"/>
    <w:rsid w:val="006E640C"/>
    <w:rsid w:val="006E6D25"/>
    <w:rsid w:val="007105B3"/>
    <w:rsid w:val="0071456F"/>
    <w:rsid w:val="00720732"/>
    <w:rsid w:val="00720E53"/>
    <w:rsid w:val="007304AA"/>
    <w:rsid w:val="00730FC3"/>
    <w:rsid w:val="007311A2"/>
    <w:rsid w:val="00736830"/>
    <w:rsid w:val="00745C38"/>
    <w:rsid w:val="0075798E"/>
    <w:rsid w:val="0077230A"/>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A70CC"/>
    <w:rsid w:val="008B05E5"/>
    <w:rsid w:val="008B1ADE"/>
    <w:rsid w:val="008C57EF"/>
    <w:rsid w:val="008D2BD5"/>
    <w:rsid w:val="008D713C"/>
    <w:rsid w:val="008E45FC"/>
    <w:rsid w:val="008F652C"/>
    <w:rsid w:val="009019B7"/>
    <w:rsid w:val="00912D20"/>
    <w:rsid w:val="009139E3"/>
    <w:rsid w:val="00920E58"/>
    <w:rsid w:val="00930CCF"/>
    <w:rsid w:val="009346A6"/>
    <w:rsid w:val="009367B0"/>
    <w:rsid w:val="00940F52"/>
    <w:rsid w:val="00944498"/>
    <w:rsid w:val="0096249B"/>
    <w:rsid w:val="009751A7"/>
    <w:rsid w:val="009761F7"/>
    <w:rsid w:val="0098234B"/>
    <w:rsid w:val="0099137D"/>
    <w:rsid w:val="009914A9"/>
    <w:rsid w:val="00993766"/>
    <w:rsid w:val="00995826"/>
    <w:rsid w:val="009978F4"/>
    <w:rsid w:val="009A07E4"/>
    <w:rsid w:val="009A4F94"/>
    <w:rsid w:val="009A5CBC"/>
    <w:rsid w:val="009B2BD9"/>
    <w:rsid w:val="009C1EAF"/>
    <w:rsid w:val="009D048C"/>
    <w:rsid w:val="009E2D7B"/>
    <w:rsid w:val="009F6D7B"/>
    <w:rsid w:val="00A04D57"/>
    <w:rsid w:val="00A24D52"/>
    <w:rsid w:val="00A34A23"/>
    <w:rsid w:val="00A35B26"/>
    <w:rsid w:val="00A46D4D"/>
    <w:rsid w:val="00A70BA6"/>
    <w:rsid w:val="00A7408D"/>
    <w:rsid w:val="00A819F7"/>
    <w:rsid w:val="00A83A1C"/>
    <w:rsid w:val="00A91F53"/>
    <w:rsid w:val="00AA5076"/>
    <w:rsid w:val="00AA5556"/>
    <w:rsid w:val="00AB5ADB"/>
    <w:rsid w:val="00AB6134"/>
    <w:rsid w:val="00AC2BAD"/>
    <w:rsid w:val="00AC55AD"/>
    <w:rsid w:val="00AC70A6"/>
    <w:rsid w:val="00AD287E"/>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1E60"/>
    <w:rsid w:val="00C43A23"/>
    <w:rsid w:val="00C45B5E"/>
    <w:rsid w:val="00C469DA"/>
    <w:rsid w:val="00C512C5"/>
    <w:rsid w:val="00C517BC"/>
    <w:rsid w:val="00C66096"/>
    <w:rsid w:val="00C82611"/>
    <w:rsid w:val="00CA77CA"/>
    <w:rsid w:val="00CC4F29"/>
    <w:rsid w:val="00CD0CF2"/>
    <w:rsid w:val="00CD1900"/>
    <w:rsid w:val="00CD1CD3"/>
    <w:rsid w:val="00CF4952"/>
    <w:rsid w:val="00CF56E6"/>
    <w:rsid w:val="00CF5D21"/>
    <w:rsid w:val="00CF68F7"/>
    <w:rsid w:val="00CF6AAC"/>
    <w:rsid w:val="00CF7581"/>
    <w:rsid w:val="00D113D0"/>
    <w:rsid w:val="00D1502E"/>
    <w:rsid w:val="00D277DF"/>
    <w:rsid w:val="00D45CF7"/>
    <w:rsid w:val="00D469DD"/>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697DC-07D4-4E04-BA73-9A42175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47A5-E7CD-4D4D-A4DD-5ED4EB8B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2019-04-22T19:55:00Z</dcterms:created>
  <dcterms:modified xsi:type="dcterms:W3CDTF">2019-04-22T19:55:00Z</dcterms:modified>
</cp:coreProperties>
</file>