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43" w:rsidRDefault="00B26744" w:rsidP="0037008D">
      <w:pPr>
        <w:suppressLineNumbers/>
        <w:spacing w:after="0" w:line="240" w:lineRule="auto"/>
        <w:jc w:val="center"/>
      </w:pPr>
      <w:r>
        <w:t>Int. No.</w:t>
      </w:r>
      <w:r w:rsidR="005E01BC">
        <w:t xml:space="preserve"> </w:t>
      </w:r>
      <w:r w:rsidR="006F1C68">
        <w:t>1535</w:t>
      </w:r>
      <w:bookmarkStart w:id="0" w:name="_GoBack"/>
      <w:bookmarkEnd w:id="0"/>
    </w:p>
    <w:p w:rsidR="0037008D" w:rsidRDefault="0037008D" w:rsidP="0037008D">
      <w:pPr>
        <w:suppressLineNumbers/>
        <w:spacing w:after="0" w:line="240" w:lineRule="auto"/>
      </w:pPr>
    </w:p>
    <w:p w:rsidR="00E70DF1" w:rsidRDefault="00E70DF1" w:rsidP="00E70DF1">
      <w:pPr>
        <w:suppressLineNumbers/>
        <w:spacing w:after="0" w:line="240" w:lineRule="auto"/>
      </w:pPr>
      <w:r>
        <w:t xml:space="preserve">By </w:t>
      </w:r>
      <w:r w:rsidR="00F147F9">
        <w:t xml:space="preserve">Council Member Rosenthal </w:t>
      </w:r>
    </w:p>
    <w:p w:rsidR="0037008D" w:rsidRDefault="0037008D" w:rsidP="0037008D">
      <w:pPr>
        <w:suppressLineNumbers/>
        <w:spacing w:after="0" w:line="240" w:lineRule="auto"/>
        <w:jc w:val="both"/>
      </w:pPr>
    </w:p>
    <w:p w:rsidR="0037008D" w:rsidRPr="0037008D" w:rsidRDefault="0037008D" w:rsidP="0037008D">
      <w:pPr>
        <w:suppressLineNumbers/>
        <w:spacing w:after="0" w:line="240" w:lineRule="auto"/>
        <w:jc w:val="both"/>
        <w:rPr>
          <w:vanish/>
        </w:rPr>
      </w:pPr>
      <w:r w:rsidRPr="0037008D">
        <w:rPr>
          <w:vanish/>
        </w:rPr>
        <w:t>..Title</w:t>
      </w:r>
    </w:p>
    <w:p w:rsidR="00CF3DF1" w:rsidRDefault="0016655B" w:rsidP="00CF3DF1">
      <w:pPr>
        <w:suppressLineNumbers/>
        <w:spacing w:after="0" w:line="240" w:lineRule="auto"/>
        <w:jc w:val="both"/>
      </w:pPr>
      <w:r>
        <w:t>A Local Law re</w:t>
      </w:r>
      <w:r w:rsidR="00CF3DF1">
        <w:t>quiring the board of correction to convene a task force to address polices related to the treatment of transgender, gender non-conforming, and non-binary individuals in the department of correction</w:t>
      </w:r>
    </w:p>
    <w:p w:rsidR="0037008D" w:rsidRPr="0037008D" w:rsidRDefault="0037008D" w:rsidP="0037008D">
      <w:pPr>
        <w:suppressLineNumbers/>
        <w:spacing w:after="0" w:line="240" w:lineRule="auto"/>
        <w:jc w:val="both"/>
        <w:rPr>
          <w:vanish/>
        </w:rPr>
      </w:pPr>
      <w:r w:rsidRPr="0037008D">
        <w:rPr>
          <w:vanish/>
        </w:rPr>
        <w:t>..Body</w:t>
      </w:r>
    </w:p>
    <w:p w:rsidR="0037008D" w:rsidRDefault="0037008D" w:rsidP="0037008D">
      <w:pPr>
        <w:suppressLineNumbers/>
        <w:spacing w:after="0" w:line="240" w:lineRule="auto"/>
        <w:jc w:val="both"/>
      </w:pPr>
    </w:p>
    <w:p w:rsidR="00333443" w:rsidRPr="00333443" w:rsidRDefault="00333443" w:rsidP="00F527D0">
      <w:pPr>
        <w:suppressLineNumbers/>
        <w:jc w:val="both"/>
        <w:rPr>
          <w:u w:val="single"/>
        </w:rPr>
      </w:pPr>
      <w:r w:rsidRPr="00333443">
        <w:rPr>
          <w:u w:val="single"/>
        </w:rPr>
        <w:t>Be it enacted by the Council as follows:</w:t>
      </w:r>
    </w:p>
    <w:p w:rsidR="00333443" w:rsidRPr="00202E54" w:rsidRDefault="00333443" w:rsidP="0016730E">
      <w:pPr>
        <w:spacing w:after="0" w:line="480" w:lineRule="auto"/>
        <w:ind w:firstLine="720"/>
        <w:jc w:val="both"/>
      </w:pPr>
      <w:r w:rsidRPr="00202E54">
        <w:t xml:space="preserve">Section 1. a. </w:t>
      </w:r>
      <w:r w:rsidR="007E56EA">
        <w:t xml:space="preserve">The board of correction shall convene a task force </w:t>
      </w:r>
      <w:r w:rsidRPr="00202E54">
        <w:t xml:space="preserve">to </w:t>
      </w:r>
      <w:r w:rsidR="00B40E75">
        <w:t>review the department of correction’</w:t>
      </w:r>
      <w:r w:rsidR="007E56EA">
        <w:t>s</w:t>
      </w:r>
      <w:r w:rsidRPr="00202E54">
        <w:t xml:space="preserve"> policies related to </w:t>
      </w:r>
      <w:r w:rsidR="007E56EA">
        <w:t>the treatment</w:t>
      </w:r>
      <w:r w:rsidR="00F147F9">
        <w:t xml:space="preserve"> and housing of transgender, gender non-conforming, and non-binary individuals in the department of correction’s custody.  </w:t>
      </w:r>
    </w:p>
    <w:p w:rsidR="00333443" w:rsidRPr="00202E54" w:rsidRDefault="00333443" w:rsidP="00F527D0">
      <w:pPr>
        <w:spacing w:after="0" w:line="480" w:lineRule="auto"/>
        <w:ind w:firstLine="720"/>
        <w:jc w:val="both"/>
      </w:pPr>
      <w:r w:rsidRPr="00202E54">
        <w:t>b. Such task force shall con</w:t>
      </w:r>
      <w:r w:rsidR="00F147F9">
        <w:t>sist of, but not be limited to</w:t>
      </w:r>
      <w:r w:rsidR="002E7DA7">
        <w:t>,</w:t>
      </w:r>
      <w:r w:rsidR="00F147F9">
        <w:t xml:space="preserve"> a representative from the department of correction, a representative from correctional health services, </w:t>
      </w:r>
      <w:r w:rsidR="002E7DA7">
        <w:t>a representative from the</w:t>
      </w:r>
      <w:r w:rsidR="007E56EA">
        <w:t xml:space="preserve"> commission on human rights, </w:t>
      </w:r>
      <w:r w:rsidR="00F147F9">
        <w:t xml:space="preserve">and at least </w:t>
      </w:r>
      <w:r w:rsidR="007E56EA">
        <w:t>six</w:t>
      </w:r>
      <w:r w:rsidR="00F147F9">
        <w:t xml:space="preserve"> representatives in the following categories: </w:t>
      </w:r>
      <w:r w:rsidR="00B40E75">
        <w:t xml:space="preserve">people formerly and currently incarcerated in the transgender housing unit, </w:t>
      </w:r>
      <w:r w:rsidR="00E040E7">
        <w:t xml:space="preserve">service </w:t>
      </w:r>
      <w:r w:rsidR="00B40E75">
        <w:t xml:space="preserve">providers </w:t>
      </w:r>
      <w:r w:rsidR="00E040E7">
        <w:t xml:space="preserve">that address </w:t>
      </w:r>
      <w:r w:rsidR="00B40E75">
        <w:t>transgender</w:t>
      </w:r>
      <w:r w:rsidR="002E7DA7">
        <w:t>, gender non-conforming, and non-binary</w:t>
      </w:r>
      <w:r w:rsidR="00B40E75">
        <w:t xml:space="preserve"> individuals in custody, </w:t>
      </w:r>
      <w:r w:rsidR="007E56EA">
        <w:t xml:space="preserve">and local and national </w:t>
      </w:r>
      <w:r w:rsidR="00B40E75">
        <w:t xml:space="preserve">experts in issues related </w:t>
      </w:r>
      <w:r w:rsidR="007E56EA">
        <w:t xml:space="preserve">to transgender policy. </w:t>
      </w:r>
    </w:p>
    <w:p w:rsidR="00062C9B" w:rsidRPr="00202E54" w:rsidRDefault="00062C9B" w:rsidP="0016730E">
      <w:pPr>
        <w:spacing w:after="0" w:line="480" w:lineRule="auto"/>
        <w:ind w:firstLine="720"/>
        <w:jc w:val="both"/>
      </w:pPr>
      <w:r w:rsidRPr="00202E54">
        <w:t xml:space="preserve">c. Each member shall serve for a term of </w:t>
      </w:r>
      <w:r w:rsidR="0069668E">
        <w:t>eight years</w:t>
      </w:r>
      <w:r w:rsidRPr="00202E54">
        <w:t xml:space="preserve"> to commence after the final member of the task force is appointed. Any vacancies in the membership of the task force shall be filled in the same manner as the original appointment. A person filling such vacancy shall serve the unexpired portion of the term of the succeeded member. All members shall be appointed to the task force within </w:t>
      </w:r>
      <w:r w:rsidR="00530781">
        <w:t>60</w:t>
      </w:r>
      <w:r w:rsidRPr="00202E54">
        <w:t xml:space="preserve"> days of the enactment of this local law.</w:t>
      </w:r>
    </w:p>
    <w:p w:rsidR="00062C9B" w:rsidRPr="00202E54" w:rsidRDefault="00062C9B" w:rsidP="0016730E">
      <w:pPr>
        <w:spacing w:after="0" w:line="480" w:lineRule="auto"/>
        <w:ind w:firstLine="720"/>
        <w:jc w:val="both"/>
      </w:pPr>
      <w:r w:rsidRPr="00202E54">
        <w:t xml:space="preserve">d. No member shall be removed from </w:t>
      </w:r>
      <w:r w:rsidR="008537F8">
        <w:t>the task force</w:t>
      </w:r>
      <w:r w:rsidRPr="00202E54">
        <w:t xml:space="preserve"> excep</w:t>
      </w:r>
      <w:r w:rsidR="002E7DA7">
        <w:t xml:space="preserve">t for cause and upon notice and </w:t>
      </w:r>
      <w:r w:rsidRPr="00202E54">
        <w:t>hearing by the appropriate appointing official.</w:t>
      </w:r>
    </w:p>
    <w:p w:rsidR="00062C9B" w:rsidRPr="00202E54" w:rsidRDefault="00062C9B" w:rsidP="0016730E">
      <w:pPr>
        <w:spacing w:after="0" w:line="480" w:lineRule="auto"/>
        <w:ind w:firstLine="720"/>
        <w:jc w:val="both"/>
      </w:pPr>
      <w:r w:rsidRPr="00202E54">
        <w:t xml:space="preserve">e. Members of the task force shall serve without compensation and </w:t>
      </w:r>
      <w:r w:rsidR="008537F8">
        <w:t>shall</w:t>
      </w:r>
      <w:r w:rsidRPr="00202E54">
        <w:t xml:space="preserve"> meet </w:t>
      </w:r>
      <w:r w:rsidR="008537F8">
        <w:t>no less often than</w:t>
      </w:r>
      <w:r w:rsidRPr="00202E54">
        <w:t xml:space="preserve"> on a quarterly basis.</w:t>
      </w:r>
    </w:p>
    <w:p w:rsidR="00062C9B" w:rsidRPr="00202E54" w:rsidRDefault="00062C9B" w:rsidP="0016730E">
      <w:pPr>
        <w:spacing w:after="0" w:line="480" w:lineRule="auto"/>
        <w:ind w:firstLine="720"/>
        <w:jc w:val="both"/>
      </w:pPr>
      <w:r w:rsidRPr="00202E54">
        <w:lastRenderedPageBreak/>
        <w:t xml:space="preserve">f. </w:t>
      </w:r>
      <w:r w:rsidR="00530781">
        <w:t>Within one year of the formation of the task force, such</w:t>
      </w:r>
      <w:r w:rsidRPr="00202E54">
        <w:t xml:space="preserve"> task for</w:t>
      </w:r>
      <w:r w:rsidR="00B26744" w:rsidRPr="00202E54">
        <w:t>ce</w:t>
      </w:r>
      <w:r w:rsidRPr="00202E54">
        <w:t xml:space="preserve"> shall </w:t>
      </w:r>
      <w:r w:rsidR="007441A2">
        <w:t>submit</w:t>
      </w:r>
      <w:r w:rsidRPr="00202E54">
        <w:t xml:space="preserve"> a report </w:t>
      </w:r>
      <w:r w:rsidR="00E576EC">
        <w:t xml:space="preserve">containing </w:t>
      </w:r>
      <w:r w:rsidR="006429C8">
        <w:t xml:space="preserve">recommendations to improve </w:t>
      </w:r>
      <w:r w:rsidR="007E56EA" w:rsidRPr="007E56EA">
        <w:t>policies related to the treatment and housing of transgender, gender non-conforming, and non-binary individuals in the department of correction’s custody</w:t>
      </w:r>
      <w:r w:rsidR="003B749D">
        <w:t>, and a summary of key findings</w:t>
      </w:r>
      <w:r w:rsidR="007E56EA" w:rsidRPr="007E56EA">
        <w:t xml:space="preserve"> </w:t>
      </w:r>
      <w:r w:rsidR="00530781">
        <w:t>to the mayor</w:t>
      </w:r>
      <w:r w:rsidR="0069668E">
        <w:t xml:space="preserve"> </w:t>
      </w:r>
      <w:r w:rsidR="003B749D">
        <w:t xml:space="preserve">and the speaker of the council. </w:t>
      </w:r>
      <w:r w:rsidR="007F0046">
        <w:t xml:space="preserve">The task force shall continue to submit yearly reports thereafter until its termination. </w:t>
      </w:r>
    </w:p>
    <w:p w:rsidR="00B26744" w:rsidRPr="00202E54" w:rsidRDefault="00B26744" w:rsidP="0016730E">
      <w:pPr>
        <w:spacing w:after="0" w:line="480" w:lineRule="auto"/>
        <w:ind w:firstLine="720"/>
        <w:jc w:val="both"/>
      </w:pPr>
      <w:r w:rsidRPr="00202E54">
        <w:t>g.</w:t>
      </w:r>
      <w:r w:rsidR="007F0046">
        <w:t xml:space="preserve"> </w:t>
      </w:r>
      <w:r w:rsidRPr="00202E54">
        <w:t xml:space="preserve">The task force shall terminate upon issuance of </w:t>
      </w:r>
      <w:r w:rsidR="007F0046">
        <w:t>a final yearly report, to be submitted in the year 2027.</w:t>
      </w:r>
    </w:p>
    <w:p w:rsidR="00333443" w:rsidRDefault="00333443" w:rsidP="0016730E">
      <w:pPr>
        <w:ind w:firstLine="720"/>
        <w:jc w:val="both"/>
      </w:pPr>
      <w:r w:rsidRPr="00202E54">
        <w:t>§ 2. This local law take</w:t>
      </w:r>
      <w:r w:rsidR="00530781">
        <w:t>s</w:t>
      </w:r>
      <w:r w:rsidRPr="00202E54">
        <w:t xml:space="preserve"> effect immediately</w:t>
      </w:r>
      <w:r w:rsidR="00530781">
        <w:t>.</w:t>
      </w:r>
    </w:p>
    <w:p w:rsidR="008537F8" w:rsidRDefault="008537F8" w:rsidP="00530781">
      <w:pPr>
        <w:suppressLineNumbers/>
        <w:ind w:firstLine="720"/>
        <w:jc w:val="both"/>
      </w:pPr>
    </w:p>
    <w:p w:rsidR="008537F8" w:rsidRDefault="008537F8" w:rsidP="00530781">
      <w:pPr>
        <w:suppressLineNumbers/>
        <w:ind w:firstLine="720"/>
        <w:jc w:val="both"/>
      </w:pPr>
    </w:p>
    <w:p w:rsidR="00BD347A" w:rsidRDefault="00B40E75" w:rsidP="00530781">
      <w:pPr>
        <w:suppressLineNumbers/>
        <w:spacing w:after="0" w:line="240" w:lineRule="auto"/>
        <w:rPr>
          <w:sz w:val="18"/>
          <w:szCs w:val="18"/>
        </w:rPr>
      </w:pPr>
      <w:r>
        <w:rPr>
          <w:sz w:val="18"/>
          <w:szCs w:val="18"/>
        </w:rPr>
        <w:t>AS</w:t>
      </w:r>
    </w:p>
    <w:p w:rsidR="00530781" w:rsidRPr="00BD347A" w:rsidRDefault="00530781" w:rsidP="00530781">
      <w:pPr>
        <w:suppressLineNumbers/>
        <w:spacing w:after="0" w:line="240" w:lineRule="auto"/>
        <w:rPr>
          <w:sz w:val="18"/>
          <w:szCs w:val="18"/>
        </w:rPr>
      </w:pPr>
      <w:r>
        <w:rPr>
          <w:sz w:val="18"/>
          <w:szCs w:val="18"/>
        </w:rPr>
        <w:t xml:space="preserve">LS </w:t>
      </w:r>
      <w:r w:rsidR="007E56EA">
        <w:rPr>
          <w:sz w:val="18"/>
          <w:szCs w:val="18"/>
        </w:rPr>
        <w:t>8236</w:t>
      </w:r>
    </w:p>
    <w:p w:rsidR="00BD347A" w:rsidRPr="00530781" w:rsidRDefault="007F0046" w:rsidP="00530781">
      <w:pPr>
        <w:suppressLineNumbers/>
        <w:spacing w:after="0" w:line="240" w:lineRule="auto"/>
        <w:rPr>
          <w:sz w:val="18"/>
          <w:szCs w:val="18"/>
        </w:rPr>
      </w:pPr>
      <w:r>
        <w:rPr>
          <w:sz w:val="18"/>
          <w:szCs w:val="18"/>
        </w:rPr>
        <w:t>4/11/19</w:t>
      </w:r>
    </w:p>
    <w:sectPr w:rsidR="00BD347A" w:rsidRPr="00530781" w:rsidSect="00530781">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43"/>
    <w:rsid w:val="00001F58"/>
    <w:rsid w:val="00062C9B"/>
    <w:rsid w:val="0016655B"/>
    <w:rsid w:val="0016730E"/>
    <w:rsid w:val="001F40C2"/>
    <w:rsid w:val="00202E54"/>
    <w:rsid w:val="002A66DE"/>
    <w:rsid w:val="002E7DA7"/>
    <w:rsid w:val="00333443"/>
    <w:rsid w:val="0037008D"/>
    <w:rsid w:val="003B749D"/>
    <w:rsid w:val="00530781"/>
    <w:rsid w:val="00580989"/>
    <w:rsid w:val="005E01BC"/>
    <w:rsid w:val="00636F8B"/>
    <w:rsid w:val="006429C8"/>
    <w:rsid w:val="00677098"/>
    <w:rsid w:val="0069668E"/>
    <w:rsid w:val="006B5CA3"/>
    <w:rsid w:val="006F1C68"/>
    <w:rsid w:val="00704189"/>
    <w:rsid w:val="00736233"/>
    <w:rsid w:val="007441A2"/>
    <w:rsid w:val="00765A05"/>
    <w:rsid w:val="00786CD6"/>
    <w:rsid w:val="007E56EA"/>
    <w:rsid w:val="007F0046"/>
    <w:rsid w:val="00802826"/>
    <w:rsid w:val="008537F8"/>
    <w:rsid w:val="00940957"/>
    <w:rsid w:val="00B26744"/>
    <w:rsid w:val="00B32945"/>
    <w:rsid w:val="00B40E75"/>
    <w:rsid w:val="00BD347A"/>
    <w:rsid w:val="00BF0733"/>
    <w:rsid w:val="00C17723"/>
    <w:rsid w:val="00CC3FC9"/>
    <w:rsid w:val="00CF3DF1"/>
    <w:rsid w:val="00DE7332"/>
    <w:rsid w:val="00E040E7"/>
    <w:rsid w:val="00E576EC"/>
    <w:rsid w:val="00E70DF1"/>
    <w:rsid w:val="00F147F9"/>
    <w:rsid w:val="00F33D74"/>
    <w:rsid w:val="00F527D0"/>
    <w:rsid w:val="00F72A2B"/>
    <w:rsid w:val="00F9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BB70"/>
  <w15:docId w15:val="{B981AFCF-157B-4AC5-BA1A-A5DDDC63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F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6F8B"/>
    <w:rPr>
      <w:rFonts w:ascii="Tahoma" w:hAnsi="Tahoma" w:cs="Tahoma"/>
      <w:sz w:val="16"/>
      <w:szCs w:val="16"/>
    </w:rPr>
  </w:style>
  <w:style w:type="character" w:styleId="LineNumber">
    <w:name w:val="line number"/>
    <w:basedOn w:val="DefaultParagraphFont"/>
    <w:uiPriority w:val="99"/>
    <w:semiHidden/>
    <w:unhideWhenUsed/>
    <w:rsid w:val="00530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DBB8-39EB-4CE2-BA6D-CB29CABA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Aisiku, Ojeiku</dc:creator>
  <cp:keywords/>
  <cp:lastModifiedBy>DelFranco, Ruthie</cp:lastModifiedBy>
  <cp:revision>4</cp:revision>
  <cp:lastPrinted>2017-12-06T00:33:00Z</cp:lastPrinted>
  <dcterms:created xsi:type="dcterms:W3CDTF">2019-04-16T00:10:00Z</dcterms:created>
  <dcterms:modified xsi:type="dcterms:W3CDTF">2019-04-17T19:27:00Z</dcterms:modified>
</cp:coreProperties>
</file>