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A57471">
      <w:pPr>
        <w:jc w:val="center"/>
        <w:rPr>
          <w:b/>
          <w:sz w:val="24"/>
        </w:rPr>
      </w:pPr>
      <w:r>
        <w:rPr>
          <w:b/>
          <w:sz w:val="24"/>
        </w:rPr>
        <w:t>AND THE</w:t>
      </w:r>
    </w:p>
    <w:p w:rsidR="00E4613D" w:rsidRDefault="00E4613D">
      <w:pPr>
        <w:jc w:val="center"/>
        <w:rPr>
          <w:b/>
          <w:sz w:val="24"/>
        </w:rPr>
      </w:pPr>
      <w:r>
        <w:rPr>
          <w:b/>
          <w:sz w:val="24"/>
        </w:rPr>
        <w:t>SUBCOMMITTEE ON PLANNING, DISPOSITIONS</w:t>
      </w:r>
    </w:p>
    <w:p w:rsidR="00E4613D" w:rsidRDefault="00E4613D">
      <w:pPr>
        <w:jc w:val="center"/>
        <w:rPr>
          <w:b/>
          <w:sz w:val="24"/>
        </w:rPr>
      </w:pPr>
      <w:r>
        <w:rPr>
          <w:b/>
          <w:sz w:val="24"/>
        </w:rPr>
        <w:t>AND CONCESSIONS</w:t>
      </w:r>
    </w:p>
    <w:p w:rsidR="00E4613D" w:rsidRDefault="00E4613D">
      <w:pPr>
        <w:jc w:val="center"/>
        <w:rPr>
          <w:b/>
          <w:sz w:val="24"/>
        </w:rPr>
      </w:pPr>
    </w:p>
    <w:p w:rsidR="00E4613D" w:rsidRDefault="00E4613D">
      <w:pPr>
        <w:jc w:val="center"/>
        <w:rPr>
          <w:b/>
          <w:sz w:val="24"/>
        </w:rPr>
      </w:pPr>
      <w:r>
        <w:rPr>
          <w:b/>
          <w:sz w:val="24"/>
        </w:rPr>
        <w:t xml:space="preserve">L.U. No. </w:t>
      </w:r>
      <w:r w:rsidR="008C06CC">
        <w:rPr>
          <w:b/>
          <w:sz w:val="24"/>
        </w:rPr>
        <w:t>3</w:t>
      </w:r>
      <w:r w:rsidR="00B52B35">
        <w:rPr>
          <w:b/>
          <w:sz w:val="24"/>
        </w:rPr>
        <w:t>30</w:t>
      </w:r>
      <w:r>
        <w:rPr>
          <w:b/>
          <w:sz w:val="24"/>
        </w:rPr>
        <w:t xml:space="preserve"> (Res. No.</w:t>
      </w:r>
      <w:r w:rsidR="00A17B48">
        <w:rPr>
          <w:b/>
          <w:sz w:val="24"/>
        </w:rPr>
        <w:t xml:space="preserve"> </w:t>
      </w:r>
      <w:r w:rsidR="00795159">
        <w:rPr>
          <w:b/>
          <w:sz w:val="24"/>
        </w:rPr>
        <w:t>782</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9C2986">
        <w:rPr>
          <w:b/>
          <w:sz w:val="24"/>
        </w:rPr>
        <w:t>Kallos</w:t>
      </w:r>
    </w:p>
    <w:p w:rsidR="00E4613D" w:rsidRDefault="00E4613D">
      <w:pPr>
        <w:rPr>
          <w:b/>
          <w:sz w:val="24"/>
        </w:rPr>
      </w:pPr>
    </w:p>
    <w:p w:rsidR="00E4613D" w:rsidRDefault="00E4613D">
      <w:pPr>
        <w:rPr>
          <w:b/>
          <w:sz w:val="24"/>
        </w:rPr>
      </w:pPr>
    </w:p>
    <w:p w:rsidR="00E4613D" w:rsidRDefault="00E4613D">
      <w:pPr>
        <w:pStyle w:val="Heading2"/>
      </w:pPr>
      <w:r>
        <w:t>SUBJECT</w:t>
      </w:r>
    </w:p>
    <w:p w:rsidR="008C06CC" w:rsidRDefault="008C06CC" w:rsidP="00223089">
      <w:pPr>
        <w:tabs>
          <w:tab w:val="left" w:pos="720"/>
          <w:tab w:val="left" w:pos="1440"/>
          <w:tab w:val="left" w:pos="7740"/>
        </w:tabs>
        <w:jc w:val="both"/>
        <w:rPr>
          <w:sz w:val="24"/>
        </w:rPr>
      </w:pPr>
    </w:p>
    <w:p w:rsidR="004117EF" w:rsidRPr="004117EF" w:rsidRDefault="004117EF" w:rsidP="00223089">
      <w:pPr>
        <w:tabs>
          <w:tab w:val="left" w:pos="720"/>
          <w:tab w:val="left" w:pos="1440"/>
          <w:tab w:val="left" w:pos="7740"/>
        </w:tabs>
        <w:jc w:val="both"/>
        <w:rPr>
          <w:b/>
          <w:sz w:val="24"/>
        </w:rPr>
      </w:pPr>
      <w:r w:rsidRPr="004117EF">
        <w:rPr>
          <w:b/>
          <w:sz w:val="24"/>
        </w:rPr>
        <w:t>MANHATTAN CB - 10</w:t>
      </w:r>
      <w:r w:rsidRPr="004117EF">
        <w:rPr>
          <w:b/>
          <w:sz w:val="24"/>
        </w:rPr>
        <w:tab/>
        <w:t>20195354 HAM</w:t>
      </w:r>
    </w:p>
    <w:p w:rsidR="004117EF" w:rsidRDefault="004117EF" w:rsidP="00223089">
      <w:pPr>
        <w:tabs>
          <w:tab w:val="left" w:pos="720"/>
          <w:tab w:val="left" w:pos="1440"/>
          <w:tab w:val="left" w:pos="7740"/>
        </w:tabs>
        <w:jc w:val="both"/>
        <w:rPr>
          <w:sz w:val="24"/>
        </w:rPr>
      </w:pPr>
    </w:p>
    <w:p w:rsidR="00223089" w:rsidRDefault="00223089" w:rsidP="00223089">
      <w:pPr>
        <w:tabs>
          <w:tab w:val="left" w:pos="720"/>
          <w:tab w:val="left" w:pos="1440"/>
          <w:tab w:val="left" w:pos="7740"/>
        </w:tabs>
        <w:jc w:val="both"/>
        <w:rPr>
          <w:sz w:val="24"/>
        </w:rPr>
      </w:pPr>
      <w:r>
        <w:rPr>
          <w:sz w:val="24"/>
        </w:rPr>
        <w:tab/>
        <w:t xml:space="preserve">Application submitted by the New York City Department of Housing Preservation and Development pursuant to Section 577 of Article XI of the Private Housing Finance Law for approval of a new real property tax exemption for property located at Block </w:t>
      </w:r>
      <w:r w:rsidR="008C06CC">
        <w:rPr>
          <w:sz w:val="24"/>
        </w:rPr>
        <w:t>1823</w:t>
      </w:r>
      <w:r w:rsidRPr="00C37073">
        <w:rPr>
          <w:sz w:val="24"/>
        </w:rPr>
        <w:t xml:space="preserve">, Lot </w:t>
      </w:r>
      <w:r w:rsidR="008C06CC">
        <w:rPr>
          <w:sz w:val="24"/>
        </w:rPr>
        <w:t>56</w:t>
      </w:r>
      <w:r>
        <w:rPr>
          <w:sz w:val="24"/>
        </w:rPr>
        <w:t>, and ter</w:t>
      </w:r>
      <w:r w:rsidR="008C06CC">
        <w:rPr>
          <w:sz w:val="24"/>
        </w:rPr>
        <w:t>mination of the prior exemption, Borough of Manhattan, Community District 10, Council District 9.</w:t>
      </w:r>
    </w:p>
    <w:p w:rsidR="00E4613D" w:rsidRDefault="00E4613D">
      <w:pPr>
        <w:rPr>
          <w:sz w:val="24"/>
        </w:rPr>
      </w:pPr>
    </w:p>
    <w:p w:rsidR="00602F02" w:rsidRPr="00602F02" w:rsidRDefault="00602F02">
      <w:pPr>
        <w:tabs>
          <w:tab w:val="left" w:pos="720"/>
          <w:tab w:val="left" w:pos="1440"/>
          <w:tab w:val="left" w:pos="7560"/>
        </w:tabs>
        <w:jc w:val="both"/>
        <w:rPr>
          <w:sz w:val="24"/>
          <w:szCs w:val="24"/>
        </w:rPr>
      </w:pPr>
    </w:p>
    <w:p w:rsidR="00E865F5" w:rsidRDefault="00E865F5">
      <w:pPr>
        <w:tabs>
          <w:tab w:val="left" w:pos="720"/>
          <w:tab w:val="left" w:pos="1440"/>
          <w:tab w:val="left" w:pos="7560"/>
        </w:tabs>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223089" w:rsidRDefault="00223089" w:rsidP="008C06CC">
      <w:pPr>
        <w:tabs>
          <w:tab w:val="left" w:pos="720"/>
          <w:tab w:val="left" w:pos="1440"/>
          <w:tab w:val="left" w:pos="7560"/>
        </w:tabs>
        <w:jc w:val="both"/>
        <w:rPr>
          <w:sz w:val="24"/>
        </w:rPr>
      </w:pPr>
      <w:r>
        <w:rPr>
          <w:sz w:val="24"/>
        </w:rPr>
        <w:tab/>
        <w:t xml:space="preserve">To approve a new real property tax exemption pursuant to Section 577 of Article XI of the Private Housing Finance Law and terminate the prior exemption for the Exemption Area which contains one multiple dwelling </w:t>
      </w:r>
      <w:r w:rsidR="008C06CC">
        <w:rPr>
          <w:sz w:val="24"/>
        </w:rPr>
        <w:t>which provides homeownership housing for low income families.</w:t>
      </w:r>
      <w:r>
        <w:rPr>
          <w:sz w:val="24"/>
        </w:rPr>
        <w:t xml:space="preserve"> </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8C06CC">
        <w:rPr>
          <w:sz w:val="24"/>
        </w:rPr>
        <w:t>February 11, 2019</w:t>
      </w:r>
    </w:p>
    <w:p w:rsidR="00E4613D" w:rsidRDefault="00E4613D">
      <w:pPr>
        <w:jc w:val="both"/>
        <w:rPr>
          <w:sz w:val="24"/>
        </w:rPr>
      </w:pPr>
    </w:p>
    <w:p w:rsidR="00E4613D" w:rsidRPr="004117EF" w:rsidRDefault="00E4613D">
      <w:pPr>
        <w:jc w:val="both"/>
        <w:rPr>
          <w:rStyle w:val="Emphasis"/>
        </w:rPr>
      </w:pPr>
      <w:r>
        <w:rPr>
          <w:sz w:val="24"/>
        </w:rPr>
        <w:tab/>
      </w:r>
      <w:r>
        <w:rPr>
          <w:b/>
          <w:sz w:val="24"/>
        </w:rPr>
        <w:t>Witnesses in Favor:</w:t>
      </w:r>
      <w:r>
        <w:rPr>
          <w:sz w:val="24"/>
        </w:rPr>
        <w:t xml:space="preserve">  </w:t>
      </w:r>
      <w:r w:rsidR="004117EF">
        <w:rPr>
          <w:sz w:val="24"/>
        </w:rPr>
        <w:t>Two</w:t>
      </w:r>
      <w:r>
        <w:rPr>
          <w:sz w:val="24"/>
        </w:rPr>
        <w:tab/>
      </w:r>
      <w:r>
        <w:rPr>
          <w:sz w:val="24"/>
        </w:rPr>
        <w:tab/>
      </w:r>
      <w:r>
        <w:rPr>
          <w:sz w:val="24"/>
        </w:rPr>
        <w:tab/>
      </w:r>
      <w:r w:rsidR="008C06CC">
        <w:rPr>
          <w:sz w:val="24"/>
        </w:rPr>
        <w:tab/>
      </w:r>
      <w:r>
        <w:rPr>
          <w:b/>
          <w:sz w:val="24"/>
        </w:rPr>
        <w:t>Witnesses Against:</w:t>
      </w:r>
      <w:r>
        <w:rPr>
          <w:sz w:val="24"/>
        </w:rPr>
        <w:t xml:space="preserve">  </w:t>
      </w:r>
      <w:r w:rsidR="004117EF">
        <w:rPr>
          <w:sz w:val="24"/>
        </w:rPr>
        <w:t>None</w:t>
      </w:r>
    </w:p>
    <w:p w:rsidR="00E4613D" w:rsidRDefault="00E4613D">
      <w:pPr>
        <w:jc w:val="both"/>
        <w:rPr>
          <w:sz w:val="24"/>
        </w:rPr>
      </w:pPr>
    </w:p>
    <w:p w:rsidR="007C7914" w:rsidRDefault="007C7914" w:rsidP="007C7914"/>
    <w:p w:rsidR="00E4613D" w:rsidRDefault="00E4613D">
      <w:pPr>
        <w:pStyle w:val="Heading2"/>
        <w:jc w:val="both"/>
      </w:pPr>
      <w:r>
        <w:lastRenderedPageBreak/>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4117EF">
        <w:rPr>
          <w:sz w:val="24"/>
        </w:rPr>
        <w:t>March 6</w:t>
      </w:r>
      <w:r w:rsidR="008C06CC">
        <w:rPr>
          <w:sz w:val="24"/>
        </w:rPr>
        <w:t>, 2019</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357AD9" w:rsidRDefault="00357AD9" w:rsidP="00357AD9">
      <w:pPr>
        <w:jc w:val="both"/>
        <w:rPr>
          <w:sz w:val="24"/>
        </w:rPr>
      </w:pPr>
      <w:r>
        <w:rPr>
          <w:sz w:val="24"/>
        </w:rPr>
        <w:t>Kallos</w:t>
      </w:r>
      <w:r>
        <w:rPr>
          <w:sz w:val="24"/>
        </w:rPr>
        <w:tab/>
      </w:r>
      <w:r>
        <w:rPr>
          <w:sz w:val="24"/>
        </w:rPr>
        <w:tab/>
      </w:r>
      <w:r>
        <w:rPr>
          <w:sz w:val="24"/>
        </w:rPr>
        <w:tab/>
      </w:r>
      <w:r>
        <w:rPr>
          <w:sz w:val="24"/>
        </w:rPr>
        <w:tab/>
        <w:t>None</w:t>
      </w:r>
      <w:r>
        <w:rPr>
          <w:sz w:val="24"/>
        </w:rPr>
        <w:tab/>
      </w:r>
      <w:r>
        <w:rPr>
          <w:sz w:val="24"/>
        </w:rPr>
        <w:tab/>
      </w:r>
      <w:r>
        <w:rPr>
          <w:sz w:val="24"/>
        </w:rPr>
        <w:tab/>
      </w:r>
      <w:r>
        <w:rPr>
          <w:sz w:val="24"/>
        </w:rPr>
        <w:tab/>
        <w:t>None</w:t>
      </w:r>
    </w:p>
    <w:p w:rsidR="00357AD9" w:rsidRDefault="00357AD9" w:rsidP="00357AD9">
      <w:pPr>
        <w:jc w:val="both"/>
        <w:rPr>
          <w:sz w:val="24"/>
        </w:rPr>
      </w:pPr>
      <w:r>
        <w:rPr>
          <w:sz w:val="24"/>
        </w:rPr>
        <w:t>Gibson</w:t>
      </w:r>
    </w:p>
    <w:p w:rsidR="00A50708" w:rsidRDefault="00357AD9">
      <w:pPr>
        <w:jc w:val="both"/>
        <w:rPr>
          <w:sz w:val="24"/>
        </w:rPr>
      </w:pPr>
      <w:r>
        <w:rPr>
          <w:sz w:val="24"/>
        </w:rPr>
        <w:t>Deutsch</w:t>
      </w:r>
    </w:p>
    <w:p w:rsidR="00E4613D" w:rsidRDefault="00A50708">
      <w:pPr>
        <w:jc w:val="both"/>
        <w:rPr>
          <w:sz w:val="24"/>
        </w:rPr>
      </w:pPr>
      <w:r>
        <w:rPr>
          <w:sz w:val="24"/>
        </w:rPr>
        <w:t>Diaz</w:t>
      </w:r>
    </w:p>
    <w:p w:rsidR="00E4613D" w:rsidRDefault="00E4613D">
      <w:pPr>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4117EF">
        <w:rPr>
          <w:sz w:val="24"/>
        </w:rPr>
        <w:t>March 7</w:t>
      </w:r>
      <w:r w:rsidR="008C06CC">
        <w:rPr>
          <w:sz w:val="24"/>
        </w:rPr>
        <w:t>, 2019</w:t>
      </w:r>
    </w:p>
    <w:p w:rsidR="00E4613D" w:rsidRDefault="00E4613D">
      <w:pPr>
        <w:jc w:val="both"/>
        <w:rPr>
          <w:sz w:val="24"/>
        </w:rPr>
      </w:pPr>
    </w:p>
    <w:p w:rsidR="008C06CC" w:rsidRDefault="00E4613D">
      <w:pPr>
        <w:jc w:val="both"/>
        <w:rPr>
          <w:sz w:val="24"/>
        </w:rPr>
      </w:pPr>
      <w:r>
        <w:rPr>
          <w:sz w:val="24"/>
        </w:rPr>
        <w:tab/>
        <w:t xml:space="preserve">The Committee recommends that the Council </w:t>
      </w:r>
      <w:r w:rsidR="008C06CC">
        <w:rPr>
          <w:sz w:val="24"/>
        </w:rPr>
        <w:t>approve the attached resolution.</w:t>
      </w:r>
    </w:p>
    <w:p w:rsidR="00E4613D" w:rsidRDefault="008C06CC">
      <w:pPr>
        <w:jc w:val="both"/>
        <w:rPr>
          <w:sz w:val="24"/>
        </w:rPr>
      </w:pPr>
      <w:r>
        <w:rPr>
          <w:sz w:val="24"/>
        </w:rPr>
        <w:t xml:space="preserve"> </w:t>
      </w: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E4613D" w:rsidRDefault="00C40E45">
      <w:pPr>
        <w:jc w:val="both"/>
        <w:rPr>
          <w:sz w:val="24"/>
        </w:rPr>
      </w:pPr>
      <w:r>
        <w:rPr>
          <w:sz w:val="24"/>
        </w:rPr>
        <w:t>Salamanca</w:t>
      </w:r>
      <w:r>
        <w:rPr>
          <w:sz w:val="24"/>
        </w:rPr>
        <w:tab/>
      </w:r>
      <w:r>
        <w:rPr>
          <w:sz w:val="24"/>
        </w:rPr>
        <w:tab/>
      </w:r>
      <w:r>
        <w:rPr>
          <w:sz w:val="24"/>
        </w:rPr>
        <w:tab/>
        <w:t>None</w:t>
      </w:r>
      <w:r>
        <w:rPr>
          <w:sz w:val="24"/>
        </w:rPr>
        <w:tab/>
      </w:r>
      <w:r>
        <w:rPr>
          <w:sz w:val="24"/>
        </w:rPr>
        <w:tab/>
      </w:r>
      <w:r>
        <w:rPr>
          <w:sz w:val="24"/>
        </w:rPr>
        <w:tab/>
      </w:r>
      <w:r>
        <w:rPr>
          <w:sz w:val="24"/>
        </w:rPr>
        <w:tab/>
        <w:t>None</w:t>
      </w:r>
    </w:p>
    <w:p w:rsidR="00C40E45" w:rsidRDefault="00C40E45">
      <w:pPr>
        <w:jc w:val="both"/>
        <w:rPr>
          <w:sz w:val="24"/>
        </w:rPr>
      </w:pPr>
      <w:r>
        <w:rPr>
          <w:sz w:val="24"/>
        </w:rPr>
        <w:t>Gibson</w:t>
      </w:r>
    </w:p>
    <w:p w:rsidR="00C40E45" w:rsidRDefault="00C40E45">
      <w:pPr>
        <w:jc w:val="both"/>
        <w:rPr>
          <w:sz w:val="24"/>
        </w:rPr>
      </w:pPr>
      <w:r>
        <w:rPr>
          <w:sz w:val="24"/>
        </w:rPr>
        <w:t>Barron</w:t>
      </w:r>
    </w:p>
    <w:p w:rsidR="00C40E45" w:rsidRDefault="00C40E45">
      <w:pPr>
        <w:jc w:val="both"/>
        <w:rPr>
          <w:sz w:val="24"/>
        </w:rPr>
      </w:pPr>
      <w:r>
        <w:rPr>
          <w:sz w:val="24"/>
        </w:rPr>
        <w:t>Deutsch</w:t>
      </w:r>
    </w:p>
    <w:p w:rsidR="00C40E45" w:rsidRDefault="00C40E45">
      <w:pPr>
        <w:jc w:val="both"/>
        <w:rPr>
          <w:sz w:val="24"/>
        </w:rPr>
      </w:pPr>
      <w:r>
        <w:rPr>
          <w:sz w:val="24"/>
        </w:rPr>
        <w:t>Kallos</w:t>
      </w:r>
    </w:p>
    <w:p w:rsidR="00C40E45" w:rsidRDefault="00C40E45">
      <w:pPr>
        <w:jc w:val="both"/>
        <w:rPr>
          <w:sz w:val="24"/>
        </w:rPr>
      </w:pPr>
      <w:r>
        <w:rPr>
          <w:sz w:val="24"/>
        </w:rPr>
        <w:t>Koo</w:t>
      </w:r>
    </w:p>
    <w:p w:rsidR="00C40E45" w:rsidRDefault="00C40E45">
      <w:pPr>
        <w:jc w:val="both"/>
        <w:rPr>
          <w:sz w:val="24"/>
        </w:rPr>
      </w:pPr>
      <w:r>
        <w:rPr>
          <w:sz w:val="24"/>
        </w:rPr>
        <w:t>Levin</w:t>
      </w:r>
    </w:p>
    <w:p w:rsidR="00C40E45" w:rsidRDefault="00C40E45">
      <w:pPr>
        <w:jc w:val="both"/>
        <w:rPr>
          <w:sz w:val="24"/>
        </w:rPr>
      </w:pPr>
      <w:r>
        <w:rPr>
          <w:sz w:val="24"/>
        </w:rPr>
        <w:t>Miller</w:t>
      </w:r>
    </w:p>
    <w:p w:rsidR="00C40E45" w:rsidRDefault="00C40E45">
      <w:pPr>
        <w:jc w:val="both"/>
        <w:rPr>
          <w:sz w:val="24"/>
        </w:rPr>
      </w:pPr>
      <w:r>
        <w:rPr>
          <w:sz w:val="24"/>
        </w:rPr>
        <w:t>Reynoso</w:t>
      </w:r>
    </w:p>
    <w:p w:rsidR="00C40E45" w:rsidRDefault="00C40E45">
      <w:pPr>
        <w:jc w:val="both"/>
        <w:rPr>
          <w:sz w:val="24"/>
        </w:rPr>
      </w:pPr>
      <w:r>
        <w:rPr>
          <w:sz w:val="24"/>
        </w:rPr>
        <w:t>Richards</w:t>
      </w:r>
    </w:p>
    <w:p w:rsidR="00C40E45" w:rsidRDefault="00C40E45">
      <w:pPr>
        <w:jc w:val="both"/>
        <w:rPr>
          <w:sz w:val="24"/>
        </w:rPr>
      </w:pPr>
      <w:r>
        <w:rPr>
          <w:sz w:val="24"/>
        </w:rPr>
        <w:t>Grodenchik</w:t>
      </w:r>
    </w:p>
    <w:p w:rsidR="00C40E45" w:rsidRDefault="00C40E45">
      <w:pPr>
        <w:jc w:val="both"/>
        <w:rPr>
          <w:sz w:val="24"/>
        </w:rPr>
      </w:pPr>
      <w:r>
        <w:rPr>
          <w:sz w:val="24"/>
        </w:rPr>
        <w:t>Adams</w:t>
      </w:r>
    </w:p>
    <w:p w:rsidR="00C40E45" w:rsidRDefault="00C40E45">
      <w:pPr>
        <w:jc w:val="both"/>
        <w:rPr>
          <w:sz w:val="24"/>
        </w:rPr>
      </w:pPr>
      <w:r>
        <w:rPr>
          <w:sz w:val="24"/>
        </w:rPr>
        <w:t>Diaz</w:t>
      </w:r>
    </w:p>
    <w:p w:rsidR="00C40E45" w:rsidRDefault="00C40E45">
      <w:pPr>
        <w:jc w:val="both"/>
        <w:rPr>
          <w:sz w:val="24"/>
        </w:rPr>
      </w:pPr>
      <w:r>
        <w:rPr>
          <w:sz w:val="24"/>
        </w:rPr>
        <w:t>Moya</w:t>
      </w:r>
    </w:p>
    <w:p w:rsidR="00C40E45" w:rsidRDefault="00C40E45">
      <w:pPr>
        <w:jc w:val="both"/>
        <w:rPr>
          <w:sz w:val="24"/>
        </w:rPr>
      </w:pPr>
      <w:r>
        <w:rPr>
          <w:sz w:val="24"/>
        </w:rPr>
        <w:t>Rivera</w:t>
      </w:r>
    </w:p>
    <w:p w:rsidR="00C40E45" w:rsidRDefault="00C40E45">
      <w:pPr>
        <w:jc w:val="both"/>
        <w:rPr>
          <w:sz w:val="24"/>
        </w:rPr>
      </w:pPr>
    </w:p>
    <w:p w:rsidR="00C40E45" w:rsidRDefault="00C40E45">
      <w:pPr>
        <w:jc w:val="both"/>
        <w:rPr>
          <w:sz w:val="24"/>
        </w:rPr>
      </w:pPr>
    </w:p>
    <w:p w:rsidR="00E4613D" w:rsidRDefault="00E4613D">
      <w:pPr>
        <w:jc w:val="both"/>
        <w:rPr>
          <w:sz w:val="24"/>
        </w:rPr>
      </w:pPr>
    </w:p>
    <w:sectPr w:rsidR="00E4613D" w:rsidSect="006D78B6">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C3" w:rsidRDefault="001532C3">
      <w:r>
        <w:separator/>
      </w:r>
    </w:p>
  </w:endnote>
  <w:endnote w:type="continuationSeparator" w:id="0">
    <w:p w:rsidR="001532C3" w:rsidRDefault="001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C3" w:rsidRDefault="001532C3">
      <w:r>
        <w:separator/>
      </w:r>
    </w:p>
  </w:footnote>
  <w:footnote w:type="continuationSeparator" w:id="0">
    <w:p w:rsidR="001532C3" w:rsidRDefault="0015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B3102D">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B3102D">
      <w:rPr>
        <w:b/>
        <w:noProof/>
        <w:sz w:val="24"/>
        <w:szCs w:val="24"/>
      </w:rPr>
      <w:t>2</w:t>
    </w:r>
    <w:r w:rsidRPr="00A17B48">
      <w:rPr>
        <w:b/>
        <w:sz w:val="24"/>
        <w:szCs w:val="24"/>
      </w:rPr>
      <w:fldChar w:fldCharType="end"/>
    </w:r>
  </w:p>
  <w:p w:rsidR="00602F02" w:rsidRDefault="008C06CC">
    <w:pPr>
      <w:pStyle w:val="Header"/>
      <w:rPr>
        <w:b/>
        <w:sz w:val="24"/>
        <w:szCs w:val="24"/>
      </w:rPr>
    </w:pPr>
    <w:r>
      <w:rPr>
        <w:b/>
        <w:sz w:val="24"/>
        <w:szCs w:val="24"/>
      </w:rPr>
      <w:t>20195354 HAM</w:t>
    </w:r>
  </w:p>
  <w:p w:rsidR="0062778A" w:rsidRDefault="0062778A">
    <w:pPr>
      <w:pStyle w:val="Header"/>
      <w:rPr>
        <w:b/>
        <w:sz w:val="24"/>
        <w:szCs w:val="24"/>
      </w:rPr>
    </w:pPr>
    <w:r>
      <w:rPr>
        <w:b/>
        <w:sz w:val="24"/>
        <w:szCs w:val="24"/>
      </w:rPr>
      <w:t xml:space="preserve">L.U. No. </w:t>
    </w:r>
    <w:r w:rsidR="008C06CC">
      <w:rPr>
        <w:b/>
        <w:sz w:val="24"/>
        <w:szCs w:val="24"/>
      </w:rPr>
      <w:t>3</w:t>
    </w:r>
    <w:r w:rsidR="00B52B35">
      <w:rPr>
        <w:b/>
        <w:sz w:val="24"/>
        <w:szCs w:val="24"/>
      </w:rPr>
      <w:t>30</w:t>
    </w:r>
    <w:r>
      <w:rPr>
        <w:b/>
        <w:sz w:val="24"/>
        <w:szCs w:val="24"/>
      </w:rPr>
      <w:t xml:space="preserve"> (Res. No. </w:t>
    </w:r>
    <w:r w:rsidR="00795159">
      <w:rPr>
        <w:b/>
        <w:sz w:val="24"/>
        <w:szCs w:val="24"/>
      </w:rPr>
      <w:t>782</w:t>
    </w:r>
    <w:r>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41228"/>
    <w:rsid w:val="001532C3"/>
    <w:rsid w:val="00182ABA"/>
    <w:rsid w:val="001A23FD"/>
    <w:rsid w:val="00223089"/>
    <w:rsid w:val="00333C6C"/>
    <w:rsid w:val="003471B5"/>
    <w:rsid w:val="00357AD9"/>
    <w:rsid w:val="0036689B"/>
    <w:rsid w:val="003B21FB"/>
    <w:rsid w:val="004117EF"/>
    <w:rsid w:val="00457AA7"/>
    <w:rsid w:val="004B2E8A"/>
    <w:rsid w:val="004F55A4"/>
    <w:rsid w:val="005337DE"/>
    <w:rsid w:val="00567160"/>
    <w:rsid w:val="005F7A45"/>
    <w:rsid w:val="00602F02"/>
    <w:rsid w:val="0062778A"/>
    <w:rsid w:val="006976FE"/>
    <w:rsid w:val="006C118D"/>
    <w:rsid w:val="006D78B6"/>
    <w:rsid w:val="006F268A"/>
    <w:rsid w:val="006F5F0B"/>
    <w:rsid w:val="00722D3F"/>
    <w:rsid w:val="00744E71"/>
    <w:rsid w:val="00746A43"/>
    <w:rsid w:val="00757941"/>
    <w:rsid w:val="007708AF"/>
    <w:rsid w:val="007815D1"/>
    <w:rsid w:val="00795159"/>
    <w:rsid w:val="007C7914"/>
    <w:rsid w:val="00803634"/>
    <w:rsid w:val="008728C9"/>
    <w:rsid w:val="008B67D1"/>
    <w:rsid w:val="008C06CC"/>
    <w:rsid w:val="008E183E"/>
    <w:rsid w:val="009832B1"/>
    <w:rsid w:val="009C2986"/>
    <w:rsid w:val="009F587D"/>
    <w:rsid w:val="00A17B48"/>
    <w:rsid w:val="00A50708"/>
    <w:rsid w:val="00A56C11"/>
    <w:rsid w:val="00A57471"/>
    <w:rsid w:val="00B3102D"/>
    <w:rsid w:val="00B37B02"/>
    <w:rsid w:val="00B52B35"/>
    <w:rsid w:val="00B76659"/>
    <w:rsid w:val="00C034C5"/>
    <w:rsid w:val="00C40E45"/>
    <w:rsid w:val="00C800FD"/>
    <w:rsid w:val="00C96CB5"/>
    <w:rsid w:val="00CE532C"/>
    <w:rsid w:val="00D228D6"/>
    <w:rsid w:val="00DC2639"/>
    <w:rsid w:val="00DF615E"/>
    <w:rsid w:val="00E0062D"/>
    <w:rsid w:val="00E4613D"/>
    <w:rsid w:val="00E66761"/>
    <w:rsid w:val="00E82072"/>
    <w:rsid w:val="00E865F5"/>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5905C9-10D3-4750-9476-F5C839B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character" w:styleId="Emphasis">
    <w:name w:val="Emphasis"/>
    <w:qFormat/>
    <w:rsid w:val="00411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713C-2A12-46F6-8D00-6676EADB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2019-03-28T18:17:00Z</dcterms:created>
  <dcterms:modified xsi:type="dcterms:W3CDTF">2019-03-28T18:17:00Z</dcterms:modified>
</cp:coreProperties>
</file>