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jc w:val="center"/>
        <w:tblLook w:val="0600" w:firstRow="0" w:lastRow="0" w:firstColumn="0" w:lastColumn="0" w:noHBand="1" w:noVBand="1"/>
      </w:tblPr>
      <w:tblGrid>
        <w:gridCol w:w="5900"/>
        <w:gridCol w:w="5089"/>
      </w:tblGrid>
      <w:tr w:rsidR="00E24D59" w:rsidRPr="00012730" w:rsidTr="00C55AF8">
        <w:trPr>
          <w:trHeight w:val="1657"/>
          <w:jc w:val="center"/>
        </w:trPr>
        <w:tc>
          <w:tcPr>
            <w:tcW w:w="5900" w:type="dxa"/>
            <w:tcBorders>
              <w:bottom w:val="single" w:sz="4" w:space="0" w:color="auto"/>
            </w:tcBorders>
          </w:tcPr>
          <w:p w:rsidR="00E24D59" w:rsidRPr="00012730" w:rsidRDefault="00E24D59" w:rsidP="0075168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012730">
              <w:rPr>
                <w:noProof/>
              </w:rPr>
              <w:drawing>
                <wp:inline distT="0" distB="0" distL="0" distR="0" wp14:anchorId="6861F7C9" wp14:editId="116BC120">
                  <wp:extent cx="13620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bottom w:val="single" w:sz="4" w:space="0" w:color="auto"/>
            </w:tcBorders>
          </w:tcPr>
          <w:p w:rsidR="00E24D59" w:rsidRDefault="00E24D59" w:rsidP="0075168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The Council of the City of New York</w:t>
            </w:r>
          </w:p>
          <w:p w:rsidR="00E24D59" w:rsidRDefault="00E24D59" w:rsidP="0075168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Finance Division</w:t>
            </w:r>
          </w:p>
          <w:p w:rsidR="00E24D59" w:rsidRDefault="00E24D59" w:rsidP="00751689">
            <w:pPr>
              <w:spacing w:before="120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Latonia McKinney, Director</w:t>
            </w:r>
          </w:p>
          <w:p w:rsidR="00E24D59" w:rsidRDefault="00E24D59" w:rsidP="00751689">
            <w:pPr>
              <w:spacing w:before="120"/>
            </w:pPr>
            <w:r>
              <w:rPr>
                <w:b/>
                <w:bCs/>
                <w:smallCaps/>
              </w:rPr>
              <w:t>Fiscal Impact Statement</w:t>
            </w:r>
          </w:p>
          <w:p w:rsidR="00E24D59" w:rsidRPr="00ED74D9" w:rsidRDefault="00E24D59" w:rsidP="00751689">
            <w:pPr>
              <w:rPr>
                <w:b/>
                <w:bCs/>
                <w:sz w:val="16"/>
                <w:szCs w:val="16"/>
              </w:rPr>
            </w:pPr>
          </w:p>
          <w:p w:rsidR="00E24D59" w:rsidRDefault="00E24D59" w:rsidP="00751689">
            <w:pPr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Proposed </w:t>
            </w:r>
            <w:r w:rsidRPr="00EE2325">
              <w:rPr>
                <w:b/>
                <w:bCs/>
                <w:smallCaps/>
              </w:rPr>
              <w:t>Intro. No</w:t>
            </w:r>
            <w:r>
              <w:rPr>
                <w:b/>
                <w:bCs/>
              </w:rPr>
              <w:t>: 465-A</w:t>
            </w:r>
          </w:p>
          <w:p w:rsidR="00E24D59" w:rsidRPr="00A267C7" w:rsidRDefault="00E24D59" w:rsidP="00751689">
            <w:pPr>
              <w:rPr>
                <w:color w:val="FF0000"/>
                <w:sz w:val="16"/>
                <w:szCs w:val="16"/>
              </w:rPr>
            </w:pPr>
          </w:p>
          <w:p w:rsidR="00E24D59" w:rsidRPr="00A267C7" w:rsidRDefault="00E24D59" w:rsidP="00751689">
            <w:pPr>
              <w:tabs>
                <w:tab w:val="left" w:pos="-1440"/>
              </w:tabs>
              <w:ind w:left="1440" w:hanging="1440"/>
              <w:rPr>
                <w:color w:val="FF0000"/>
              </w:rPr>
            </w:pPr>
            <w:r>
              <w:rPr>
                <w:b/>
                <w:bCs/>
                <w:smallCaps/>
              </w:rPr>
              <w:t>Committee</w:t>
            </w:r>
            <w:r>
              <w:rPr>
                <w:b/>
                <w:bCs/>
              </w:rPr>
              <w:t>: Housing and Buildings</w:t>
            </w:r>
          </w:p>
        </w:tc>
      </w:tr>
      <w:tr w:rsidR="00E24D59" w:rsidRPr="00012730" w:rsidTr="00C55AF8">
        <w:trPr>
          <w:trHeight w:val="962"/>
          <w:jc w:val="center"/>
        </w:trPr>
        <w:tc>
          <w:tcPr>
            <w:tcW w:w="5900" w:type="dxa"/>
            <w:tcBorders>
              <w:top w:val="single" w:sz="4" w:space="0" w:color="auto"/>
            </w:tcBorders>
          </w:tcPr>
          <w:p w:rsidR="00E24D59" w:rsidRPr="0063076D" w:rsidRDefault="00E24D59" w:rsidP="0075168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2730">
              <w:rPr>
                <w:b/>
                <w:bCs/>
                <w:smallCaps/>
              </w:rPr>
              <w:t>Title:</w:t>
            </w:r>
            <w:r>
              <w:rPr>
                <w:bCs/>
              </w:rPr>
              <w:t xml:space="preserve"> </w:t>
            </w:r>
            <w:r w:rsidRPr="00BD56AF">
              <w:rPr>
                <w:rFonts w:eastAsia="Calibri"/>
              </w:rPr>
              <w:t xml:space="preserve">A </w:t>
            </w:r>
            <w:r>
              <w:rPr>
                <w:rFonts w:eastAsia="Calibri"/>
              </w:rPr>
              <w:t>Local Law</w:t>
            </w:r>
            <w:r>
              <w:t xml:space="preserve"> </w:t>
            </w:r>
            <w:r w:rsidRPr="00FA06FC">
              <w:rPr>
                <w:spacing w:val="-3"/>
              </w:rPr>
              <w:t xml:space="preserve">to amend the administrative code of the city of New York, </w:t>
            </w:r>
            <w:r w:rsidRPr="00E24D59">
              <w:rPr>
                <w:spacing w:val="-3"/>
              </w:rPr>
              <w:t>in relation to conducting education and outreach regarding single-occupant toilet room requirements</w:t>
            </w: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E24D59" w:rsidRPr="00422B5D" w:rsidRDefault="00E24D59" w:rsidP="00E24D59">
            <w:pPr>
              <w:suppressLineNumbers/>
              <w:tabs>
                <w:tab w:val="left" w:pos="-720"/>
              </w:tabs>
              <w:suppressAutoHyphens/>
            </w:pPr>
            <w:r>
              <w:rPr>
                <w:b/>
                <w:bCs/>
                <w:smallCaps/>
              </w:rPr>
              <w:t>Sponsor</w:t>
            </w:r>
            <w:r>
              <w:rPr>
                <w:b/>
                <w:bCs/>
              </w:rPr>
              <w:t xml:space="preserve">: </w:t>
            </w:r>
            <w:r w:rsidR="006760E7">
              <w:rPr>
                <w:color w:val="000000"/>
                <w:shd w:val="clear" w:color="auto" w:fill="FFFFFF"/>
              </w:rPr>
              <w:t>Council Members Dromm, Kallos, Rosenthal, Lander and Constantinides</w:t>
            </w:r>
          </w:p>
        </w:tc>
      </w:tr>
    </w:tbl>
    <w:p w:rsidR="004E278B" w:rsidRDefault="00E24D59" w:rsidP="00C55AF8">
      <w:pPr>
        <w:spacing w:before="100" w:beforeAutospacing="1"/>
      </w:pPr>
      <w:r>
        <w:rPr>
          <w:b/>
          <w:smallCaps/>
        </w:rPr>
        <w:t>Sum</w:t>
      </w:r>
      <w:bookmarkStart w:id="0" w:name="_GoBack"/>
      <w:bookmarkEnd w:id="0"/>
      <w:r>
        <w:rPr>
          <w:b/>
          <w:smallCaps/>
        </w:rPr>
        <w:t>mary of Legislation:</w:t>
      </w:r>
      <w:r>
        <w:t xml:space="preserve"> Proposed Intro. </w:t>
      </w:r>
      <w:proofErr w:type="gramStart"/>
      <w:r>
        <w:t xml:space="preserve">No. 465-A would require </w:t>
      </w:r>
      <w:r w:rsidR="00A97BA6">
        <w:t>the Department of Buildings (DOB), in conjunction with the Mayor’s Office of Immigrant Affairs (MOIA), the Commission on Human Rights</w:t>
      </w:r>
      <w:r w:rsidR="002C31F5">
        <w:t xml:space="preserve"> (CCHR)</w:t>
      </w:r>
      <w:r w:rsidR="00A97BA6">
        <w:t>,</w:t>
      </w:r>
      <w:r w:rsidR="002C31F5">
        <w:t xml:space="preserve"> </w:t>
      </w:r>
      <w:r w:rsidR="00A97BA6">
        <w:t xml:space="preserve"> </w:t>
      </w:r>
      <w:r w:rsidR="002C31F5">
        <w:t xml:space="preserve">the Department of Consumer Affairs (DCA), the Department of Health and Mental Hygiene (DOHMH), the Department of Small Business Services (SBS), </w:t>
      </w:r>
      <w:r w:rsidR="007D5509">
        <w:t xml:space="preserve">and </w:t>
      </w:r>
      <w:r w:rsidR="002C31F5">
        <w:t xml:space="preserve">the Department of Citywide Administrative Services (DCAS), </w:t>
      </w:r>
      <w:r w:rsidR="00BA3F08">
        <w:t xml:space="preserve">to conduct education </w:t>
      </w:r>
      <w:r w:rsidR="00B45190">
        <w:t xml:space="preserve">and outreach, </w:t>
      </w:r>
      <w:r w:rsidR="002B7AEB">
        <w:t>tailored to business owners</w:t>
      </w:r>
      <w:r w:rsidR="00B45190">
        <w:t>,</w:t>
      </w:r>
      <w:r w:rsidR="00CB5920">
        <w:t xml:space="preserve"> that details </w:t>
      </w:r>
      <w:r w:rsidR="00490E48">
        <w:t>single-occ</w:t>
      </w:r>
      <w:r w:rsidR="002B7AEB">
        <w:t>upant toilet room require</w:t>
      </w:r>
      <w:r w:rsidR="008C5B9F">
        <w:t xml:space="preserve">ments, and corresponding </w:t>
      </w:r>
      <w:r w:rsidR="00CB5920">
        <w:t>posting and signage requirements.</w:t>
      </w:r>
      <w:proofErr w:type="gramEnd"/>
      <w:r w:rsidR="00CB5920">
        <w:t xml:space="preserve"> </w:t>
      </w:r>
      <w:r w:rsidR="00F05FCC">
        <w:t xml:space="preserve">This information would be </w:t>
      </w:r>
      <w:r w:rsidR="00095474">
        <w:t xml:space="preserve">publically accessible </w:t>
      </w:r>
      <w:r w:rsidR="00F05FCC">
        <w:t xml:space="preserve">on DOB’s website. </w:t>
      </w:r>
      <w:proofErr w:type="gramStart"/>
      <w:r w:rsidR="00F05FCC" w:rsidRPr="00DF012D">
        <w:t xml:space="preserve">The legislation would also require </w:t>
      </w:r>
      <w:r w:rsidR="00F05FCC">
        <w:t>DOB</w:t>
      </w:r>
      <w:r w:rsidR="00F05FCC" w:rsidRPr="00DF012D">
        <w:t xml:space="preserve"> </w:t>
      </w:r>
      <w:r w:rsidR="002F779B" w:rsidRPr="00AF2F8C">
        <w:t>to</w:t>
      </w:r>
      <w:r w:rsidR="002F779B">
        <w:t xml:space="preserve"> submit an annual report by </w:t>
      </w:r>
      <w:r w:rsidR="00095474">
        <w:t>April 1</w:t>
      </w:r>
      <w:r w:rsidR="002F779B">
        <w:t xml:space="preserve"> of each year </w:t>
      </w:r>
      <w:r w:rsidR="006760E7">
        <w:t xml:space="preserve">until 2023 </w:t>
      </w:r>
      <w:r w:rsidR="002F779B">
        <w:t>to the Council</w:t>
      </w:r>
      <w:r w:rsidR="00095474">
        <w:t xml:space="preserve"> and the Mayor, </w:t>
      </w:r>
      <w:r w:rsidR="002F779B">
        <w:t>and post the report on its website, that details information on</w:t>
      </w:r>
      <w:r w:rsidR="00CC5516">
        <w:t xml:space="preserve"> the education and outreach conducted</w:t>
      </w:r>
      <w:r w:rsidR="00C366C9">
        <w:t xml:space="preserve"> and the number of </w:t>
      </w:r>
      <w:r w:rsidR="009611DF">
        <w:t xml:space="preserve">business owners reached, </w:t>
      </w:r>
      <w:r w:rsidR="0073635D">
        <w:t xml:space="preserve">the number of complaints </w:t>
      </w:r>
      <w:r w:rsidR="004E278B">
        <w:t xml:space="preserve">reported to 311 </w:t>
      </w:r>
      <w:r w:rsidR="008C5B9F">
        <w:t xml:space="preserve">for failure to make </w:t>
      </w:r>
      <w:r w:rsidR="008C5B9F" w:rsidRPr="004E278B">
        <w:t>single-occupant  toilet  rooms</w:t>
      </w:r>
      <w:r w:rsidR="00B54044">
        <w:t xml:space="preserve"> available</w:t>
      </w:r>
      <w:r w:rsidR="008C5B9F" w:rsidRPr="004E278B">
        <w:t xml:space="preserve">  </w:t>
      </w:r>
      <w:r w:rsidR="004E278B" w:rsidRPr="004E278B">
        <w:t>for  use  by  persons  of  any  sex</w:t>
      </w:r>
      <w:r w:rsidR="004E278B">
        <w:t xml:space="preserve">, the number of violations and penalties </w:t>
      </w:r>
      <w:r w:rsidR="00F40B0B">
        <w:t xml:space="preserve">issued and imposed as a result of </w:t>
      </w:r>
      <w:r w:rsidR="00B1130F">
        <w:t>such violations, and whether subsequent inspections were conducted by DOB to ensure compliance</w:t>
      </w:r>
      <w:r w:rsidR="00272ECE">
        <w:t xml:space="preserve"> with </w:t>
      </w:r>
      <w:r w:rsidR="00272ECE" w:rsidRPr="00272ECE">
        <w:t>single-occupant toilet room requirements</w:t>
      </w:r>
      <w:r w:rsidR="00272ECE">
        <w:t>.</w:t>
      </w:r>
      <w:proofErr w:type="gramEnd"/>
      <w:r w:rsidR="00272ECE">
        <w:t xml:space="preserve"> </w:t>
      </w:r>
    </w:p>
    <w:p w:rsidR="00E24D59" w:rsidRDefault="00E24D59" w:rsidP="00E24D59">
      <w:pPr>
        <w:pStyle w:val="NoSpacing"/>
      </w:pPr>
    </w:p>
    <w:p w:rsidR="00E24D59" w:rsidRDefault="00E24D59" w:rsidP="00E24D59">
      <w:pPr>
        <w:pStyle w:val="FlushLeft"/>
      </w:pPr>
      <w:r w:rsidRPr="00012730">
        <w:rPr>
          <w:b/>
          <w:smallCaps/>
        </w:rPr>
        <w:t>Effective Date:</w:t>
      </w:r>
      <w:r>
        <w:t xml:space="preserve"> </w:t>
      </w:r>
      <w:r w:rsidR="007D5509" w:rsidRPr="007D5509">
        <w:t xml:space="preserve">Section one of this local law </w:t>
      </w:r>
      <w:r w:rsidR="007D5509">
        <w:t>would take</w:t>
      </w:r>
      <w:r w:rsidR="007D5509" w:rsidRPr="007D5509">
        <w:t xml:space="preserve"> effect immediately. Sections </w:t>
      </w:r>
      <w:proofErr w:type="gramStart"/>
      <w:r w:rsidR="007D5509" w:rsidRPr="007D5509">
        <w:t>two</w:t>
      </w:r>
      <w:proofErr w:type="gramEnd"/>
      <w:r w:rsidR="007D5509" w:rsidRPr="007D5509">
        <w:t xml:space="preserve"> and three of this local law </w:t>
      </w:r>
      <w:r w:rsidR="007D5509">
        <w:t xml:space="preserve">would </w:t>
      </w:r>
      <w:r w:rsidR="007D5509" w:rsidRPr="007D5509">
        <w:t>take effect 180 days after i</w:t>
      </w:r>
      <w:r w:rsidR="007D5509">
        <w:t>t becomes law, except that the Commissioner of Buildings and the Commissioner on Human Ri</w:t>
      </w:r>
      <w:r w:rsidR="007D5509" w:rsidRPr="007D5509">
        <w:t>ghts may take such measures as are necessary for its implementation, including the promulgation of rules, before its effective date. Section four of this local law</w:t>
      </w:r>
      <w:r w:rsidR="007D5509">
        <w:t xml:space="preserve"> would take </w:t>
      </w:r>
      <w:r w:rsidR="007D5509" w:rsidRPr="007D5509">
        <w:t xml:space="preserve">effect immediately and </w:t>
      </w:r>
      <w:proofErr w:type="gramStart"/>
      <w:r w:rsidR="007D5509" w:rsidRPr="007D5509">
        <w:t>is deemed</w:t>
      </w:r>
      <w:proofErr w:type="gramEnd"/>
      <w:r w:rsidR="007D5509" w:rsidRPr="007D5509">
        <w:t xml:space="preserve"> repealed five years after it becomes law.</w:t>
      </w:r>
    </w:p>
    <w:p w:rsidR="00E24D59" w:rsidRPr="00012730" w:rsidRDefault="00E24D59" w:rsidP="00E24D59">
      <w:pPr>
        <w:pStyle w:val="FlushLeft"/>
      </w:pPr>
      <w:r w:rsidRPr="00012730">
        <w:rPr>
          <w:b/>
          <w:smallCaps/>
        </w:rPr>
        <w:t>Fiscal Year In Which Full Fiscal Impact Anticipated:</w:t>
      </w:r>
      <w:r>
        <w:t xml:space="preserve"> Fiscal 2020</w:t>
      </w:r>
    </w:p>
    <w:p w:rsidR="00E24D59" w:rsidRDefault="00E24D59" w:rsidP="00E24D59">
      <w:pPr>
        <w:pBdr>
          <w:top w:val="single" w:sz="4" w:space="1" w:color="auto"/>
        </w:pBdr>
        <w:spacing w:before="240"/>
        <w:rPr>
          <w:b/>
          <w:smallCaps/>
        </w:rPr>
      </w:pPr>
      <w:r w:rsidRPr="00012730">
        <w:rPr>
          <w:b/>
          <w:smallCaps/>
        </w:rPr>
        <w:t>Fiscal Impact Statement:</w:t>
      </w:r>
    </w:p>
    <w:p w:rsidR="00E24D59" w:rsidRPr="00012730" w:rsidRDefault="00E24D59" w:rsidP="00E24D59">
      <w:pPr>
        <w:pStyle w:val="NoSpacing"/>
      </w:pP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E24D59" w:rsidRPr="00012730" w:rsidTr="00751689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spacing w:line="201" w:lineRule="exact"/>
              <w:jc w:val="center"/>
              <w:rPr>
                <w:sz w:val="22"/>
                <w:szCs w:val="22"/>
              </w:rPr>
            </w:pPr>
          </w:p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FY19</w:t>
            </w:r>
          </w:p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 Succeeding Effective FY20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 xml:space="preserve">Full Fiscal </w:t>
            </w:r>
            <w:r>
              <w:rPr>
                <w:b/>
                <w:bCs/>
                <w:sz w:val="22"/>
                <w:szCs w:val="22"/>
              </w:rPr>
              <w:t>Impact FY20</w:t>
            </w:r>
          </w:p>
        </w:tc>
      </w:tr>
      <w:tr w:rsidR="00E24D59" w:rsidRPr="00012730" w:rsidTr="0075168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  <w:tr w:rsidR="00E24D59" w:rsidRPr="00B56409" w:rsidTr="0075168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B56409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E24D59" w:rsidRPr="00B56409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:rsidR="00E24D59" w:rsidRPr="00B56409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B56409">
              <w:rPr>
                <w:bCs/>
                <w:sz w:val="22"/>
                <w:szCs w:val="22"/>
              </w:rPr>
              <w:t>$0</w:t>
            </w:r>
          </w:p>
        </w:tc>
      </w:tr>
      <w:tr w:rsidR="00E24D59" w:rsidRPr="00012730" w:rsidTr="00751689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spacing w:after="58"/>
              <w:jc w:val="center"/>
              <w:rPr>
                <w:b/>
                <w:bCs/>
                <w:sz w:val="22"/>
                <w:szCs w:val="22"/>
              </w:rPr>
            </w:pPr>
            <w:r w:rsidRPr="001A6C74">
              <w:rPr>
                <w:b/>
                <w:bCs/>
                <w:sz w:val="22"/>
                <w:szCs w:val="22"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E24D59" w:rsidRPr="001A6C74" w:rsidRDefault="00E24D59" w:rsidP="00751689">
            <w:pPr>
              <w:jc w:val="center"/>
              <w:rPr>
                <w:bCs/>
                <w:sz w:val="22"/>
                <w:szCs w:val="22"/>
              </w:rPr>
            </w:pPr>
            <w:r w:rsidRPr="001A6C74">
              <w:rPr>
                <w:bCs/>
                <w:sz w:val="22"/>
                <w:szCs w:val="22"/>
              </w:rPr>
              <w:t>$0</w:t>
            </w:r>
          </w:p>
        </w:tc>
      </w:tr>
    </w:tbl>
    <w:p w:rsidR="00E24D59" w:rsidRPr="00012730" w:rsidRDefault="00E24D59" w:rsidP="00E24D59">
      <w:pPr>
        <w:pStyle w:val="NoSpacing"/>
      </w:pPr>
    </w:p>
    <w:p w:rsidR="00E24D59" w:rsidRPr="00E24D59" w:rsidRDefault="00E24D59" w:rsidP="00E24D59">
      <w:r w:rsidRPr="00012730">
        <w:rPr>
          <w:b/>
          <w:smallCaps/>
        </w:rPr>
        <w:t xml:space="preserve">Impact on Revenues: </w:t>
      </w:r>
      <w:r w:rsidRPr="00E24D59">
        <w:t xml:space="preserve">It </w:t>
      </w:r>
      <w:proofErr w:type="gramStart"/>
      <w:r w:rsidRPr="00E24D59">
        <w:t>is estimated</w:t>
      </w:r>
      <w:proofErr w:type="gramEnd"/>
      <w:r w:rsidRPr="00E24D59">
        <w:t xml:space="preserve"> that there would be no impact on revenues resulting from the enactment of this legislation.</w:t>
      </w:r>
    </w:p>
    <w:p w:rsidR="00E24D59" w:rsidRDefault="00E24D59" w:rsidP="00E24D59"/>
    <w:p w:rsidR="00E24D59" w:rsidRPr="00E24D59" w:rsidRDefault="00E24D59" w:rsidP="00E24D59">
      <w:r w:rsidRPr="005D3344">
        <w:rPr>
          <w:b/>
          <w:smallCaps/>
        </w:rPr>
        <w:t>Impact on Expenditures:</w:t>
      </w:r>
      <w:r>
        <w:t xml:space="preserve"> </w:t>
      </w:r>
      <w:r w:rsidRPr="00E24D59">
        <w:t xml:space="preserve">It is anticipated that there would be no impact on expenditures resulting from the enactment of this legislation because </w:t>
      </w:r>
      <w:proofErr w:type="gramStart"/>
      <w:r w:rsidRPr="00E24D59">
        <w:t xml:space="preserve">existing resources would be used by </w:t>
      </w:r>
      <w:r>
        <w:t xml:space="preserve">DOB, </w:t>
      </w:r>
      <w:r w:rsidR="008C0444">
        <w:t>MOIA</w:t>
      </w:r>
      <w:r>
        <w:t xml:space="preserve">, </w:t>
      </w:r>
      <w:r w:rsidR="008C0444">
        <w:t>CCHR, DCA, DOHMH, SBS, and DCAS</w:t>
      </w:r>
      <w:r>
        <w:t xml:space="preserve"> </w:t>
      </w:r>
      <w:r w:rsidRPr="00E24D59">
        <w:t>to implement the provisions of this local law</w:t>
      </w:r>
      <w:proofErr w:type="gramEnd"/>
      <w:r w:rsidRPr="00E24D59">
        <w:t>.</w:t>
      </w:r>
    </w:p>
    <w:p w:rsidR="00E24D59" w:rsidRDefault="00E24D59" w:rsidP="00E24D59">
      <w:pPr>
        <w:spacing w:before="240"/>
      </w:pPr>
      <w:r w:rsidRPr="00012730">
        <w:rPr>
          <w:b/>
          <w:smallCaps/>
        </w:rPr>
        <w:t>Source of Funds To Cover Estimated Costs:</w:t>
      </w:r>
      <w:r>
        <w:t xml:space="preserve"> Not applicable. </w:t>
      </w:r>
    </w:p>
    <w:p w:rsidR="00E24D59" w:rsidRDefault="00E24D59" w:rsidP="00E24D59">
      <w:pPr>
        <w:pStyle w:val="NoSpacing"/>
        <w:rPr>
          <w:b/>
          <w:smallCaps/>
        </w:rPr>
      </w:pPr>
    </w:p>
    <w:p w:rsidR="00E24D59" w:rsidRDefault="00E24D59" w:rsidP="00E24D59">
      <w:pPr>
        <w:pStyle w:val="NoSpacing"/>
      </w:pPr>
      <w:r w:rsidRPr="00ED532F">
        <w:rPr>
          <w:b/>
          <w:smallCaps/>
        </w:rPr>
        <w:lastRenderedPageBreak/>
        <w:t>Source of Information:</w:t>
      </w:r>
      <w:r w:rsidRPr="00ED532F">
        <w:t xml:space="preserve">  New</w:t>
      </w:r>
      <w:r w:rsidRPr="006941EE">
        <w:t xml:space="preserve"> York City Council Finance Division</w:t>
      </w:r>
      <w:r w:rsidRPr="00BD56AF">
        <w:tab/>
      </w:r>
    </w:p>
    <w:p w:rsidR="00E24D59" w:rsidRDefault="00E24D59" w:rsidP="00E24D59">
      <w:pPr>
        <w:pStyle w:val="NoSpacing"/>
        <w:rPr>
          <w:b/>
          <w:color w:val="FF0000"/>
        </w:rPr>
      </w:pPr>
      <w:r>
        <w:t xml:space="preserve"> </w:t>
      </w:r>
      <w:r>
        <w:tab/>
      </w:r>
      <w:r>
        <w:tab/>
      </w:r>
      <w:r>
        <w:tab/>
      </w:r>
      <w:r w:rsidRPr="000B41A6">
        <w:rPr>
          <w:b/>
          <w:color w:val="FF0000"/>
        </w:rPr>
        <w:t xml:space="preserve">         </w:t>
      </w:r>
    </w:p>
    <w:p w:rsidR="00E24D59" w:rsidRPr="00012730" w:rsidRDefault="00E24D59" w:rsidP="00E24D59">
      <w:pPr>
        <w:pStyle w:val="NoSpacing"/>
      </w:pPr>
      <w:r w:rsidRPr="00012730">
        <w:rPr>
          <w:b/>
          <w:smallCaps/>
        </w:rPr>
        <w:t xml:space="preserve">Estimate Prepared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 xml:space="preserve">Sarah Gastelum, Principal Financial Analyst </w:t>
      </w:r>
    </w:p>
    <w:p w:rsidR="00E24D59" w:rsidRPr="00012730" w:rsidRDefault="00E24D59" w:rsidP="00E24D59"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  <w:r w:rsidRPr="00012730">
        <w:rPr>
          <w:b/>
          <w:smallCaps/>
        </w:rPr>
        <w:tab/>
      </w:r>
    </w:p>
    <w:p w:rsidR="00E24D59" w:rsidRDefault="00E24D59" w:rsidP="00E24D59">
      <w:r w:rsidRPr="00012730">
        <w:rPr>
          <w:b/>
          <w:smallCaps/>
        </w:rPr>
        <w:t xml:space="preserve">Estimated Reviewed </w:t>
      </w:r>
      <w:r>
        <w:rPr>
          <w:b/>
          <w:smallCaps/>
        </w:rPr>
        <w:t>b</w:t>
      </w:r>
      <w:r w:rsidRPr="00012730">
        <w:rPr>
          <w:b/>
          <w:smallCaps/>
        </w:rPr>
        <w:t>y:</w:t>
      </w:r>
      <w:r w:rsidRPr="00012730">
        <w:rPr>
          <w:b/>
          <w:smallCaps/>
        </w:rPr>
        <w:tab/>
      </w:r>
      <w:r>
        <w:t>Rebecca Chasan</w:t>
      </w:r>
      <w:r w:rsidRPr="00CB7375">
        <w:t xml:space="preserve">, </w:t>
      </w:r>
      <w:r w:rsidR="0076395C">
        <w:t xml:space="preserve">Senior </w:t>
      </w:r>
      <w:r w:rsidRPr="00CB7375">
        <w:t>Counsel</w:t>
      </w:r>
    </w:p>
    <w:p w:rsidR="00E24D59" w:rsidRDefault="00E24D59" w:rsidP="00E24D59">
      <w:pPr>
        <w:rPr>
          <w:b/>
          <w:smallCaps/>
        </w:rPr>
      </w:pPr>
      <w:r>
        <w:tab/>
      </w:r>
      <w:r>
        <w:tab/>
      </w:r>
      <w:r>
        <w:tab/>
      </w:r>
      <w:r>
        <w:tab/>
      </w:r>
    </w:p>
    <w:p w:rsidR="00E24D59" w:rsidRPr="00CB22AD" w:rsidRDefault="00E24D59" w:rsidP="00E24D59">
      <w:r w:rsidRPr="00012730">
        <w:rPr>
          <w:b/>
          <w:smallCaps/>
        </w:rPr>
        <w:t>Legislative History:</w:t>
      </w:r>
      <w:r>
        <w:t xml:space="preserve"> </w:t>
      </w:r>
      <w:r w:rsidRPr="007A7D71">
        <w:t xml:space="preserve">This legislation </w:t>
      </w:r>
      <w:proofErr w:type="gramStart"/>
      <w:r w:rsidRPr="007A7D71">
        <w:t>was introduced</w:t>
      </w:r>
      <w:proofErr w:type="gramEnd"/>
      <w:r w:rsidRPr="007A7D71">
        <w:t xml:space="preserve"> to the full Council on </w:t>
      </w:r>
      <w:r>
        <w:t xml:space="preserve">February 14, 2018 as Intro. No. 465 </w:t>
      </w:r>
      <w:r w:rsidRPr="007A7D71">
        <w:t xml:space="preserve">and was referred to the Committee on Housing and Buildings (Committee). </w:t>
      </w:r>
      <w:proofErr w:type="gramStart"/>
      <w:r w:rsidRPr="00CB22AD">
        <w:t>A heari</w:t>
      </w:r>
      <w:r>
        <w:t>ng was held by the Committee</w:t>
      </w:r>
      <w:proofErr w:type="gramEnd"/>
      <w:r>
        <w:t xml:space="preserve"> on June 12, 2018</w:t>
      </w:r>
      <w:r w:rsidRPr="00CB22AD">
        <w:t xml:space="preserve">, and the bill was laid over. </w:t>
      </w:r>
      <w:r w:rsidRPr="001E5F7B">
        <w:t>The legislation was subsequently amended</w:t>
      </w:r>
      <w:r>
        <w:t xml:space="preserve"> </w:t>
      </w:r>
      <w:r w:rsidRPr="001E5F7B">
        <w:t xml:space="preserve">and the amended version, Proposed Intro. </w:t>
      </w:r>
      <w:proofErr w:type="gramStart"/>
      <w:r w:rsidRPr="001E5F7B">
        <w:t>No.</w:t>
      </w:r>
      <w:r>
        <w:t xml:space="preserve"> 465-A</w:t>
      </w:r>
      <w:r w:rsidRPr="00CB22AD">
        <w:t>, will be considered by the Committee</w:t>
      </w:r>
      <w:proofErr w:type="gramEnd"/>
      <w:r w:rsidRPr="00CB22AD">
        <w:t xml:space="preserve"> </w:t>
      </w:r>
      <w:r w:rsidRPr="00E272CB">
        <w:t xml:space="preserve">on </w:t>
      </w:r>
      <w:r w:rsidR="00EC6E6C">
        <w:t>October 31</w:t>
      </w:r>
      <w:r>
        <w:t>, 2018</w:t>
      </w:r>
      <w:r w:rsidRPr="00E272CB">
        <w:t>. Following</w:t>
      </w:r>
      <w:r w:rsidRPr="004C56C3">
        <w:t xml:space="preserve"> a successful Committee vote, the bill </w:t>
      </w:r>
      <w:proofErr w:type="gramStart"/>
      <w:r w:rsidRPr="004C56C3">
        <w:t>will be submitted</w:t>
      </w:r>
      <w:proofErr w:type="gramEnd"/>
      <w:r w:rsidRPr="004C56C3">
        <w:t xml:space="preserve"> to the full Council for a vote on </w:t>
      </w:r>
      <w:r>
        <w:t>October 31, 2018</w:t>
      </w:r>
      <w:r w:rsidRPr="00E272CB">
        <w:t>.</w:t>
      </w:r>
    </w:p>
    <w:p w:rsidR="00E24D59" w:rsidRDefault="00E24D59" w:rsidP="00E24D59">
      <w:pPr>
        <w:rPr>
          <w:b/>
          <w:smallCaps/>
        </w:rPr>
      </w:pPr>
    </w:p>
    <w:p w:rsidR="00E24D59" w:rsidRDefault="00E24D59" w:rsidP="00E24D59">
      <w:r w:rsidRPr="000D7CB8">
        <w:rPr>
          <w:b/>
          <w:smallCaps/>
        </w:rPr>
        <w:t>Date Prepared:</w:t>
      </w:r>
      <w:r w:rsidR="00EC6E6C">
        <w:t xml:space="preserve"> October 26</w:t>
      </w:r>
      <w:r>
        <w:t xml:space="preserve">, 2018 </w:t>
      </w:r>
    </w:p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E24D59" w:rsidRDefault="00E24D59" w:rsidP="00E24D59"/>
    <w:p w:rsidR="00F20B2D" w:rsidRDefault="00F20B2D"/>
    <w:sectPr w:rsidR="00F20B2D" w:rsidSect="006A0996">
      <w:footerReference w:type="default" r:id="rId7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59" w:rsidRDefault="00E24D59" w:rsidP="00E24D59">
      <w:r>
        <w:separator/>
      </w:r>
    </w:p>
  </w:endnote>
  <w:endnote w:type="continuationSeparator" w:id="0">
    <w:p w:rsidR="00E24D59" w:rsidRDefault="00E24D59" w:rsidP="00E2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5" w:rsidRPr="0080234B" w:rsidRDefault="00B54044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80234B">
      <w:t>Proposed Intro.</w:t>
    </w:r>
    <w:r>
      <w:t xml:space="preserve"> No.</w:t>
    </w:r>
    <w:r w:rsidRPr="0080234B">
      <w:t xml:space="preserve"> </w:t>
    </w:r>
    <w:r w:rsidR="00E24D59">
      <w:t>465</w:t>
    </w:r>
    <w:r>
      <w:t>-A</w:t>
    </w:r>
    <w:r w:rsidRPr="0080234B">
      <w:rPr>
        <w:rFonts w:eastAsiaTheme="majorEastAsia"/>
      </w:rPr>
      <w:ptab w:relativeTo="margin" w:alignment="right" w:leader="none"/>
    </w:r>
    <w:r w:rsidRPr="0080234B">
      <w:rPr>
        <w:rFonts w:eastAsiaTheme="majorEastAsia"/>
      </w:rPr>
      <w:t xml:space="preserve">Page </w:t>
    </w:r>
    <w:r w:rsidRPr="0080234B">
      <w:rPr>
        <w:rFonts w:eastAsiaTheme="minorEastAsia"/>
      </w:rPr>
      <w:fldChar w:fldCharType="begin"/>
    </w:r>
    <w:r w:rsidRPr="0080234B">
      <w:instrText xml:space="preserve"> PAGE   \* MERGEFORMAT </w:instrText>
    </w:r>
    <w:r w:rsidRPr="0080234B">
      <w:rPr>
        <w:rFonts w:eastAsiaTheme="minorEastAsia"/>
      </w:rPr>
      <w:fldChar w:fldCharType="separate"/>
    </w:r>
    <w:r w:rsidR="00C55AF8" w:rsidRPr="00C55AF8">
      <w:rPr>
        <w:rFonts w:eastAsiaTheme="majorEastAsia"/>
        <w:noProof/>
      </w:rPr>
      <w:t>2</w:t>
    </w:r>
    <w:r w:rsidRPr="0080234B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59" w:rsidRDefault="00E24D59" w:rsidP="00E24D59">
      <w:r>
        <w:separator/>
      </w:r>
    </w:p>
  </w:footnote>
  <w:footnote w:type="continuationSeparator" w:id="0">
    <w:p w:rsidR="00E24D59" w:rsidRDefault="00E24D59" w:rsidP="00E2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59"/>
    <w:rsid w:val="00095474"/>
    <w:rsid w:val="00272ECE"/>
    <w:rsid w:val="002B7AEB"/>
    <w:rsid w:val="002C31F5"/>
    <w:rsid w:val="002F779B"/>
    <w:rsid w:val="003A27D8"/>
    <w:rsid w:val="00490E48"/>
    <w:rsid w:val="004E278B"/>
    <w:rsid w:val="00522CD3"/>
    <w:rsid w:val="006760E7"/>
    <w:rsid w:val="0073635D"/>
    <w:rsid w:val="0076395C"/>
    <w:rsid w:val="007D5509"/>
    <w:rsid w:val="008C0444"/>
    <w:rsid w:val="008C5B9F"/>
    <w:rsid w:val="009611DF"/>
    <w:rsid w:val="009C662E"/>
    <w:rsid w:val="00A97BA6"/>
    <w:rsid w:val="00B1130F"/>
    <w:rsid w:val="00B41CE1"/>
    <w:rsid w:val="00B45190"/>
    <w:rsid w:val="00B54044"/>
    <w:rsid w:val="00BA3F08"/>
    <w:rsid w:val="00C31703"/>
    <w:rsid w:val="00C366C9"/>
    <w:rsid w:val="00C55AF8"/>
    <w:rsid w:val="00CB5920"/>
    <w:rsid w:val="00CC5516"/>
    <w:rsid w:val="00E240E8"/>
    <w:rsid w:val="00E24D59"/>
    <w:rsid w:val="00EC6E6C"/>
    <w:rsid w:val="00F05FCC"/>
    <w:rsid w:val="00F20B2D"/>
    <w:rsid w:val="00F4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C82D1-E393-484E-B859-7559EA04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4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D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4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ushLeft">
    <w:name w:val="Flush Left"/>
    <w:aliases w:val="FL"/>
    <w:basedOn w:val="Normal"/>
    <w:rsid w:val="00E24D59"/>
    <w:pPr>
      <w:suppressAutoHyphens/>
      <w:spacing w:after="24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24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2018-10-30T13:15:00Z</dcterms:created>
  <dcterms:modified xsi:type="dcterms:W3CDTF">2018-10-31T13:26:00Z</dcterms:modified>
</cp:coreProperties>
</file>