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438"/>
        <w:gridCol w:w="5437"/>
      </w:tblGrid>
      <w:tr w:rsidR="00902A93" w:rsidRPr="00344309" w14:paraId="57117B22" w14:textId="77777777" w:rsidTr="00DB4AAC">
        <w:trPr>
          <w:jc w:val="center"/>
        </w:trPr>
        <w:tc>
          <w:tcPr>
            <w:tcW w:w="5438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5437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08FDADF2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D3518D">
              <w:rPr>
                <w:b/>
              </w:rPr>
              <w:t>899</w:t>
            </w:r>
            <w:r w:rsidR="00F10C5F">
              <w:rPr>
                <w:b/>
              </w:rPr>
              <w:t>-A</w:t>
            </w:r>
          </w:p>
          <w:p w14:paraId="0D24C346" w14:textId="77777777" w:rsidR="0071609B" w:rsidRDefault="0071609B" w:rsidP="00DB4AAC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56640B47" w14:textId="77777777" w:rsidR="00902A93" w:rsidRPr="00344309" w:rsidRDefault="00902A93" w:rsidP="00E43844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E43844">
              <w:t>Governmental Operations</w:t>
            </w:r>
          </w:p>
        </w:tc>
      </w:tr>
      <w:tr w:rsidR="00902A93" w:rsidRPr="00344309" w14:paraId="4F6F6993" w14:textId="77777777" w:rsidTr="00DB4AAC">
        <w:trPr>
          <w:jc w:val="center"/>
        </w:trPr>
        <w:tc>
          <w:tcPr>
            <w:tcW w:w="5438" w:type="dxa"/>
            <w:tcBorders>
              <w:top w:val="single" w:sz="4" w:space="0" w:color="auto"/>
            </w:tcBorders>
          </w:tcPr>
          <w:p w14:paraId="7FC3FB83" w14:textId="5119EE1C" w:rsidR="00A026BD" w:rsidRDefault="00902A93" w:rsidP="00A026BD">
            <w:pPr>
              <w:pStyle w:val="BodyText"/>
              <w:rPr>
                <w:color w:val="000000"/>
                <w:shd w:val="clear" w:color="auto" w:fill="FFFFFF"/>
              </w:rPr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9217B9" w:rsidRPr="009217B9">
              <w:rPr>
                <w:color w:val="000000"/>
                <w:shd w:val="clear" w:color="auto" w:fill="FFFFFF"/>
              </w:rPr>
              <w:t>A Local Law to amend the administrative code of the city of New York, in relation to permitting the use of campaign funds for certain childcare expenses.</w:t>
            </w:r>
          </w:p>
          <w:p w14:paraId="5B75AD73" w14:textId="5DD2EC66" w:rsidR="001502F9" w:rsidRPr="001502F9" w:rsidRDefault="001502F9" w:rsidP="001502F9">
            <w:pPr>
              <w:pStyle w:val="BodyText"/>
              <w:jc w:val="both"/>
              <w:rPr>
                <w:sz w:val="22"/>
                <w:szCs w:val="22"/>
              </w:rPr>
            </w:pPr>
          </w:p>
          <w:p w14:paraId="54ADA71C" w14:textId="50655B8A" w:rsidR="00947933" w:rsidRDefault="00947933" w:rsidP="00C27B2B">
            <w:pPr>
              <w:pStyle w:val="BodyText"/>
              <w:jc w:val="both"/>
            </w:pPr>
          </w:p>
          <w:p w14:paraId="24F0BC42" w14:textId="77777777" w:rsidR="007102CE" w:rsidRPr="00344309" w:rsidRDefault="007102CE" w:rsidP="00030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14:paraId="0E0D5E64" w14:textId="728F1A02" w:rsidR="00F10C5F" w:rsidRPr="001322BE" w:rsidRDefault="00A31A66" w:rsidP="00F10C5F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1322BE">
              <w:rPr>
                <w:bCs/>
              </w:rPr>
              <w:t>Council Members Powers, Cumbo, Ayala, Levine, Torres, Rosenthal, Brannan, Moya, Van Bramer, Cabrera, Holden, Koslowitz, Rivera, Constantinides, Lander, Chin, Adams, Lancman, Levin, Williams, Richards, Reynoso, Menchaca, Ampry-Samuel, Rose</w:t>
            </w:r>
            <w:r w:rsidR="00324C8D">
              <w:rPr>
                <w:bCs/>
              </w:rPr>
              <w:t xml:space="preserve">, </w:t>
            </w:r>
            <w:r w:rsidR="00164285">
              <w:rPr>
                <w:bCs/>
              </w:rPr>
              <w:t xml:space="preserve">and </w:t>
            </w:r>
            <w:r w:rsidR="00324C8D">
              <w:rPr>
                <w:bCs/>
              </w:rPr>
              <w:t>Perkins</w:t>
            </w:r>
          </w:p>
          <w:p w14:paraId="4272F6B6" w14:textId="7A1EE392" w:rsidR="00902A93" w:rsidRPr="00344309" w:rsidRDefault="00947933" w:rsidP="00F10C5F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2440AA23" w14:textId="31B77465" w:rsidR="00324C8D" w:rsidRDefault="00902A93" w:rsidP="00DB4AAC">
      <w:pPr>
        <w:spacing w:before="120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324C8D">
        <w:t>Proposed Int. No. 899-A would permit campaign funds</w:t>
      </w:r>
      <w:r w:rsidR="00164285">
        <w:t>, but not public matching funds,</w:t>
      </w:r>
      <w:r w:rsidR="00324C8D">
        <w:t xml:space="preserve"> to be spent on</w:t>
      </w:r>
      <w:r w:rsidR="00164285">
        <w:t xml:space="preserve"> certain</w:t>
      </w:r>
      <w:r w:rsidR="00324C8D">
        <w:t xml:space="preserve"> childcare services for children under 13 years of age in an election year and the year immediately preceding an election year</w:t>
      </w:r>
      <w:r w:rsidR="00164285">
        <w:t xml:space="preserve"> </w:t>
      </w:r>
      <w:r w:rsidR="00324C8D">
        <w:t xml:space="preserve">when the need for such services would not exist but for the campaign. Such childcare expenses would be exempted from the expenditure limit for the first $20,000 spent in the election year, but would count against such limit thereafter. The bill would also require </w:t>
      </w:r>
      <w:r w:rsidR="00164285">
        <w:t>that the Campaign Finance Board’s disclosure software notify users of the requirements of this bill.</w:t>
      </w:r>
    </w:p>
    <w:p w14:paraId="2C8FB784" w14:textId="6355C67D" w:rsidR="001569E8" w:rsidRDefault="001569E8" w:rsidP="00543C14">
      <w:pPr>
        <w:pStyle w:val="NoSpacing"/>
        <w:jc w:val="both"/>
        <w:rPr>
          <w:b/>
          <w:smallCaps/>
        </w:rPr>
      </w:pPr>
      <w:bookmarkStart w:id="0" w:name="_GoBack"/>
      <w:bookmarkEnd w:id="0"/>
    </w:p>
    <w:p w14:paraId="2C57B561" w14:textId="65F91165" w:rsidR="0024484A" w:rsidRDefault="001569E8" w:rsidP="0024484A">
      <w:pPr>
        <w:pStyle w:val="NoSpacing"/>
        <w:jc w:val="both"/>
        <w:rPr>
          <w:spacing w:val="-3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9217B9" w:rsidRPr="00135A0F">
        <w:t>Th</w:t>
      </w:r>
      <w:r w:rsidR="00164285">
        <w:t>is local</w:t>
      </w:r>
      <w:r w:rsidR="009217B9" w:rsidRPr="00135A0F">
        <w:t xml:space="preserve"> law would take effect 120 days after it becomes law, but shall not apply to any special election proclaimed by the Mayor prior to such date</w:t>
      </w:r>
      <w:r w:rsidR="00164285">
        <w:t>, except for the provision about the notices in the disclosure software which would take effect one year after it becomes law</w:t>
      </w:r>
      <w:r w:rsidR="009217B9" w:rsidRPr="00135A0F">
        <w:t>.</w:t>
      </w:r>
    </w:p>
    <w:p w14:paraId="6959DD68" w14:textId="1F1D2D34" w:rsidR="00127679" w:rsidRPr="009217B9" w:rsidRDefault="00902A93" w:rsidP="0024484A">
      <w:pPr>
        <w:spacing w:before="100" w:beforeAutospacing="1"/>
        <w:contextualSpacing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20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3D5BF1BE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FY1</w:t>
            </w:r>
            <w:r w:rsidR="0016428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629C09FA" w14:textId="76E4A530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20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3DE1654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20</w:t>
            </w:r>
          </w:p>
        </w:tc>
      </w:tr>
      <w:tr w:rsidR="00EB1653" w:rsidRPr="00344309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344309" w:rsidRDefault="005F7F65" w:rsidP="005F7F65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EB1653" w:rsidRPr="00344309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533B2524" w:rsidR="007F4D32" w:rsidRPr="00344309" w:rsidRDefault="00296103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7C202A">
              <w:rPr>
                <w:bCs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13E1968B" w:rsidR="007F4D32" w:rsidRPr="00344309" w:rsidRDefault="007C202A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49A19BCB" w:rsidR="007F4D32" w:rsidRPr="00344309" w:rsidRDefault="007C202A" w:rsidP="009337F0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0A5D70" w:rsidRPr="00344309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344309" w:rsidRDefault="000A5D70" w:rsidP="00FF6D49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251B33C0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2A7C4F64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659CFD0D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77777777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>It is anticipated 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CC5BF6">
        <w:t xml:space="preserve">of this legislation. </w:t>
      </w:r>
    </w:p>
    <w:p w14:paraId="6176F7BD" w14:textId="77777777" w:rsidR="000A5804" w:rsidRPr="00344309" w:rsidRDefault="000A5804" w:rsidP="00150787"/>
    <w:p w14:paraId="1D38A37D" w14:textId="2E41197C" w:rsidR="00676CB8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 xml:space="preserve">It is anticipated that there would </w:t>
      </w:r>
      <w:r w:rsidR="004E55DE">
        <w:rPr>
          <w:color w:val="000000" w:themeColor="text1"/>
        </w:rPr>
        <w:t>be</w:t>
      </w:r>
      <w:r w:rsidR="00227E6F">
        <w:rPr>
          <w:color w:val="000000" w:themeColor="text1"/>
        </w:rPr>
        <w:t xml:space="preserve"> </w:t>
      </w:r>
      <w:r w:rsidR="007C202A">
        <w:rPr>
          <w:color w:val="000000" w:themeColor="text1"/>
        </w:rPr>
        <w:t>no impact on expenditures resulting from the enactment of this</w:t>
      </w:r>
      <w:r w:rsidR="00586B8F">
        <w:rPr>
          <w:color w:val="000000" w:themeColor="text1"/>
        </w:rPr>
        <w:t xml:space="preserve"> legislation</w:t>
      </w:r>
      <w:r w:rsidR="002C2866">
        <w:rPr>
          <w:color w:val="000000" w:themeColor="text1"/>
        </w:rPr>
        <w:t>. P</w:t>
      </w:r>
      <w:r w:rsidR="00586B8F">
        <w:rPr>
          <w:color w:val="000000" w:themeColor="text1"/>
        </w:rPr>
        <w:t>ublic matching funds will remain ineligible to be spent on childcare services</w:t>
      </w:r>
      <w:r w:rsidR="002C2866">
        <w:rPr>
          <w:color w:val="000000" w:themeColor="text1"/>
        </w:rPr>
        <w:t xml:space="preserve">, and any </w:t>
      </w:r>
      <w:r w:rsidR="00025731">
        <w:rPr>
          <w:color w:val="000000" w:themeColor="text1"/>
        </w:rPr>
        <w:t>campaign funds spent on such expenses w</w:t>
      </w:r>
      <w:r w:rsidR="002C2866">
        <w:rPr>
          <w:color w:val="000000" w:themeColor="text1"/>
        </w:rPr>
        <w:t>ill be sourced from private contributions.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45F448E3" w14:textId="100139A3" w:rsidR="00B072D7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F12339" w:rsidRPr="00344309">
        <w:t xml:space="preserve">New York </w:t>
      </w:r>
      <w:r w:rsidR="003E0E53" w:rsidRPr="00344309">
        <w:t>City Council Finance Division</w:t>
      </w:r>
    </w:p>
    <w:p w14:paraId="39842A8B" w14:textId="08B4E3C8" w:rsidR="00CA458C" w:rsidRPr="002A7006" w:rsidRDefault="00CA458C" w:rsidP="00B072D7">
      <w:r>
        <w:tab/>
      </w:r>
      <w:r>
        <w:tab/>
      </w:r>
      <w:r>
        <w:tab/>
      </w:r>
      <w:r>
        <w:tab/>
      </w:r>
      <w:r w:rsidR="00A97158">
        <w:t>Campaign Finance Board</w:t>
      </w:r>
    </w:p>
    <w:p w14:paraId="6D75169A" w14:textId="562D9885" w:rsidR="002F717A" w:rsidRPr="00344309" w:rsidRDefault="00B072D7" w:rsidP="002F717A">
      <w:r>
        <w:tab/>
      </w:r>
      <w:r>
        <w:tab/>
      </w:r>
      <w:r>
        <w:tab/>
      </w:r>
      <w:r>
        <w:tab/>
      </w:r>
      <w:r w:rsidR="00354631" w:rsidRPr="00344309">
        <w:t xml:space="preserve">                                </w:t>
      </w:r>
      <w:r w:rsidR="00354631" w:rsidRPr="00344309">
        <w:tab/>
      </w:r>
    </w:p>
    <w:p w14:paraId="2ACF12BB" w14:textId="74A1FB00" w:rsidR="00B12A78" w:rsidRDefault="00D72576" w:rsidP="00B12A78">
      <w:r w:rsidRPr="00344309">
        <w:rPr>
          <w:b/>
          <w:smallCaps/>
        </w:rPr>
        <w:lastRenderedPageBreak/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CA458C">
        <w:t>Zachary Harris</w:t>
      </w:r>
      <w:r w:rsidR="002F717A" w:rsidRPr="00344309">
        <w:t xml:space="preserve">, </w:t>
      </w:r>
      <w:r w:rsidR="00354631" w:rsidRPr="00344309">
        <w:t>Legislative Financial Analyst</w:t>
      </w:r>
    </w:p>
    <w:p w14:paraId="08C10FB4" w14:textId="77777777" w:rsidR="00B12A78" w:rsidRPr="00344309" w:rsidRDefault="00B12A78" w:rsidP="00B12A78">
      <w:r w:rsidRPr="00344309">
        <w:t xml:space="preserve">                                            </w:t>
      </w:r>
      <w:r w:rsidRPr="00344309">
        <w:tab/>
      </w:r>
    </w:p>
    <w:p w14:paraId="71841EE4" w14:textId="6BD79EE4" w:rsidR="00B12A78" w:rsidRDefault="00B12A78" w:rsidP="00B12A78"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>
        <w:t>Rebecca Chasan, Senior Counsel</w:t>
      </w:r>
    </w:p>
    <w:p w14:paraId="5BD3EA7D" w14:textId="383846E2" w:rsidR="00B12A78" w:rsidRDefault="00B12A78" w:rsidP="00B12A78">
      <w:r>
        <w:tab/>
      </w:r>
      <w:r>
        <w:tab/>
      </w:r>
      <w:r>
        <w:tab/>
      </w:r>
      <w:r>
        <w:tab/>
      </w:r>
      <w:r w:rsidR="008B3284">
        <w:t xml:space="preserve">John Russell, </w:t>
      </w:r>
      <w:r w:rsidR="0033536D">
        <w:t>Unit Head</w:t>
      </w:r>
    </w:p>
    <w:p w14:paraId="63CFC0BB" w14:textId="07957B35" w:rsidR="008D69B5" w:rsidRDefault="008D69B5" w:rsidP="00B12A78">
      <w:r>
        <w:tab/>
      </w:r>
      <w:r>
        <w:tab/>
      </w:r>
      <w:r>
        <w:tab/>
      </w:r>
      <w:r>
        <w:tab/>
        <w:t>Nathan Toth, Deputy Director</w:t>
      </w:r>
    </w:p>
    <w:p w14:paraId="2F445E64" w14:textId="77777777" w:rsidR="00584645" w:rsidRPr="00344309" w:rsidRDefault="00686BB6" w:rsidP="00B12A78">
      <w:r w:rsidRPr="00344309">
        <w:tab/>
      </w:r>
    </w:p>
    <w:p w14:paraId="6CE5FF76" w14:textId="003C2988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1322BE">
        <w:t>899</w:t>
      </w:r>
      <w:r w:rsidR="00D9484D">
        <w:t xml:space="preserve"> on </w:t>
      </w:r>
      <w:r w:rsidR="001322BE">
        <w:t>May 9, 2018</w:t>
      </w:r>
      <w:r w:rsidR="008D64F3" w:rsidRPr="00344309">
        <w:t xml:space="preserve"> and referr</w:t>
      </w:r>
      <w:r w:rsidR="000E7DFF">
        <w:t>ed to the Committee on</w:t>
      </w:r>
      <w:r w:rsidR="00ED0169">
        <w:t xml:space="preserve"> Governmental Operations</w:t>
      </w:r>
      <w:r w:rsidR="008D64F3" w:rsidRPr="00344309">
        <w:t>. A</w:t>
      </w:r>
      <w:r w:rsidR="00164285">
        <w:t xml:space="preserve"> joint</w:t>
      </w:r>
      <w:r w:rsidR="008D64F3" w:rsidRPr="00344309">
        <w:t xml:space="preserve"> hearing wa</w:t>
      </w:r>
      <w:r w:rsidR="000E7DFF">
        <w:t>s held by</w:t>
      </w:r>
      <w:r w:rsidR="00D9484D">
        <w:t xml:space="preserve"> the Committee</w:t>
      </w:r>
      <w:r w:rsidR="00164285">
        <w:t xml:space="preserve"> on Governmental Operations and the Committee on Women</w:t>
      </w:r>
      <w:r w:rsidR="00D9484D">
        <w:t xml:space="preserve"> on </w:t>
      </w:r>
      <w:r w:rsidR="001322BE">
        <w:t>June 19, 2018</w:t>
      </w:r>
      <w:r w:rsidR="008D64F3" w:rsidRPr="00344309">
        <w:t xml:space="preserve"> and the legislation was laid over.</w:t>
      </w:r>
      <w:r w:rsidR="00D45462">
        <w:t xml:space="preserve"> The legislation was subsequently amended and the amended legislation,</w:t>
      </w:r>
      <w:r w:rsidR="008D64F3" w:rsidRPr="00344309">
        <w:t xml:space="preserve"> Proposed Intro. </w:t>
      </w:r>
      <w:r w:rsidR="007E52A9">
        <w:t xml:space="preserve">No. </w:t>
      </w:r>
      <w:r w:rsidR="001322BE">
        <w:t>899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164285">
        <w:t xml:space="preserve"> on Governmental Operations</w:t>
      </w:r>
      <w:r w:rsidR="008D64F3" w:rsidRPr="00344309">
        <w:t xml:space="preserve"> on</w:t>
      </w:r>
      <w:r w:rsidR="009368CC">
        <w:t xml:space="preserve"> October </w:t>
      </w:r>
      <w:r w:rsidR="00164285">
        <w:t>30</w:t>
      </w:r>
      <w:r w:rsidR="009368CC">
        <w:t>, 2018</w:t>
      </w:r>
      <w:r w:rsidR="00470B72" w:rsidRPr="00344309">
        <w:t>.</w:t>
      </w:r>
      <w:r w:rsidR="008D64F3" w:rsidRPr="00344309">
        <w:t xml:space="preserve"> Upon </w:t>
      </w:r>
      <w:r w:rsidR="00A9744A">
        <w:t xml:space="preserve">a </w:t>
      </w:r>
      <w:r w:rsidR="008D64F3" w:rsidRPr="00344309">
        <w:t>s</w:t>
      </w:r>
      <w:r w:rsidR="00B96742">
        <w:t>uccessful vote by the Committee,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1322BE">
        <w:t>899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9368CC">
        <w:t xml:space="preserve"> October 31, 2018</w:t>
      </w:r>
      <w:r w:rsidR="008D64F3" w:rsidRPr="009368CC">
        <w:t>.</w:t>
      </w:r>
    </w:p>
    <w:p w14:paraId="4E86551B" w14:textId="77777777" w:rsidR="00026DBF" w:rsidRDefault="00026DBF" w:rsidP="00DB4AAC">
      <w:pPr>
        <w:rPr>
          <w:b/>
          <w:smallCaps/>
        </w:rPr>
      </w:pPr>
    </w:p>
    <w:p w14:paraId="58697519" w14:textId="2D91E7AC" w:rsidR="0030730B" w:rsidRPr="0030730B" w:rsidRDefault="00D45462" w:rsidP="00DB4AAC">
      <w:pPr>
        <w:rPr>
          <w:rFonts w:eastAsia="Calibri"/>
        </w:rPr>
      </w:pPr>
      <w:r>
        <w:rPr>
          <w:b/>
          <w:smallCaps/>
        </w:rPr>
        <w:t>Date Prepared:</w:t>
      </w:r>
      <w:r w:rsidRPr="00344309">
        <w:rPr>
          <w:b/>
          <w:smallCaps/>
        </w:rPr>
        <w:t xml:space="preserve"> </w:t>
      </w:r>
      <w:r w:rsidR="00324C8D">
        <w:rPr>
          <w:rFonts w:eastAsia="Calibri"/>
        </w:rPr>
        <w:t>October 24</w:t>
      </w:r>
      <w:r w:rsidR="001322BE">
        <w:rPr>
          <w:rFonts w:eastAsia="Calibri"/>
        </w:rPr>
        <w:t>, 2018</w:t>
      </w:r>
    </w:p>
    <w:sectPr w:rsidR="0030730B" w:rsidRPr="0030730B" w:rsidSect="000D25B6"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B953" w14:textId="77777777" w:rsidR="00E90E89" w:rsidRDefault="00E90E89" w:rsidP="000B7EB0">
      <w:r>
        <w:separator/>
      </w:r>
    </w:p>
  </w:endnote>
  <w:endnote w:type="continuationSeparator" w:id="0">
    <w:p w14:paraId="4CFE2021" w14:textId="77777777" w:rsidR="00E90E89" w:rsidRDefault="00E90E89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48B50C18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7C202A">
      <w:t>899</w:t>
    </w:r>
    <w:r w:rsidR="00B315C3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0D25B6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E46C" w14:textId="77777777" w:rsidR="00E90E89" w:rsidRDefault="00E90E89" w:rsidP="000B7EB0">
      <w:r>
        <w:separator/>
      </w:r>
    </w:p>
  </w:footnote>
  <w:footnote w:type="continuationSeparator" w:id="0">
    <w:p w14:paraId="775666A3" w14:textId="77777777" w:rsidR="00E90E89" w:rsidRDefault="00E90E89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5B6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4E27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6B2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4AAC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876A-ED61-4040-A9A8-C4F226D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2018-10-26T13:52:00Z</dcterms:created>
  <dcterms:modified xsi:type="dcterms:W3CDTF">2018-10-31T13:44:00Z</dcterms:modified>
</cp:coreProperties>
</file>