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E176" w14:textId="77777777" w:rsidR="00A359C0" w:rsidRPr="0047081C" w:rsidRDefault="00A359C0" w:rsidP="00A359C0">
      <w:pPr>
        <w:jc w:val="right"/>
        <w:rPr>
          <w:i/>
          <w:iCs/>
        </w:rPr>
      </w:pPr>
      <w:bookmarkStart w:id="0" w:name="_GoBack"/>
      <w:bookmarkEnd w:id="0"/>
    </w:p>
    <w:p w14:paraId="34EC4F73" w14:textId="77777777" w:rsidR="00A359C0" w:rsidRPr="0047081C" w:rsidRDefault="00A359C0" w:rsidP="00A359C0">
      <w:pPr>
        <w:tabs>
          <w:tab w:val="left" w:pos="0"/>
        </w:tabs>
        <w:jc w:val="right"/>
      </w:pPr>
      <w:r w:rsidRPr="0047081C">
        <w:rPr>
          <w:u w:val="single"/>
        </w:rPr>
        <w:t>Subcommittee on COVID Recovery and Resiliency</w:t>
      </w:r>
    </w:p>
    <w:p w14:paraId="68B0B1B0" w14:textId="77777777" w:rsidR="00A359C0" w:rsidRPr="0047081C" w:rsidRDefault="00A359C0" w:rsidP="00A359C0">
      <w:pPr>
        <w:tabs>
          <w:tab w:val="left" w:pos="0"/>
        </w:tabs>
        <w:jc w:val="right"/>
        <w:rPr>
          <w:i/>
        </w:rPr>
      </w:pPr>
      <w:r w:rsidRPr="0047081C">
        <w:t xml:space="preserve">Sara Sucher, </w:t>
      </w:r>
      <w:r w:rsidRPr="0047081C">
        <w:rPr>
          <w:i/>
        </w:rPr>
        <w:t>Legislative Counsel</w:t>
      </w:r>
    </w:p>
    <w:p w14:paraId="5D9D8EA4" w14:textId="77777777" w:rsidR="00A359C0" w:rsidRDefault="00A359C0" w:rsidP="00A359C0">
      <w:pPr>
        <w:tabs>
          <w:tab w:val="left" w:pos="0"/>
        </w:tabs>
        <w:jc w:val="right"/>
        <w:rPr>
          <w:i/>
        </w:rPr>
      </w:pPr>
      <w:r w:rsidRPr="0047081C">
        <w:t xml:space="preserve">Mahnoor Butt, </w:t>
      </w:r>
      <w:r w:rsidRPr="0047081C">
        <w:rPr>
          <w:i/>
        </w:rPr>
        <w:t>Legislative Policy Analyst</w:t>
      </w:r>
    </w:p>
    <w:p w14:paraId="00762464" w14:textId="77777777" w:rsidR="00A359C0" w:rsidRPr="0047081C" w:rsidRDefault="00A359C0" w:rsidP="00A359C0">
      <w:pPr>
        <w:tabs>
          <w:tab w:val="left" w:pos="0"/>
        </w:tabs>
        <w:jc w:val="right"/>
        <w:rPr>
          <w:iCs/>
        </w:rPr>
      </w:pPr>
      <w:r w:rsidRPr="0047081C">
        <w:t xml:space="preserve">Crilhien Francisco, </w:t>
      </w:r>
      <w:r w:rsidRPr="0047081C">
        <w:rPr>
          <w:i/>
          <w:iCs/>
        </w:rPr>
        <w:t>Unit Head, Finance Division</w:t>
      </w:r>
    </w:p>
    <w:p w14:paraId="4F5EB8A4" w14:textId="77777777" w:rsidR="00A359C0" w:rsidRPr="0047081C" w:rsidRDefault="00A359C0" w:rsidP="00A359C0">
      <w:pPr>
        <w:tabs>
          <w:tab w:val="left" w:pos="0"/>
        </w:tabs>
        <w:jc w:val="right"/>
        <w:rPr>
          <w:i/>
        </w:rPr>
      </w:pPr>
      <w:r w:rsidRPr="0047081C">
        <w:rPr>
          <w:iCs/>
        </w:rPr>
        <w:t xml:space="preserve">Brook Frye, </w:t>
      </w:r>
      <w:r>
        <w:rPr>
          <w:i/>
        </w:rPr>
        <w:t>Senior Data Scientist</w:t>
      </w:r>
    </w:p>
    <w:p w14:paraId="7FDE3AC6" w14:textId="77777777" w:rsidR="00A359C0" w:rsidRDefault="00A359C0" w:rsidP="00A359C0">
      <w:pPr>
        <w:tabs>
          <w:tab w:val="left" w:pos="0"/>
        </w:tabs>
        <w:rPr>
          <w:i/>
        </w:rPr>
      </w:pPr>
    </w:p>
    <w:p w14:paraId="6D4F6157" w14:textId="3A21B8B5" w:rsidR="000711A5" w:rsidRPr="0047081C" w:rsidRDefault="000711A5" w:rsidP="008F6C03">
      <w:pPr>
        <w:tabs>
          <w:tab w:val="left" w:pos="0"/>
        </w:tabs>
        <w:jc w:val="right"/>
        <w:rPr>
          <w:iCs/>
          <w:u w:val="single"/>
        </w:rPr>
      </w:pPr>
      <w:r w:rsidRPr="0047081C">
        <w:rPr>
          <w:iCs/>
          <w:u w:val="single"/>
        </w:rPr>
        <w:t xml:space="preserve">Committee on </w:t>
      </w:r>
      <w:r w:rsidR="00AD467E">
        <w:rPr>
          <w:iCs/>
          <w:u w:val="single"/>
        </w:rPr>
        <w:t>Health</w:t>
      </w:r>
    </w:p>
    <w:p w14:paraId="7711FD59" w14:textId="7180D226" w:rsidR="00A359C0" w:rsidRDefault="00A359C0" w:rsidP="00A359C0">
      <w:pPr>
        <w:tabs>
          <w:tab w:val="left" w:pos="0"/>
        </w:tabs>
        <w:jc w:val="right"/>
      </w:pPr>
      <w:r>
        <w:t>Christopher Pepe</w:t>
      </w:r>
      <w:r w:rsidRPr="0047081C">
        <w:t xml:space="preserve">, </w:t>
      </w:r>
      <w:r>
        <w:rPr>
          <w:i/>
        </w:rPr>
        <w:t>Senior L</w:t>
      </w:r>
      <w:r w:rsidRPr="0047081C">
        <w:rPr>
          <w:i/>
        </w:rPr>
        <w:t>egislative Counsel</w:t>
      </w:r>
    </w:p>
    <w:p w14:paraId="19563F2B" w14:textId="774D99CB" w:rsidR="000711A5" w:rsidRPr="0047081C" w:rsidRDefault="00AD467E" w:rsidP="000711A5">
      <w:pPr>
        <w:tabs>
          <w:tab w:val="left" w:pos="0"/>
        </w:tabs>
        <w:jc w:val="right"/>
      </w:pPr>
      <w:r>
        <w:t>Sara Sucher</w:t>
      </w:r>
      <w:r w:rsidR="000711A5" w:rsidRPr="0047081C">
        <w:t xml:space="preserve">, </w:t>
      </w:r>
      <w:r w:rsidR="000711A5" w:rsidRPr="0047081C">
        <w:rPr>
          <w:i/>
        </w:rPr>
        <w:t>Legislative Counsel</w:t>
      </w:r>
    </w:p>
    <w:p w14:paraId="41850131" w14:textId="45697231" w:rsidR="00DD4B7F" w:rsidRDefault="00AD467E" w:rsidP="00DD4B7F">
      <w:pPr>
        <w:tabs>
          <w:tab w:val="left" w:pos="0"/>
        </w:tabs>
        <w:jc w:val="right"/>
        <w:rPr>
          <w:i/>
        </w:rPr>
      </w:pPr>
      <w:r>
        <w:t>Mahnoor Butt</w:t>
      </w:r>
      <w:r w:rsidR="000711A5" w:rsidRPr="0047081C">
        <w:t xml:space="preserve">, </w:t>
      </w:r>
      <w:r w:rsidR="000711A5" w:rsidRPr="0047081C">
        <w:rPr>
          <w:i/>
        </w:rPr>
        <w:t>Legislative Policy Analyst</w:t>
      </w:r>
    </w:p>
    <w:p w14:paraId="77B1F96A" w14:textId="77777777" w:rsidR="00E47CC8" w:rsidRDefault="00E47CC8" w:rsidP="00E47CC8">
      <w:pPr>
        <w:tabs>
          <w:tab w:val="left" w:pos="0"/>
        </w:tabs>
        <w:jc w:val="right"/>
        <w:rPr>
          <w:i/>
        </w:rPr>
      </w:pPr>
      <w:r>
        <w:t xml:space="preserve">Danielle Glants, </w:t>
      </w:r>
      <w:r>
        <w:rPr>
          <w:i/>
        </w:rPr>
        <w:t>Finance Analyst</w:t>
      </w:r>
    </w:p>
    <w:p w14:paraId="1894AD4A" w14:textId="77777777" w:rsidR="007718BD" w:rsidRDefault="007718BD" w:rsidP="007718BD">
      <w:pPr>
        <w:tabs>
          <w:tab w:val="left" w:pos="0"/>
        </w:tabs>
        <w:jc w:val="right"/>
        <w:rPr>
          <w:i/>
        </w:rPr>
      </w:pPr>
      <w:r>
        <w:t xml:space="preserve">Brook Frye, </w:t>
      </w:r>
      <w:r>
        <w:rPr>
          <w:i/>
        </w:rPr>
        <w:t>Senior Data Scientist</w:t>
      </w:r>
    </w:p>
    <w:p w14:paraId="6F155785" w14:textId="77777777" w:rsidR="00E47CC8" w:rsidRPr="00E47CC8" w:rsidRDefault="00E47CC8" w:rsidP="00DD4B7F">
      <w:pPr>
        <w:tabs>
          <w:tab w:val="left" w:pos="0"/>
        </w:tabs>
        <w:jc w:val="right"/>
        <w:rPr>
          <w:i/>
        </w:rPr>
      </w:pPr>
    </w:p>
    <w:p w14:paraId="733B4E5C" w14:textId="25A6461E" w:rsidR="00AD467E" w:rsidRPr="0047081C" w:rsidRDefault="00AD467E" w:rsidP="00AD467E">
      <w:pPr>
        <w:tabs>
          <w:tab w:val="left" w:pos="0"/>
        </w:tabs>
        <w:jc w:val="right"/>
        <w:rPr>
          <w:iCs/>
          <w:u w:val="single"/>
        </w:rPr>
      </w:pPr>
      <w:r w:rsidRPr="0047081C">
        <w:rPr>
          <w:iCs/>
          <w:u w:val="single"/>
        </w:rPr>
        <w:t xml:space="preserve">Committee on </w:t>
      </w:r>
      <w:r>
        <w:rPr>
          <w:iCs/>
          <w:u w:val="single"/>
        </w:rPr>
        <w:t>Hospitals</w:t>
      </w:r>
    </w:p>
    <w:p w14:paraId="5D6E11ED" w14:textId="4B308713" w:rsidR="00AD467E" w:rsidRDefault="00AD467E" w:rsidP="00AD467E">
      <w:pPr>
        <w:tabs>
          <w:tab w:val="left" w:pos="0"/>
        </w:tabs>
        <w:jc w:val="right"/>
        <w:rPr>
          <w:i/>
        </w:rPr>
      </w:pPr>
      <w:r>
        <w:t>Mahnoor Butt</w:t>
      </w:r>
      <w:r w:rsidRPr="0047081C">
        <w:t xml:space="preserve">, </w:t>
      </w:r>
      <w:r w:rsidRPr="0047081C">
        <w:rPr>
          <w:i/>
        </w:rPr>
        <w:t>Legislative Policy Analyst</w:t>
      </w:r>
    </w:p>
    <w:p w14:paraId="1FBABEA5" w14:textId="618149D5" w:rsidR="002E7056" w:rsidRPr="002E7056" w:rsidRDefault="002E7056" w:rsidP="002E7056">
      <w:pPr>
        <w:tabs>
          <w:tab w:val="left" w:pos="0"/>
        </w:tabs>
        <w:jc w:val="right"/>
        <w:rPr>
          <w:iCs/>
        </w:rPr>
      </w:pPr>
      <w:r w:rsidRPr="0047081C">
        <w:t xml:space="preserve">Crilhien Francisco, </w:t>
      </w:r>
      <w:r w:rsidRPr="0047081C">
        <w:rPr>
          <w:i/>
          <w:iCs/>
        </w:rPr>
        <w:t>Unit Head, Finance Division</w:t>
      </w:r>
    </w:p>
    <w:p w14:paraId="6475A636" w14:textId="16CA198C" w:rsidR="00B70FCF" w:rsidRDefault="00E47CC8" w:rsidP="00AD467E">
      <w:pPr>
        <w:tabs>
          <w:tab w:val="left" w:pos="0"/>
        </w:tabs>
        <w:jc w:val="right"/>
        <w:rPr>
          <w:i/>
        </w:rPr>
      </w:pPr>
      <w:r>
        <w:t xml:space="preserve">James Wu, </w:t>
      </w:r>
      <w:r>
        <w:rPr>
          <w:i/>
        </w:rPr>
        <w:t xml:space="preserve">Data </w:t>
      </w:r>
      <w:r w:rsidR="000A4CA9">
        <w:rPr>
          <w:i/>
        </w:rPr>
        <w:t>Scientist</w:t>
      </w:r>
    </w:p>
    <w:p w14:paraId="34709341" w14:textId="77777777" w:rsidR="002E7056" w:rsidRPr="00E47CC8" w:rsidRDefault="002E7056" w:rsidP="00AD467E">
      <w:pPr>
        <w:tabs>
          <w:tab w:val="left" w:pos="0"/>
        </w:tabs>
        <w:jc w:val="right"/>
      </w:pPr>
    </w:p>
    <w:p w14:paraId="6AA9CAD9" w14:textId="2D98CAF4" w:rsidR="000711A5" w:rsidRPr="002E7056" w:rsidRDefault="000711A5" w:rsidP="002E7056">
      <w:pPr>
        <w:rPr>
          <w:i/>
          <w:iCs/>
        </w:rPr>
      </w:pPr>
    </w:p>
    <w:p w14:paraId="0BCFB58F" w14:textId="09A44B3E" w:rsidR="000711A5" w:rsidRPr="00162EF8" w:rsidRDefault="000711A5" w:rsidP="00162EF8">
      <w:pPr>
        <w:tabs>
          <w:tab w:val="left" w:pos="7517"/>
        </w:tabs>
        <w:jc w:val="center"/>
      </w:pPr>
      <w:r w:rsidRPr="0047081C">
        <w:rPr>
          <w:noProof/>
        </w:rPr>
        <w:drawing>
          <wp:inline distT="0" distB="0" distL="0" distR="0" wp14:anchorId="160C7628" wp14:editId="771DA715">
            <wp:extent cx="1171575" cy="1095375"/>
            <wp:effectExtent l="0" t="0" r="0" b="0"/>
            <wp:docPr id="1365522500"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522500"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2F33B763" w14:textId="53B4E467" w:rsidR="000711A5" w:rsidRPr="0047081C" w:rsidRDefault="000711A5" w:rsidP="00162EF8">
      <w:pPr>
        <w:pStyle w:val="Heading1"/>
        <w:numPr>
          <w:ilvl w:val="0"/>
          <w:numId w:val="0"/>
        </w:numPr>
        <w:ind w:left="-270" w:right="-540"/>
        <w:jc w:val="center"/>
        <w:rPr>
          <w:rFonts w:ascii="Times New Roman" w:hAnsi="Times New Roman"/>
          <w:caps/>
          <w:color w:val="auto"/>
          <w:sz w:val="24"/>
          <w:szCs w:val="24"/>
          <w:u w:val="single"/>
        </w:rPr>
      </w:pPr>
      <w:r w:rsidRPr="0047081C">
        <w:rPr>
          <w:rFonts w:ascii="Times New Roman" w:hAnsi="Times New Roman"/>
          <w:caps/>
          <w:color w:val="auto"/>
          <w:sz w:val="24"/>
          <w:szCs w:val="24"/>
          <w:u w:val="single"/>
        </w:rPr>
        <w:t xml:space="preserve">Briefing paper OF THE </w:t>
      </w:r>
      <w:r w:rsidR="009D42D8">
        <w:rPr>
          <w:rFonts w:ascii="Times New Roman" w:hAnsi="Times New Roman"/>
          <w:caps/>
          <w:color w:val="auto"/>
          <w:sz w:val="24"/>
          <w:szCs w:val="24"/>
          <w:u w:val="single"/>
        </w:rPr>
        <w:t>LegisLative</w:t>
      </w:r>
      <w:r w:rsidRPr="0047081C">
        <w:rPr>
          <w:rFonts w:ascii="Times New Roman" w:hAnsi="Times New Roman"/>
          <w:caps/>
          <w:color w:val="auto"/>
          <w:sz w:val="24"/>
          <w:szCs w:val="24"/>
          <w:u w:val="single"/>
        </w:rPr>
        <w:t xml:space="preserve"> Division</w:t>
      </w:r>
    </w:p>
    <w:p w14:paraId="6E0F1226" w14:textId="5DAB27AC" w:rsidR="000711A5" w:rsidRPr="0047081C" w:rsidRDefault="000711A5" w:rsidP="000711A5">
      <w:pPr>
        <w:jc w:val="center"/>
        <w:rPr>
          <w:i/>
        </w:rPr>
      </w:pPr>
      <w:r w:rsidRPr="0047081C">
        <w:rPr>
          <w:i/>
        </w:rPr>
        <w:t xml:space="preserve">Andrea Vazquez, Director </w:t>
      </w:r>
    </w:p>
    <w:p w14:paraId="53383D0E" w14:textId="2065FFE1" w:rsidR="000711A5" w:rsidRPr="0047081C" w:rsidRDefault="000711A5" w:rsidP="000711A5">
      <w:pPr>
        <w:jc w:val="center"/>
        <w:rPr>
          <w:i/>
        </w:rPr>
      </w:pPr>
      <w:r w:rsidRPr="0047081C">
        <w:rPr>
          <w:i/>
        </w:rPr>
        <w:t>Smita Deshmukh, Deputy Director</w:t>
      </w:r>
      <w:r w:rsidR="00E73031">
        <w:rPr>
          <w:i/>
        </w:rPr>
        <w:t xml:space="preserve">, </w:t>
      </w:r>
      <w:r w:rsidR="009D42D8">
        <w:rPr>
          <w:i/>
        </w:rPr>
        <w:t>Human Services Division</w:t>
      </w:r>
    </w:p>
    <w:p w14:paraId="71E06FC6" w14:textId="554300A1" w:rsidR="000711A5" w:rsidRPr="0047081C" w:rsidRDefault="000711A5" w:rsidP="008F6C03">
      <w:pPr>
        <w:rPr>
          <w:b/>
          <w:u w:val="single"/>
        </w:rPr>
      </w:pPr>
    </w:p>
    <w:p w14:paraId="1BA5678B" w14:textId="77777777" w:rsidR="008F6C03" w:rsidRPr="0047081C" w:rsidRDefault="008F6C03" w:rsidP="008F6C03">
      <w:pPr>
        <w:rPr>
          <w:i/>
        </w:rPr>
      </w:pPr>
    </w:p>
    <w:p w14:paraId="3E6102B4" w14:textId="77777777" w:rsidR="00A359C0" w:rsidRPr="0047081C" w:rsidRDefault="00A359C0" w:rsidP="00A359C0">
      <w:pPr>
        <w:jc w:val="center"/>
      </w:pPr>
      <w:r w:rsidRPr="0047081C">
        <w:rPr>
          <w:b/>
          <w:u w:val="single"/>
        </w:rPr>
        <w:t>SUBCOMMITTEE ON COVID RECOVERY AND RESILIENCY</w:t>
      </w:r>
    </w:p>
    <w:p w14:paraId="03B19680" w14:textId="77777777" w:rsidR="00890D56" w:rsidRDefault="00A359C0" w:rsidP="005C558C">
      <w:pPr>
        <w:jc w:val="center"/>
        <w:rPr>
          <w:i/>
        </w:rPr>
      </w:pPr>
      <w:r w:rsidRPr="0047081C">
        <w:rPr>
          <w:i/>
        </w:rPr>
        <w:t>Hon. Francisco Moya,</w:t>
      </w:r>
    </w:p>
    <w:p w14:paraId="634B3F7E" w14:textId="77777777" w:rsidR="00890D56" w:rsidRDefault="00890D56" w:rsidP="005C558C">
      <w:pPr>
        <w:jc w:val="center"/>
        <w:rPr>
          <w:i/>
        </w:rPr>
      </w:pPr>
    </w:p>
    <w:p w14:paraId="38DCE656" w14:textId="378E25C1" w:rsidR="005C558C" w:rsidRPr="0047081C" w:rsidRDefault="00A359C0" w:rsidP="005C558C">
      <w:pPr>
        <w:jc w:val="center"/>
      </w:pPr>
      <w:r w:rsidRPr="0047081C">
        <w:rPr>
          <w:i/>
        </w:rPr>
        <w:t xml:space="preserve"> </w:t>
      </w:r>
      <w:r w:rsidR="005C558C" w:rsidRPr="0047081C">
        <w:rPr>
          <w:b/>
          <w:u w:val="single"/>
        </w:rPr>
        <w:t xml:space="preserve">COMMITTEE ON </w:t>
      </w:r>
      <w:r w:rsidR="005C558C">
        <w:rPr>
          <w:b/>
          <w:u w:val="single"/>
        </w:rPr>
        <w:t>HEALTH</w:t>
      </w:r>
    </w:p>
    <w:p w14:paraId="0D7D4E02" w14:textId="77777777" w:rsidR="005C558C" w:rsidRPr="0047081C" w:rsidRDefault="005C558C" w:rsidP="005C558C">
      <w:pPr>
        <w:jc w:val="center"/>
        <w:rPr>
          <w:i/>
        </w:rPr>
      </w:pPr>
      <w:r w:rsidRPr="0047081C">
        <w:rPr>
          <w:i/>
        </w:rPr>
        <w:t xml:space="preserve">Hon. </w:t>
      </w:r>
      <w:r>
        <w:rPr>
          <w:i/>
        </w:rPr>
        <w:t>Lynn Schulman</w:t>
      </w:r>
      <w:r w:rsidRPr="0047081C">
        <w:rPr>
          <w:i/>
        </w:rPr>
        <w:t>, Chair</w:t>
      </w:r>
    </w:p>
    <w:p w14:paraId="1B265142" w14:textId="77777777" w:rsidR="005C558C" w:rsidRDefault="005C558C" w:rsidP="005C558C">
      <w:pPr>
        <w:rPr>
          <w:b/>
          <w:u w:val="single"/>
        </w:rPr>
      </w:pPr>
    </w:p>
    <w:p w14:paraId="2808231A" w14:textId="77777777" w:rsidR="005C558C" w:rsidRPr="0047081C" w:rsidRDefault="005C558C" w:rsidP="005C558C">
      <w:pPr>
        <w:jc w:val="center"/>
      </w:pPr>
      <w:r w:rsidRPr="0047081C">
        <w:rPr>
          <w:b/>
          <w:u w:val="single"/>
        </w:rPr>
        <w:t xml:space="preserve">COMMITTEE ON </w:t>
      </w:r>
      <w:r>
        <w:rPr>
          <w:b/>
          <w:u w:val="single"/>
        </w:rPr>
        <w:t>HOSPITALS</w:t>
      </w:r>
    </w:p>
    <w:p w14:paraId="5B3752EB" w14:textId="77777777" w:rsidR="005C558C" w:rsidRPr="00AD467E" w:rsidRDefault="005C558C" w:rsidP="005C558C">
      <w:pPr>
        <w:jc w:val="center"/>
        <w:rPr>
          <w:i/>
        </w:rPr>
      </w:pPr>
      <w:r>
        <w:rPr>
          <w:i/>
        </w:rPr>
        <w:t>Hon. Mercedes Narcisse, Chair</w:t>
      </w:r>
    </w:p>
    <w:p w14:paraId="5C232225" w14:textId="77777777" w:rsidR="00A359C0" w:rsidRPr="00AD467E" w:rsidRDefault="00A359C0" w:rsidP="00A359C0">
      <w:pPr>
        <w:jc w:val="center"/>
        <w:rPr>
          <w:i/>
        </w:rPr>
      </w:pPr>
      <w:r w:rsidRPr="0047081C">
        <w:rPr>
          <w:i/>
        </w:rPr>
        <w:t>Chair</w:t>
      </w:r>
    </w:p>
    <w:p w14:paraId="0A3C0086" w14:textId="77777777" w:rsidR="00A359C0" w:rsidRDefault="00A359C0" w:rsidP="000711A5">
      <w:pPr>
        <w:jc w:val="center"/>
        <w:rPr>
          <w:b/>
          <w:u w:val="single"/>
        </w:rPr>
      </w:pPr>
    </w:p>
    <w:p w14:paraId="72212BD8" w14:textId="601135CB" w:rsidR="008F6C03" w:rsidRPr="0047081C" w:rsidRDefault="008F6C03" w:rsidP="008F6C03"/>
    <w:p w14:paraId="0F0390DB" w14:textId="0C7B28E8" w:rsidR="000711A5" w:rsidRDefault="00A359C0" w:rsidP="00F04791">
      <w:pPr>
        <w:pStyle w:val="Heading4"/>
        <w:numPr>
          <w:ilvl w:val="0"/>
          <w:numId w:val="0"/>
        </w:numPr>
        <w:spacing w:before="0" w:after="0"/>
        <w:jc w:val="center"/>
        <w:rPr>
          <w:rFonts w:ascii="Times New Roman" w:hAnsi="Times New Roman"/>
          <w:sz w:val="24"/>
          <w:szCs w:val="24"/>
        </w:rPr>
      </w:pPr>
      <w:r>
        <w:rPr>
          <w:rFonts w:ascii="Times New Roman" w:hAnsi="Times New Roman"/>
          <w:sz w:val="24"/>
          <w:szCs w:val="24"/>
        </w:rPr>
        <w:t>February 14, 2023</w:t>
      </w:r>
    </w:p>
    <w:p w14:paraId="16D8D03E" w14:textId="0EBE07DF" w:rsidR="000711A5" w:rsidRPr="0047081C" w:rsidRDefault="000711A5" w:rsidP="00233D23">
      <w:pPr>
        <w:widowControl w:val="0"/>
        <w:autoSpaceDE w:val="0"/>
        <w:autoSpaceDN w:val="0"/>
        <w:adjustRightInd w:val="0"/>
        <w:rPr>
          <w:b/>
        </w:rPr>
      </w:pPr>
    </w:p>
    <w:p w14:paraId="4F47D744" w14:textId="2CC7A3A8" w:rsidR="00357B3E" w:rsidRDefault="00357B3E" w:rsidP="000A4CA9">
      <w:pPr>
        <w:widowControl w:val="0"/>
        <w:autoSpaceDE w:val="0"/>
        <w:autoSpaceDN w:val="0"/>
        <w:adjustRightInd w:val="0"/>
        <w:jc w:val="center"/>
        <w:rPr>
          <w:b/>
          <w:bCs/>
        </w:rPr>
      </w:pPr>
      <w:r>
        <w:rPr>
          <w:b/>
          <w:bCs/>
        </w:rPr>
        <w:t>Oversight: Assessing NYC’s COVID-19 Response Amid Shifting Public Health Strategies</w:t>
      </w:r>
    </w:p>
    <w:p w14:paraId="128BFB3D" w14:textId="77777777" w:rsidR="00357B3E" w:rsidRDefault="00357B3E">
      <w:pPr>
        <w:rPr>
          <w:b/>
          <w:bCs/>
        </w:rPr>
      </w:pPr>
      <w:r>
        <w:rPr>
          <w:b/>
          <w:bCs/>
        </w:rPr>
        <w:br w:type="page"/>
      </w:r>
    </w:p>
    <w:p w14:paraId="64771B62" w14:textId="121A35BB" w:rsidR="00F04791" w:rsidRDefault="00F04791" w:rsidP="000A4CA9">
      <w:pPr>
        <w:widowControl w:val="0"/>
        <w:autoSpaceDE w:val="0"/>
        <w:autoSpaceDN w:val="0"/>
        <w:adjustRightInd w:val="0"/>
        <w:jc w:val="center"/>
        <w:rPr>
          <w:b/>
        </w:rPr>
      </w:pPr>
    </w:p>
    <w:p w14:paraId="059360A8" w14:textId="77777777" w:rsidR="008F6C03" w:rsidRPr="0047081C" w:rsidRDefault="008F6C03" w:rsidP="004D79C7">
      <w:pPr>
        <w:widowControl w:val="0"/>
        <w:autoSpaceDE w:val="0"/>
        <w:autoSpaceDN w:val="0"/>
        <w:adjustRightInd w:val="0"/>
        <w:jc w:val="center"/>
        <w:rPr>
          <w:b/>
        </w:rPr>
      </w:pPr>
    </w:p>
    <w:p w14:paraId="2D4BF623" w14:textId="79AB8BA2" w:rsidR="000711A5" w:rsidRPr="0047081C" w:rsidRDefault="005510AC" w:rsidP="000711A5">
      <w:pPr>
        <w:pStyle w:val="paragraph"/>
        <w:numPr>
          <w:ilvl w:val="0"/>
          <w:numId w:val="8"/>
        </w:numPr>
        <w:spacing w:before="0" w:beforeAutospacing="0" w:after="0" w:afterAutospacing="0"/>
        <w:jc w:val="both"/>
        <w:textAlignment w:val="baseline"/>
      </w:pPr>
      <w:r>
        <w:rPr>
          <w:b/>
        </w:rPr>
        <w:t>INTRODUCTION</w:t>
      </w:r>
    </w:p>
    <w:p w14:paraId="562E6458" w14:textId="77777777" w:rsidR="000711A5" w:rsidRPr="0047081C" w:rsidRDefault="000711A5" w:rsidP="000711A5">
      <w:pPr>
        <w:pStyle w:val="paragraph"/>
        <w:spacing w:before="0" w:beforeAutospacing="0" w:after="0" w:afterAutospacing="0"/>
        <w:ind w:left="1080"/>
        <w:jc w:val="both"/>
        <w:textAlignment w:val="baseline"/>
      </w:pPr>
    </w:p>
    <w:p w14:paraId="4CCC76AF" w14:textId="1416B9FA" w:rsidR="000711A5" w:rsidRPr="0047081C" w:rsidRDefault="000711A5" w:rsidP="000711A5">
      <w:pPr>
        <w:spacing w:line="480" w:lineRule="auto"/>
        <w:jc w:val="both"/>
        <w:rPr>
          <w:b/>
          <w:bCs/>
        </w:rPr>
      </w:pPr>
      <w:r w:rsidRPr="0047081C">
        <w:rPr>
          <w:bCs/>
        </w:rPr>
        <w:tab/>
      </w:r>
      <w:r w:rsidRPr="0047081C">
        <w:t>On</w:t>
      </w:r>
      <w:r w:rsidR="00A568E0">
        <w:t xml:space="preserve"> February 14</w:t>
      </w:r>
      <w:r w:rsidRPr="0047081C">
        <w:t>,</w:t>
      </w:r>
      <w:r w:rsidR="00A568E0">
        <w:t xml:space="preserve"> 2023,</w:t>
      </w:r>
      <w:r w:rsidRPr="0047081C">
        <w:t xml:space="preserve"> </w:t>
      </w:r>
      <w:r w:rsidR="00A568E0" w:rsidRPr="0047081C">
        <w:t>the Subcommittee on COVID Recovery and Resiliency, chaired by Council Member Francisco Moya</w:t>
      </w:r>
      <w:r w:rsidR="00E73031">
        <w:t>;</w:t>
      </w:r>
      <w:r w:rsidR="00A568E0" w:rsidRPr="0047081C">
        <w:t xml:space="preserve"> </w:t>
      </w:r>
      <w:r w:rsidRPr="0047081C">
        <w:t xml:space="preserve">the Committee on </w:t>
      </w:r>
      <w:r w:rsidR="00ED5752">
        <w:t>Health</w:t>
      </w:r>
      <w:r w:rsidRPr="0047081C">
        <w:t xml:space="preserve">, chaired by Council Member </w:t>
      </w:r>
      <w:r w:rsidR="00ED5752">
        <w:t>Lynn Schulman</w:t>
      </w:r>
      <w:r w:rsidR="00B2522C">
        <w:t>;</w:t>
      </w:r>
      <w:r w:rsidRPr="0047081C">
        <w:t xml:space="preserve"> </w:t>
      </w:r>
      <w:r w:rsidR="00ED5752">
        <w:t xml:space="preserve">and the Committee on Hospitals, chaired by Council Member Mercedes Narcisse, </w:t>
      </w:r>
      <w:r w:rsidRPr="0047081C">
        <w:t>will hold a hearing titled</w:t>
      </w:r>
      <w:r w:rsidR="00F165A0">
        <w:t>,</w:t>
      </w:r>
      <w:r w:rsidRPr="0047081C">
        <w:t xml:space="preserve"> </w:t>
      </w:r>
      <w:r w:rsidR="00E11F5A">
        <w:t>“</w:t>
      </w:r>
      <w:r w:rsidR="00E11F5A" w:rsidRPr="00E11F5A">
        <w:t>Oversight: Assessing NYC's COVID-19 Response Amid Shifting Public Health Strategies</w:t>
      </w:r>
      <w:r w:rsidR="00E11F5A">
        <w:t xml:space="preserve">.” </w:t>
      </w:r>
      <w:r w:rsidR="00B943DE">
        <w:t>Among those invited to testify a</w:t>
      </w:r>
      <w:r w:rsidR="000A4CA9">
        <w:t>r</w:t>
      </w:r>
      <w:r w:rsidR="00B943DE">
        <w:t xml:space="preserve">e representatives </w:t>
      </w:r>
      <w:r w:rsidRPr="0047081C">
        <w:t>from</w:t>
      </w:r>
      <w:r w:rsidR="0098240B" w:rsidRPr="0047081C">
        <w:t xml:space="preserve"> the Department of Health and Mental Hygiene (DOHMH)</w:t>
      </w:r>
      <w:r w:rsidR="001E1A2D" w:rsidRPr="0047081C">
        <w:t>,</w:t>
      </w:r>
      <w:r w:rsidRPr="0047081C">
        <w:t xml:space="preserve"> advocates</w:t>
      </w:r>
      <w:r w:rsidR="00582629" w:rsidRPr="0047081C">
        <w:t>,</w:t>
      </w:r>
      <w:r w:rsidRPr="0047081C">
        <w:t xml:space="preserve"> members of the public</w:t>
      </w:r>
      <w:r w:rsidR="00DB6562" w:rsidRPr="0047081C">
        <w:t>, and other interested stakeholders</w:t>
      </w:r>
      <w:r w:rsidRPr="0047081C">
        <w:t>.</w:t>
      </w:r>
      <w:r w:rsidRPr="0047081C">
        <w:rPr>
          <w:bCs/>
        </w:rPr>
        <w:t xml:space="preserve"> </w:t>
      </w:r>
    </w:p>
    <w:p w14:paraId="04F8A9C9" w14:textId="4BA4E649" w:rsidR="00AF1E29" w:rsidRPr="00630E8C" w:rsidRDefault="3532FCC6" w:rsidP="00630E8C">
      <w:pPr>
        <w:numPr>
          <w:ilvl w:val="0"/>
          <w:numId w:val="8"/>
        </w:numPr>
        <w:spacing w:line="480" w:lineRule="auto"/>
        <w:rPr>
          <w:b/>
        </w:rPr>
      </w:pPr>
      <w:r w:rsidRPr="3532FCC6">
        <w:rPr>
          <w:b/>
          <w:bCs/>
        </w:rPr>
        <w:t>BACKGROUND</w:t>
      </w:r>
    </w:p>
    <w:p w14:paraId="52BC1FF6" w14:textId="7F2E992A" w:rsidR="00630E8C" w:rsidRPr="005510AC" w:rsidRDefault="00357B3E" w:rsidP="3532FCC6">
      <w:pPr>
        <w:pStyle w:val="ListParagraph"/>
        <w:numPr>
          <w:ilvl w:val="0"/>
          <w:numId w:val="6"/>
        </w:numPr>
        <w:spacing w:line="480" w:lineRule="auto"/>
        <w:jc w:val="both"/>
        <w:rPr>
          <w:b/>
          <w:bCs/>
          <w:u w:val="single"/>
        </w:rPr>
      </w:pPr>
      <w:r>
        <w:rPr>
          <w:b/>
          <w:bCs/>
          <w:u w:val="single"/>
        </w:rPr>
        <w:t>Centers for Disease Control’s</w:t>
      </w:r>
      <w:r w:rsidR="3532FCC6" w:rsidRPr="3532FCC6">
        <w:rPr>
          <w:b/>
          <w:bCs/>
          <w:u w:val="single"/>
        </w:rPr>
        <w:t xml:space="preserve"> Monitoring of COVID-19</w:t>
      </w:r>
    </w:p>
    <w:p w14:paraId="6F06C100" w14:textId="3AD99681" w:rsidR="00E83EB7" w:rsidRDefault="00095B8A" w:rsidP="008651C8">
      <w:pPr>
        <w:spacing w:line="480" w:lineRule="auto"/>
        <w:ind w:firstLine="720"/>
        <w:jc w:val="both"/>
      </w:pPr>
      <w:r w:rsidRPr="3532FCC6">
        <w:t xml:space="preserve">The </w:t>
      </w:r>
      <w:r w:rsidR="00B91C1F" w:rsidRPr="3532FCC6">
        <w:t>U</w:t>
      </w:r>
      <w:r w:rsidR="001F0CA0">
        <w:t>nited States (U.S.)</w:t>
      </w:r>
      <w:r w:rsidRPr="3532FCC6">
        <w:t xml:space="preserve"> Centers for Disease Control (CDC)</w:t>
      </w:r>
      <w:r w:rsidR="001F02D0">
        <w:t xml:space="preserve"> continues</w:t>
      </w:r>
      <w:r w:rsidRPr="3532FCC6">
        <w:t xml:space="preserve"> to track new variants of SARS-CoV-2, the virus that causes COVID-19.</w:t>
      </w:r>
      <w:r w:rsidRPr="3532FCC6">
        <w:rPr>
          <w:rStyle w:val="FootnoteReference"/>
        </w:rPr>
        <w:footnoteReference w:id="2"/>
      </w:r>
      <w:r w:rsidRPr="3532FCC6">
        <w:t xml:space="preserve"> Omicron, </w:t>
      </w:r>
      <w:r w:rsidR="001F0CA0">
        <w:t>currently the most prominent variant</w:t>
      </w:r>
      <w:r w:rsidRPr="3532FCC6">
        <w:t xml:space="preserve">, is made up </w:t>
      </w:r>
      <w:r w:rsidR="001F02D0">
        <w:t>of a number of lineages and sub</w:t>
      </w:r>
      <w:r w:rsidRPr="3532FCC6">
        <w:t xml:space="preserve">lineages, and the CDC </w:t>
      </w:r>
      <w:r w:rsidR="0036007B">
        <w:t>closely tracks</w:t>
      </w:r>
      <w:r w:rsidR="001F0CA0">
        <w:t xml:space="preserve"> a wide range of Omicron sub</w:t>
      </w:r>
      <w:r w:rsidRPr="3532FCC6">
        <w:t xml:space="preserve">lineages circulating in the </w:t>
      </w:r>
      <w:r w:rsidR="00B943DE" w:rsidRPr="3532FCC6">
        <w:t>U</w:t>
      </w:r>
      <w:r w:rsidR="002F0560">
        <w:t>.</w:t>
      </w:r>
      <w:r w:rsidR="00B943DE" w:rsidRPr="3532FCC6">
        <w:t>S</w:t>
      </w:r>
      <w:r>
        <w:rPr>
          <w:iCs/>
        </w:rPr>
        <w:t>.</w:t>
      </w:r>
      <w:r w:rsidR="001F0CA0">
        <w:rPr>
          <w:iCs/>
        </w:rPr>
        <w:t>, as well as monitoring the emerging variants and their circulation to ensure that the effectiveness of vaccinations and treatments are not reduced</w:t>
      </w:r>
      <w:r w:rsidR="00A64D8E" w:rsidRPr="3532FCC6">
        <w:t>.</w:t>
      </w:r>
      <w:r w:rsidR="00A64D8E" w:rsidRPr="3532FCC6">
        <w:rPr>
          <w:rStyle w:val="FootnoteReference"/>
        </w:rPr>
        <w:footnoteReference w:id="3"/>
      </w:r>
      <w:r w:rsidR="00A64D8E" w:rsidRPr="000A4CA9">
        <w:rPr>
          <w:iCs/>
        </w:rPr>
        <w:t xml:space="preserve"> </w:t>
      </w:r>
    </w:p>
    <w:p w14:paraId="2DBF3828" w14:textId="1A948DB5" w:rsidR="00E83EB7" w:rsidRDefault="00C43638" w:rsidP="00B87F50">
      <w:pPr>
        <w:spacing w:line="480" w:lineRule="auto"/>
        <w:ind w:firstLine="720"/>
        <w:jc w:val="both"/>
      </w:pPr>
      <w:r w:rsidRPr="00E426ED">
        <w:t xml:space="preserve">As of </w:t>
      </w:r>
      <w:r w:rsidR="00890D56">
        <w:t>February 13</w:t>
      </w:r>
      <w:r w:rsidR="006E0378" w:rsidRPr="00E426ED">
        <w:t>, 2023</w:t>
      </w:r>
      <w:r w:rsidR="000A4CA9" w:rsidRPr="00E426ED">
        <w:t>,</w:t>
      </w:r>
      <w:r w:rsidR="006E0378" w:rsidRPr="00E426ED">
        <w:t xml:space="preserve"> the </w:t>
      </w:r>
      <w:r w:rsidR="00D52E91" w:rsidRPr="00E426ED">
        <w:t xml:space="preserve">Omicron </w:t>
      </w:r>
      <w:r w:rsidR="006E0378" w:rsidRPr="00E426ED">
        <w:t>variant XBB.1.5</w:t>
      </w:r>
      <w:r w:rsidR="00C41A5A">
        <w:t xml:space="preserve"> accounts for approximately 74.7</w:t>
      </w:r>
      <w:r w:rsidR="00A64D8E" w:rsidRPr="00E426ED">
        <w:t xml:space="preserve"> percent of all new cases.</w:t>
      </w:r>
      <w:r w:rsidR="00A64D8E" w:rsidRPr="00E426ED">
        <w:rPr>
          <w:rStyle w:val="FootnoteReference"/>
        </w:rPr>
        <w:footnoteReference w:id="4"/>
      </w:r>
      <w:r w:rsidR="00AF1E29" w:rsidRPr="00E426ED">
        <w:rPr>
          <w:iCs/>
        </w:rPr>
        <w:t xml:space="preserve"> It is the only major lineage currently increasing in proportion in the </w:t>
      </w:r>
      <w:r w:rsidR="004E08D5" w:rsidRPr="00E426ED">
        <w:rPr>
          <w:iCs/>
        </w:rPr>
        <w:t>U.S</w:t>
      </w:r>
      <w:r w:rsidR="00AF1E29" w:rsidRPr="00E426ED">
        <w:rPr>
          <w:iCs/>
        </w:rPr>
        <w:t>.</w:t>
      </w:r>
      <w:r w:rsidR="00095B8A" w:rsidRPr="00E426ED">
        <w:rPr>
          <w:rStyle w:val="FootnoteReference"/>
        </w:rPr>
        <w:footnoteReference w:id="5"/>
      </w:r>
      <w:r w:rsidR="3532FCC6">
        <w:t xml:space="preserve"> XBB.1.5 is a sublineage of the XBB lineage, which is a combination of two earlier Omicron lineages: BM.1. and BJ.</w:t>
      </w:r>
      <w:r w:rsidR="00FA1AC4">
        <w:t>1.</w:t>
      </w:r>
      <w:r w:rsidR="001F0CA0">
        <w:rPr>
          <w:rStyle w:val="FootnoteReference"/>
        </w:rPr>
        <w:footnoteReference w:id="6"/>
      </w:r>
      <w:r w:rsidR="3532FCC6">
        <w:t xml:space="preserve"> </w:t>
      </w:r>
      <w:r w:rsidR="00B87F50" w:rsidRPr="00E426ED">
        <w:t>XBB.1.5., or “the kraken,” contains more mutations to evade immunity than other variants seen so far – the subvariant has a mutation that public health experts believe help the virus bind to cells and become more transmissible.</w:t>
      </w:r>
      <w:r w:rsidR="00B87F50" w:rsidRPr="00E426ED">
        <w:rPr>
          <w:rStyle w:val="FootnoteReference"/>
        </w:rPr>
        <w:footnoteReference w:id="7"/>
      </w:r>
      <w:r w:rsidR="00B87F50" w:rsidRPr="00E426ED">
        <w:t xml:space="preserve"> Symptoms appear similar to earlier Omicron subvariants and can range from typical cold symptoms such as cough and congestion to shortness of breath and low oxygen levels that require emergency medical attention.</w:t>
      </w:r>
      <w:r w:rsidR="00B87F50" w:rsidRPr="00E426ED">
        <w:rPr>
          <w:rStyle w:val="FootnoteReference"/>
        </w:rPr>
        <w:footnoteReference w:id="8"/>
      </w:r>
      <w:r w:rsidR="3532FCC6" w:rsidRPr="00E426ED">
        <w:t xml:space="preserve"> </w:t>
      </w:r>
      <w:r w:rsidR="00B87F50" w:rsidRPr="00E426ED">
        <w:t>Other symptoms may include fever, chills, fatigue, muscle or body aches, sore throat, nausea or vomiting, and diarrhea, and can last between 5 to 7 days (but may vary from person to person).</w:t>
      </w:r>
      <w:r w:rsidR="00B87F50" w:rsidRPr="00E426ED">
        <w:rPr>
          <w:rStyle w:val="FootnoteReference"/>
        </w:rPr>
        <w:footnoteReference w:id="9"/>
      </w:r>
      <w:r w:rsidR="00B87F50" w:rsidRPr="00E426ED">
        <w:t xml:space="preserve"> Symptoms such as temporary loss of taste and smell can still occur in some instances but it has become less common.</w:t>
      </w:r>
      <w:r w:rsidR="00B87F50" w:rsidRPr="00E426ED">
        <w:rPr>
          <w:rStyle w:val="FootnoteReference"/>
        </w:rPr>
        <w:footnoteReference w:id="10"/>
      </w:r>
      <w:r w:rsidR="00B87F50">
        <w:t xml:space="preserve"> </w:t>
      </w:r>
      <w:r w:rsidR="3532FCC6">
        <w:t>To help visualize how variants emerge, disappear, and persist, the CDC’s COVID</w:t>
      </w:r>
      <w:r w:rsidR="001F0CA0">
        <w:t>-19 Data Tracker</w:t>
      </w:r>
      <w:r w:rsidR="3532FCC6">
        <w:t xml:space="preserve"> added a tree diagram showing the genetic relationships between lineages:</w:t>
      </w:r>
      <w:r w:rsidR="001F0CA0">
        <w:rPr>
          <w:rStyle w:val="FootnoteReference"/>
        </w:rPr>
        <w:footnoteReference w:id="11"/>
      </w:r>
    </w:p>
    <w:p w14:paraId="53992E2D" w14:textId="3DC30499" w:rsidR="00E83EB7" w:rsidRDefault="00095B8A" w:rsidP="001F0CA0">
      <w:pPr>
        <w:spacing w:line="480" w:lineRule="auto"/>
        <w:ind w:left="-360"/>
        <w:jc w:val="center"/>
      </w:pPr>
      <w:r>
        <w:rPr>
          <w:noProof/>
        </w:rPr>
        <w:drawing>
          <wp:inline distT="0" distB="0" distL="0" distR="0" wp14:anchorId="6369DC3E" wp14:editId="7D8E8DB3">
            <wp:extent cx="6177204" cy="3264196"/>
            <wp:effectExtent l="57150" t="0" r="52705" b="107950"/>
            <wp:docPr id="873083891" name="Picture 87308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62000"/>
                              </a14:imgEffect>
                              <a14:imgEffect>
                                <a14:brightnessContrast contrast="10000"/>
                              </a14:imgEffect>
                            </a14:imgLayer>
                          </a14:imgProps>
                        </a:ext>
                        <a:ext uri="{28A0092B-C50C-407E-A947-70E740481C1C}">
                          <a14:useLocalDpi xmlns:a14="http://schemas.microsoft.com/office/drawing/2010/main" val="0"/>
                        </a:ext>
                      </a:extLst>
                    </a:blip>
                    <a:stretch>
                      <a:fillRect/>
                    </a:stretch>
                  </pic:blipFill>
                  <pic:spPr>
                    <a:xfrm>
                      <a:off x="0" y="0"/>
                      <a:ext cx="6261992" cy="3309000"/>
                    </a:xfrm>
                    <a:prstGeom prst="rect">
                      <a:avLst/>
                    </a:prstGeom>
                    <a:effectLst>
                      <a:outerShdw blurRad="50800" dist="50800" dir="5400000" algn="ctr" rotWithShape="0">
                        <a:schemeClr val="bg1"/>
                      </a:outerShdw>
                    </a:effectLst>
                  </pic:spPr>
                </pic:pic>
              </a:graphicData>
            </a:graphic>
          </wp:inline>
        </w:drawing>
      </w:r>
    </w:p>
    <w:p w14:paraId="2CEBCB99" w14:textId="697377BF" w:rsidR="00E83EB7" w:rsidRPr="00300074" w:rsidRDefault="3532FCC6" w:rsidP="3532FCC6">
      <w:pPr>
        <w:pStyle w:val="ListParagraph"/>
        <w:numPr>
          <w:ilvl w:val="0"/>
          <w:numId w:val="6"/>
        </w:numPr>
        <w:spacing w:line="480" w:lineRule="auto"/>
        <w:jc w:val="both"/>
        <w:rPr>
          <w:b/>
          <w:bCs/>
          <w:u w:val="single"/>
        </w:rPr>
      </w:pPr>
      <w:r w:rsidRPr="00300074">
        <w:rPr>
          <w:b/>
          <w:bCs/>
          <w:u w:val="single"/>
        </w:rPr>
        <w:t>Updated COVID-19 Booster</w:t>
      </w:r>
      <w:r w:rsidR="00890D56">
        <w:rPr>
          <w:b/>
          <w:bCs/>
          <w:u w:val="single"/>
        </w:rPr>
        <w:t xml:space="preserve"> and COVID-19 Treatment Options</w:t>
      </w:r>
    </w:p>
    <w:p w14:paraId="51385689" w14:textId="26C1CCFE" w:rsidR="00531F9A" w:rsidRDefault="3532FCC6" w:rsidP="00167F32">
      <w:pPr>
        <w:spacing w:line="480" w:lineRule="auto"/>
        <w:ind w:firstLine="360"/>
        <w:jc w:val="both"/>
      </w:pPr>
      <w:r>
        <w:t>The most effective way to protect against severe COVID-19 is to receive the COVID-19 vaccination and boosters.</w:t>
      </w:r>
      <w:r w:rsidR="00F75F5F">
        <w:rPr>
          <w:rStyle w:val="FootnoteReference"/>
        </w:rPr>
        <w:footnoteReference w:id="12"/>
      </w:r>
      <w:r>
        <w:t xml:space="preserve"> The updated booster vaccine has been reformulated to better protect against the most recently circulating variants, and can help restore protection that has waned since previous vaccination.</w:t>
      </w:r>
      <w:r w:rsidR="00C045E9">
        <w:rPr>
          <w:rStyle w:val="FootnoteReference"/>
        </w:rPr>
        <w:footnoteReference w:id="13"/>
      </w:r>
      <w:r>
        <w:t xml:space="preserve"> However, the CDC notes that the number of individuals receiving the updated booster is at an all-time low since vaccines were rolled out in early 2021.</w:t>
      </w:r>
      <w:r w:rsidR="00095B8A" w:rsidRPr="3532FCC6">
        <w:rPr>
          <w:rStyle w:val="FootnoteReference"/>
        </w:rPr>
        <w:footnoteReference w:id="14"/>
      </w:r>
      <w:r w:rsidR="00531F9A">
        <w:t xml:space="preserve"> </w:t>
      </w:r>
      <w:r w:rsidR="00DC40B9">
        <w:t>About 52.5 million people, or 15.8 percent of the U.S. population, have received an updated booster dose</w:t>
      </w:r>
      <w:r>
        <w:t>.</w:t>
      </w:r>
      <w:r w:rsidR="00531F9A">
        <w:rPr>
          <w:rStyle w:val="FootnoteReference"/>
        </w:rPr>
        <w:footnoteReference w:id="15"/>
      </w:r>
      <w:r>
        <w:t xml:space="preserve"> The CDC recommends that everyone aged 5 years and older get an updated booster if it has been at least </w:t>
      </w:r>
      <w:r w:rsidR="007A009F">
        <w:t>2</w:t>
      </w:r>
      <w:r>
        <w:t xml:space="preserve"> months since their last COVID-19 dose (either primary or original booster).</w:t>
      </w:r>
      <w:r w:rsidR="002E5CF7">
        <w:rPr>
          <w:rStyle w:val="FootnoteReference"/>
        </w:rPr>
        <w:footnoteReference w:id="16"/>
      </w:r>
      <w:r>
        <w:t xml:space="preserve"> Children aged 6 months to 5 years </w:t>
      </w:r>
      <w:r w:rsidR="00936A31">
        <w:t xml:space="preserve">old </w:t>
      </w:r>
      <w:r>
        <w:t xml:space="preserve">who </w:t>
      </w:r>
      <w:r w:rsidR="007A009F">
        <w:t xml:space="preserve">have </w:t>
      </w:r>
      <w:r>
        <w:t>completed the Moderna COVID-19 vaccine primary series can also receive an updated booster.</w:t>
      </w:r>
      <w:r w:rsidR="00095B8A" w:rsidRPr="3532FCC6">
        <w:rPr>
          <w:rStyle w:val="FootnoteReference"/>
        </w:rPr>
        <w:footnoteReference w:id="17"/>
      </w:r>
      <w:r>
        <w:t xml:space="preserve"> </w:t>
      </w:r>
    </w:p>
    <w:p w14:paraId="48F6D293" w14:textId="6592182D" w:rsidR="00890D56" w:rsidRDefault="00936A31" w:rsidP="00167F32">
      <w:pPr>
        <w:spacing w:line="480" w:lineRule="auto"/>
        <w:ind w:firstLine="360"/>
        <w:jc w:val="both"/>
      </w:pPr>
      <w:r>
        <w:t>In order to be the most effective, t</w:t>
      </w:r>
      <w:r w:rsidR="00864F34">
        <w:t>he CDC emphasizes that treatment for COVID-19 must be started within days of when someone first develops symptoms.</w:t>
      </w:r>
      <w:r w:rsidR="00864F34">
        <w:rPr>
          <w:rStyle w:val="FootnoteReference"/>
        </w:rPr>
        <w:footnoteReference w:id="18"/>
      </w:r>
      <w:r w:rsidR="00864F34">
        <w:t xml:space="preserve"> </w:t>
      </w:r>
      <w:r w:rsidR="00890D56">
        <w:t xml:space="preserve">The </w:t>
      </w:r>
      <w:r w:rsidR="00864F34">
        <w:t xml:space="preserve">U.S. Food and Drug Administration (FDA) </w:t>
      </w:r>
      <w:r w:rsidR="00890D56">
        <w:t xml:space="preserve">has authorized various </w:t>
      </w:r>
      <w:r w:rsidR="00864F34">
        <w:t xml:space="preserve">antiviral </w:t>
      </w:r>
      <w:r w:rsidR="00890D56">
        <w:t xml:space="preserve">medications to treat </w:t>
      </w:r>
      <w:r w:rsidR="00864F34">
        <w:t>mild and moderate COVID-19 in people who are more likely to get very sick, such as Paxlovid and Lagevrio.</w:t>
      </w:r>
      <w:r w:rsidR="00864F34">
        <w:rPr>
          <w:rStyle w:val="FootnoteReference"/>
        </w:rPr>
        <w:footnoteReference w:id="19"/>
      </w:r>
      <w:r w:rsidR="00864F34">
        <w:t xml:space="preserve"> The National Institutes of Health (NIH) also provides COVID-19 Treatment Guidelines for healthcare providers to help them work with patients to determine the best treatment options.</w:t>
      </w:r>
      <w:r w:rsidR="00864F34">
        <w:rPr>
          <w:rStyle w:val="FootnoteReference"/>
        </w:rPr>
        <w:footnoteReference w:id="20"/>
      </w:r>
      <w:r w:rsidR="00864F34">
        <w:t xml:space="preserve"> Besides oral antivirals, Remdesivir is also available, which must be taken through intravenous infusions at a healthcare facility for 3 consecutive days.</w:t>
      </w:r>
      <w:r w:rsidR="00864F34">
        <w:rPr>
          <w:rStyle w:val="FootnoteReference"/>
        </w:rPr>
        <w:footnoteReference w:id="21"/>
      </w:r>
    </w:p>
    <w:p w14:paraId="22918D08" w14:textId="5BD4518D" w:rsidR="00864F34" w:rsidRDefault="00864F34" w:rsidP="00864F34">
      <w:pPr>
        <w:spacing w:line="480" w:lineRule="auto"/>
        <w:ind w:firstLine="360"/>
        <w:jc w:val="both"/>
      </w:pPr>
      <w:r>
        <w:t>On January 26, 2023, the FDA announced that Evusheld</w:t>
      </w:r>
      <w:r w:rsidRPr="3532FCC6">
        <w:rPr>
          <w:rStyle w:val="FootnoteReference"/>
        </w:rPr>
        <w:footnoteReference w:id="22"/>
      </w:r>
      <w:r>
        <w:t xml:space="preserve"> is no longer authorized for emergency use in the U.S., as data shows that it is unlikely to be active against certain COVID-19 lineages, including the variants that are currently circulating.</w:t>
      </w:r>
      <w:r w:rsidRPr="3532FCC6">
        <w:rPr>
          <w:rStyle w:val="FootnoteReference"/>
        </w:rPr>
        <w:footnoteReference w:id="23"/>
      </w:r>
      <w:r>
        <w:t xml:space="preserve"> The CDC stresses that those who are moderately to severely immunocompromised should exercise caution and recognize the need for additional prevention measures, as well as other treatment options.</w:t>
      </w:r>
      <w:r w:rsidRPr="3532FCC6">
        <w:rPr>
          <w:rStyle w:val="FootnoteReference"/>
        </w:rPr>
        <w:footnoteReference w:id="24"/>
      </w:r>
    </w:p>
    <w:p w14:paraId="7FEB72BB" w14:textId="3E3AA0E3" w:rsidR="00E83EB7" w:rsidRPr="000302A2" w:rsidRDefault="3532FCC6" w:rsidP="3532FCC6">
      <w:pPr>
        <w:pStyle w:val="ListParagraph"/>
        <w:numPr>
          <w:ilvl w:val="0"/>
          <w:numId w:val="6"/>
        </w:numPr>
        <w:spacing w:line="480" w:lineRule="auto"/>
        <w:jc w:val="both"/>
        <w:rPr>
          <w:b/>
          <w:bCs/>
          <w:u w:val="single"/>
        </w:rPr>
      </w:pPr>
      <w:r w:rsidRPr="000302A2">
        <w:rPr>
          <w:b/>
          <w:bCs/>
          <w:u w:val="single"/>
        </w:rPr>
        <w:t>COVID-19 in New York City</w:t>
      </w:r>
      <w:r w:rsidR="00357B3E" w:rsidRPr="000302A2">
        <w:rPr>
          <w:b/>
          <w:bCs/>
          <w:u w:val="single"/>
        </w:rPr>
        <w:t xml:space="preserve"> (NYC)</w:t>
      </w:r>
    </w:p>
    <w:p w14:paraId="78F6E387" w14:textId="26F552B1" w:rsidR="00335C57" w:rsidRPr="00335C57" w:rsidRDefault="00630E8C" w:rsidP="00335C57">
      <w:pPr>
        <w:spacing w:line="480" w:lineRule="auto"/>
        <w:ind w:firstLine="720"/>
        <w:jc w:val="both"/>
      </w:pPr>
      <w:r w:rsidRPr="00852536">
        <w:t xml:space="preserve">As of </w:t>
      </w:r>
      <w:r w:rsidR="00852536" w:rsidRPr="00274B5C">
        <w:t>February 13</w:t>
      </w:r>
      <w:r w:rsidR="007B1BC6" w:rsidRPr="00274B5C">
        <w:t xml:space="preserve">, 2023, </w:t>
      </w:r>
      <w:r w:rsidRPr="00274B5C">
        <w:t>the</w:t>
      </w:r>
      <w:r w:rsidRPr="00852536">
        <w:t xml:space="preserve"> COVID-19 Community Level, as calculated by the CDC based on the below metrics, </w:t>
      </w:r>
      <w:r w:rsidR="00305177" w:rsidRPr="00852536">
        <w:t>is</w:t>
      </w:r>
      <w:r w:rsidRPr="00852536">
        <w:rPr>
          <w:iCs/>
        </w:rPr>
        <w:t xml:space="preserve"> </w:t>
      </w:r>
      <w:r w:rsidR="00852536" w:rsidRPr="00852536">
        <w:rPr>
          <w:b/>
          <w:bCs/>
        </w:rPr>
        <w:t>low</w:t>
      </w:r>
      <w:r w:rsidR="007B1BC6" w:rsidRPr="00852536">
        <w:rPr>
          <w:b/>
          <w:bCs/>
        </w:rPr>
        <w:t xml:space="preserve"> </w:t>
      </w:r>
      <w:r w:rsidR="007B1BC6" w:rsidRPr="00852536">
        <w:t xml:space="preserve">for Manhattan, Brooklyn, the Bronx, Queens, </w:t>
      </w:r>
      <w:r w:rsidR="00852536" w:rsidRPr="00852536">
        <w:t>and Staten Island.</w:t>
      </w:r>
      <w:r w:rsidRPr="00852536">
        <w:rPr>
          <w:rStyle w:val="FootnoteReference"/>
        </w:rPr>
        <w:footnoteReference w:id="25"/>
      </w:r>
      <w:r w:rsidR="00357B3E" w:rsidRPr="00852536">
        <w:rPr>
          <w:iCs/>
        </w:rPr>
        <w:t xml:space="preserve"> </w:t>
      </w:r>
      <w:r w:rsidR="00F04791" w:rsidRPr="00852536">
        <w:t xml:space="preserve">Community levels are </w:t>
      </w:r>
      <w:r w:rsidR="00305177" w:rsidRPr="00852536">
        <w:t xml:space="preserve">used by the CDC </w:t>
      </w:r>
      <w:r w:rsidR="00F04791" w:rsidRPr="00852536">
        <w:t>to help individuals and communities decide which prevention restrictions to take based on the latest information.</w:t>
      </w:r>
      <w:r w:rsidR="00F04791" w:rsidRPr="00852536">
        <w:rPr>
          <w:rStyle w:val="FootnoteReference"/>
        </w:rPr>
        <w:footnoteReference w:id="26"/>
      </w:r>
      <w:r w:rsidR="00305177" w:rsidRPr="00852536">
        <w:rPr>
          <w:iCs/>
        </w:rPr>
        <w:t xml:space="preserve"> </w:t>
      </w:r>
      <w:r w:rsidR="00F04791" w:rsidRPr="00852536">
        <w:t xml:space="preserve">Each level (low, medium, or high) </w:t>
      </w:r>
      <w:r w:rsidR="003207B7" w:rsidRPr="00852536">
        <w:t>conveys</w:t>
      </w:r>
      <w:r w:rsidR="00F04791" w:rsidRPr="00852536">
        <w:rPr>
          <w:iCs/>
        </w:rPr>
        <w:t xml:space="preserve"> </w:t>
      </w:r>
      <w:r w:rsidR="000A7C1C" w:rsidRPr="00852536">
        <w:t>the extent to which</w:t>
      </w:r>
      <w:r w:rsidR="00F04791" w:rsidRPr="00852536">
        <w:t xml:space="preserve"> COVID-19 is impacting one’s communities</w:t>
      </w:r>
      <w:r w:rsidR="003207B7" w:rsidRPr="00852536">
        <w:rPr>
          <w:iCs/>
        </w:rPr>
        <w:t>,</w:t>
      </w:r>
      <w:r w:rsidR="00F04791" w:rsidRPr="00852536">
        <w:t xml:space="preserve"> based on </w:t>
      </w:r>
      <w:r w:rsidR="00C9413C" w:rsidRPr="00852536">
        <w:t>weekly metrics that calculate</w:t>
      </w:r>
      <w:r w:rsidR="003207B7" w:rsidRPr="00852536">
        <w:t xml:space="preserve"> (1) the case rate per 100,000 population, (2) new COVID-19 admissions per</w:t>
      </w:r>
      <w:r w:rsidR="009421DF" w:rsidRPr="00852536">
        <w:t xml:space="preserve"> 100,000 population, and (3) percent s</w:t>
      </w:r>
      <w:r w:rsidR="003207B7" w:rsidRPr="00852536">
        <w:t>taffed inpatient beds in use by patients with COVID-19.</w:t>
      </w:r>
      <w:r w:rsidR="003207B7" w:rsidRPr="00852536">
        <w:rPr>
          <w:rStyle w:val="FootnoteReference"/>
        </w:rPr>
        <w:footnoteReference w:id="27"/>
      </w:r>
      <w:r w:rsidRPr="00852536">
        <w:t xml:space="preserve"> Based on </w:t>
      </w:r>
      <w:r w:rsidR="003207B7" w:rsidRPr="00852536">
        <w:t>Manhattan, Brooklyn, Queens, the Bron</w:t>
      </w:r>
      <w:r w:rsidR="00852536" w:rsidRPr="00852536">
        <w:t>x, and Staten Island’s</w:t>
      </w:r>
      <w:r w:rsidR="003207B7" w:rsidRPr="00852536">
        <w:t xml:space="preserve"> </w:t>
      </w:r>
      <w:r w:rsidR="00852536" w:rsidRPr="00852536">
        <w:rPr>
          <w:b/>
          <w:bCs/>
        </w:rPr>
        <w:t>low</w:t>
      </w:r>
      <w:r w:rsidR="003207B7" w:rsidRPr="00852536">
        <w:rPr>
          <w:iCs/>
        </w:rPr>
        <w:t xml:space="preserve"> </w:t>
      </w:r>
      <w:r w:rsidR="00936A31">
        <w:t xml:space="preserve">rating, </w:t>
      </w:r>
      <w:r w:rsidR="00852536" w:rsidRPr="00335C57">
        <w:rPr>
          <w:iCs/>
        </w:rPr>
        <w:t xml:space="preserve">the </w:t>
      </w:r>
      <w:r w:rsidR="00852536" w:rsidRPr="00335C57">
        <w:t xml:space="preserve">CDC recommends </w:t>
      </w:r>
      <w:r w:rsidR="00936A31">
        <w:t xml:space="preserve">that </w:t>
      </w:r>
      <w:r w:rsidR="00852536" w:rsidRPr="00335C57">
        <w:t xml:space="preserve">New Yorkers stay current with COVID-19 vaccines, including recommended booster doses, maintain ventilation improvements, and avoid contact with people who have suspected or confirmed </w:t>
      </w:r>
      <w:r w:rsidR="00936A31">
        <w:t xml:space="preserve">case of </w:t>
      </w:r>
      <w:r w:rsidR="00852536" w:rsidRPr="00335C57">
        <w:t>COVID-19.</w:t>
      </w:r>
      <w:r w:rsidR="00852536" w:rsidRPr="00335C57">
        <w:rPr>
          <w:rStyle w:val="FootnoteReference"/>
        </w:rPr>
        <w:footnoteReference w:id="28"/>
      </w:r>
      <w:r w:rsidR="00335C57" w:rsidRPr="00335C57">
        <w:t xml:space="preserve"> The </w:t>
      </w:r>
      <w:r w:rsidR="00335C57" w:rsidRPr="00335C57">
        <w:rPr>
          <w:iCs/>
        </w:rPr>
        <w:t>CD</w:t>
      </w:r>
      <w:r w:rsidR="00936A31">
        <w:rPr>
          <w:iCs/>
        </w:rPr>
        <w:t>C also provides an interactive v</w:t>
      </w:r>
      <w:r w:rsidR="00335C57" w:rsidRPr="00335C57">
        <w:rPr>
          <w:iCs/>
        </w:rPr>
        <w:t>entilation tool so individuals can learn how to decrease the level of COVID-19 virus par</w:t>
      </w:r>
      <w:r w:rsidR="00936A31">
        <w:rPr>
          <w:iCs/>
        </w:rPr>
        <w:t xml:space="preserve">ticles at </w:t>
      </w:r>
      <w:r w:rsidR="00335C57" w:rsidRPr="00335C57">
        <w:rPr>
          <w:iCs/>
        </w:rPr>
        <w:t>home.</w:t>
      </w:r>
      <w:r w:rsidR="00335C57" w:rsidRPr="00335C57">
        <w:rPr>
          <w:rStyle w:val="FootnoteReference"/>
          <w:iCs/>
        </w:rPr>
        <w:footnoteReference w:id="29"/>
      </w:r>
    </w:p>
    <w:p w14:paraId="6D1D3CA9" w14:textId="6EFC2806" w:rsidR="00335C57" w:rsidRDefault="00335C57" w:rsidP="00936A31">
      <w:pPr>
        <w:spacing w:line="480" w:lineRule="auto"/>
        <w:ind w:firstLine="720"/>
        <w:jc w:val="both"/>
      </w:pPr>
      <w:r w:rsidRPr="00335C57">
        <w:t>Vaccinated New Yorkers continue to have much lower rates of cases, hospita</w:t>
      </w:r>
      <w:r>
        <w:t>lizations, and deaths: for hospitalizations of those who are</w:t>
      </w:r>
      <w:r w:rsidRPr="00335C57">
        <w:t xml:space="preserve"> vaccinated, boosted and not boosted, the average weekly rate per 100,000 hovers between 6.82 for boosted and 6.93 for not boosted, while the hospitalization rate for unvaccinated persons is </w:t>
      </w:r>
      <w:r w:rsidRPr="00335C57">
        <w:rPr>
          <w:b/>
        </w:rPr>
        <w:t>36.84</w:t>
      </w:r>
      <w:r w:rsidR="00936A31">
        <w:t xml:space="preserve">. For COVID-19 </w:t>
      </w:r>
      <w:r w:rsidRPr="00335C57">
        <w:t>related deaths, boosted and not boosted</w:t>
      </w:r>
      <w:r>
        <w:t>, the</w:t>
      </w:r>
      <w:r w:rsidRPr="00335C57">
        <w:t xml:space="preserve"> rate is .77 to .96 respectively, with 5.27 deaths for those who are unvaccinated.</w:t>
      </w:r>
      <w:r>
        <w:rPr>
          <w:rStyle w:val="FootnoteReference"/>
        </w:rPr>
        <w:footnoteReference w:id="30"/>
      </w:r>
    </w:p>
    <w:p w14:paraId="54D4A59C" w14:textId="28F57F31" w:rsidR="004D2593" w:rsidRPr="00335C57" w:rsidRDefault="00681A82" w:rsidP="00E426ED">
      <w:pPr>
        <w:spacing w:line="480" w:lineRule="auto"/>
        <w:ind w:firstLine="720"/>
        <w:jc w:val="both"/>
      </w:pPr>
      <w:r w:rsidRPr="00335C57">
        <w:t xml:space="preserve">The latest data from DOHMH, updated on </w:t>
      </w:r>
      <w:r w:rsidR="00335C57" w:rsidRPr="00335C57">
        <w:t>February 13</w:t>
      </w:r>
      <w:r w:rsidRPr="00335C57">
        <w:t>, 2023, shows:</w:t>
      </w:r>
      <w:r w:rsidRPr="00335C57">
        <w:rPr>
          <w:rStyle w:val="FootnoteReference"/>
        </w:rPr>
        <w:footnoteReference w:id="31"/>
      </w:r>
      <w:r w:rsidR="005510AC" w:rsidRPr="00335C57">
        <w:t xml:space="preserve"> </w:t>
      </w:r>
    </w:p>
    <w:tbl>
      <w:tblPr>
        <w:tblStyle w:val="TableGrid"/>
        <w:tblW w:w="0" w:type="auto"/>
        <w:tblLook w:val="04A0" w:firstRow="1" w:lastRow="0" w:firstColumn="1" w:lastColumn="0" w:noHBand="0" w:noVBand="1"/>
      </w:tblPr>
      <w:tblGrid>
        <w:gridCol w:w="5665"/>
        <w:gridCol w:w="1890"/>
        <w:gridCol w:w="1795"/>
      </w:tblGrid>
      <w:tr w:rsidR="004D2593" w14:paraId="57F23665" w14:textId="77777777" w:rsidTr="3532FCC6">
        <w:tc>
          <w:tcPr>
            <w:tcW w:w="5665" w:type="dxa"/>
            <w:shd w:val="clear" w:color="auto" w:fill="D0CECE" w:themeFill="background2" w:themeFillShade="E6"/>
          </w:tcPr>
          <w:p w14:paraId="28A61EC6" w14:textId="201933F3" w:rsidR="004D2593" w:rsidRPr="00093845" w:rsidRDefault="004D2593" w:rsidP="00681A82">
            <w:pPr>
              <w:spacing w:after="150"/>
              <w:rPr>
                <w:b/>
              </w:rPr>
            </w:pPr>
            <w:r w:rsidRPr="00093845">
              <w:rPr>
                <w:b/>
              </w:rPr>
              <w:t>Measure</w:t>
            </w:r>
          </w:p>
        </w:tc>
        <w:tc>
          <w:tcPr>
            <w:tcW w:w="1890" w:type="dxa"/>
            <w:shd w:val="clear" w:color="auto" w:fill="D0CECE" w:themeFill="background2" w:themeFillShade="E6"/>
          </w:tcPr>
          <w:p w14:paraId="07F75286" w14:textId="71DAE5D1" w:rsidR="004D2593" w:rsidRPr="00093845" w:rsidRDefault="004D2593" w:rsidP="00681A82">
            <w:pPr>
              <w:spacing w:after="150"/>
              <w:rPr>
                <w:b/>
              </w:rPr>
            </w:pPr>
            <w:r w:rsidRPr="00093845">
              <w:rPr>
                <w:b/>
              </w:rPr>
              <w:t>Last 7 Days</w:t>
            </w:r>
          </w:p>
        </w:tc>
        <w:tc>
          <w:tcPr>
            <w:tcW w:w="1795" w:type="dxa"/>
            <w:shd w:val="clear" w:color="auto" w:fill="D0CECE" w:themeFill="background2" w:themeFillShade="E6"/>
          </w:tcPr>
          <w:p w14:paraId="362581D2" w14:textId="45D17C14" w:rsidR="004D2593" w:rsidRPr="00093845" w:rsidRDefault="004D2593" w:rsidP="00681A82">
            <w:pPr>
              <w:spacing w:after="150"/>
              <w:rPr>
                <w:b/>
              </w:rPr>
            </w:pPr>
            <w:r w:rsidRPr="00093845">
              <w:rPr>
                <w:b/>
              </w:rPr>
              <w:t>Trend</w:t>
            </w:r>
          </w:p>
        </w:tc>
      </w:tr>
      <w:tr w:rsidR="004D2593" w14:paraId="6D94C16F" w14:textId="77777777" w:rsidTr="3532FCC6">
        <w:tc>
          <w:tcPr>
            <w:tcW w:w="5665" w:type="dxa"/>
          </w:tcPr>
          <w:p w14:paraId="021DAA1F" w14:textId="5820D00D" w:rsidR="004D2593" w:rsidRPr="000B23BA" w:rsidRDefault="004D2593" w:rsidP="00681A82">
            <w:pPr>
              <w:spacing w:after="150"/>
              <w:rPr>
                <w:b/>
              </w:rPr>
            </w:pPr>
            <w:r w:rsidRPr="000B23BA">
              <w:rPr>
                <w:b/>
              </w:rPr>
              <w:t>Percent Positive</w:t>
            </w:r>
          </w:p>
        </w:tc>
        <w:tc>
          <w:tcPr>
            <w:tcW w:w="1890" w:type="dxa"/>
          </w:tcPr>
          <w:p w14:paraId="47140A2E" w14:textId="61C77D8D" w:rsidR="004D2593" w:rsidRDefault="00335C57" w:rsidP="000F3781">
            <w:pPr>
              <w:spacing w:after="150"/>
              <w:jc w:val="right"/>
            </w:pPr>
            <w:r>
              <w:t>7</w:t>
            </w:r>
            <w:r w:rsidR="3532FCC6">
              <w:t>%</w:t>
            </w:r>
          </w:p>
        </w:tc>
        <w:tc>
          <w:tcPr>
            <w:tcW w:w="1795" w:type="dxa"/>
          </w:tcPr>
          <w:p w14:paraId="66D752EA" w14:textId="5BA2B193" w:rsidR="004D2593" w:rsidRDefault="3532FCC6" w:rsidP="000F3781">
            <w:pPr>
              <w:spacing w:after="150"/>
              <w:jc w:val="right"/>
            </w:pPr>
            <w:r>
              <w:t>Decreasing</w:t>
            </w:r>
          </w:p>
        </w:tc>
      </w:tr>
      <w:tr w:rsidR="004D2593" w14:paraId="013C4C81" w14:textId="77777777" w:rsidTr="3532FCC6">
        <w:tc>
          <w:tcPr>
            <w:tcW w:w="5665" w:type="dxa"/>
          </w:tcPr>
          <w:p w14:paraId="7ECDA4C6" w14:textId="02957CDF" w:rsidR="004D2593" w:rsidRPr="000B23BA" w:rsidRDefault="004D2593" w:rsidP="00681A82">
            <w:pPr>
              <w:spacing w:after="150"/>
              <w:rPr>
                <w:b/>
              </w:rPr>
            </w:pPr>
            <w:r w:rsidRPr="000B23BA">
              <w:rPr>
                <w:b/>
              </w:rPr>
              <w:t xml:space="preserve">Inpatient COVID bed occupancy </w:t>
            </w:r>
            <w:r w:rsidRPr="000B23BA">
              <w:t>(7-day average)</w:t>
            </w:r>
          </w:p>
        </w:tc>
        <w:tc>
          <w:tcPr>
            <w:tcW w:w="1890" w:type="dxa"/>
          </w:tcPr>
          <w:p w14:paraId="32373E09" w14:textId="6788144A" w:rsidR="004D2593" w:rsidRDefault="00335C57" w:rsidP="000F3781">
            <w:pPr>
              <w:spacing w:after="150"/>
              <w:jc w:val="right"/>
            </w:pPr>
            <w:r>
              <w:t>6.22</w:t>
            </w:r>
            <w:r w:rsidR="004D2593">
              <w:t>%</w:t>
            </w:r>
          </w:p>
        </w:tc>
        <w:tc>
          <w:tcPr>
            <w:tcW w:w="1795" w:type="dxa"/>
          </w:tcPr>
          <w:p w14:paraId="0C53ADB9" w14:textId="50AC7060" w:rsidR="004D2593" w:rsidRDefault="004D2593" w:rsidP="000F3781">
            <w:pPr>
              <w:spacing w:after="150"/>
              <w:jc w:val="right"/>
            </w:pPr>
          </w:p>
        </w:tc>
      </w:tr>
      <w:tr w:rsidR="004D2593" w14:paraId="34D84F55" w14:textId="77777777" w:rsidTr="3532FCC6">
        <w:tc>
          <w:tcPr>
            <w:tcW w:w="5665" w:type="dxa"/>
          </w:tcPr>
          <w:p w14:paraId="014FB07B" w14:textId="4F5E21D5" w:rsidR="004D2593" w:rsidRPr="000B23BA" w:rsidRDefault="004D2593" w:rsidP="00681A82">
            <w:pPr>
              <w:spacing w:after="150"/>
              <w:rPr>
                <w:b/>
              </w:rPr>
            </w:pPr>
            <w:r w:rsidRPr="000B23BA">
              <w:rPr>
                <w:b/>
              </w:rPr>
              <w:t xml:space="preserve">Hospitalizations </w:t>
            </w:r>
            <w:r w:rsidRPr="000B23BA">
              <w:t>(daily average)</w:t>
            </w:r>
          </w:p>
        </w:tc>
        <w:tc>
          <w:tcPr>
            <w:tcW w:w="1890" w:type="dxa"/>
          </w:tcPr>
          <w:p w14:paraId="69321A53" w14:textId="420DB977" w:rsidR="004D2593" w:rsidRDefault="00335C57" w:rsidP="000F3781">
            <w:pPr>
              <w:spacing w:after="150"/>
              <w:jc w:val="right"/>
            </w:pPr>
            <w:r>
              <w:t>67</w:t>
            </w:r>
          </w:p>
        </w:tc>
        <w:tc>
          <w:tcPr>
            <w:tcW w:w="1795" w:type="dxa"/>
          </w:tcPr>
          <w:p w14:paraId="4228DDF8" w14:textId="7ADE00F9" w:rsidR="004D2593" w:rsidRDefault="004D2593" w:rsidP="000F3781">
            <w:pPr>
              <w:spacing w:after="150"/>
              <w:jc w:val="right"/>
            </w:pPr>
            <w:r>
              <w:t>Decreasing</w:t>
            </w:r>
          </w:p>
        </w:tc>
      </w:tr>
      <w:tr w:rsidR="004D2593" w14:paraId="1D5A32A1" w14:textId="77777777" w:rsidTr="3532FCC6">
        <w:tc>
          <w:tcPr>
            <w:tcW w:w="5665" w:type="dxa"/>
          </w:tcPr>
          <w:p w14:paraId="69683A5B" w14:textId="2EE630A7" w:rsidR="004D2593" w:rsidRPr="000B23BA" w:rsidRDefault="004D2593" w:rsidP="00681A82">
            <w:pPr>
              <w:spacing w:after="150"/>
              <w:rPr>
                <w:b/>
              </w:rPr>
            </w:pPr>
            <w:r w:rsidRPr="000B23BA">
              <w:rPr>
                <w:b/>
              </w:rPr>
              <w:t xml:space="preserve">Hospitalization rate </w:t>
            </w:r>
            <w:r w:rsidRPr="000B23BA">
              <w:t>(7-day rate per 100,000 people)</w:t>
            </w:r>
          </w:p>
        </w:tc>
        <w:tc>
          <w:tcPr>
            <w:tcW w:w="1890" w:type="dxa"/>
          </w:tcPr>
          <w:p w14:paraId="5E93A407" w14:textId="0AF75424" w:rsidR="004D2593" w:rsidRDefault="00335C57" w:rsidP="00335C57">
            <w:pPr>
              <w:spacing w:after="150"/>
              <w:jc w:val="right"/>
            </w:pPr>
            <w:r>
              <w:t>10.48</w:t>
            </w:r>
          </w:p>
        </w:tc>
        <w:tc>
          <w:tcPr>
            <w:tcW w:w="1795" w:type="dxa"/>
          </w:tcPr>
          <w:p w14:paraId="61087AC1" w14:textId="77777777" w:rsidR="004D2593" w:rsidRDefault="004D2593" w:rsidP="000F3781">
            <w:pPr>
              <w:spacing w:after="150"/>
              <w:jc w:val="right"/>
            </w:pPr>
          </w:p>
        </w:tc>
      </w:tr>
      <w:tr w:rsidR="004D2593" w14:paraId="66B08843" w14:textId="77777777" w:rsidTr="3532FCC6">
        <w:tc>
          <w:tcPr>
            <w:tcW w:w="5665" w:type="dxa"/>
          </w:tcPr>
          <w:p w14:paraId="28550F46" w14:textId="0FAD8C3B" w:rsidR="004D2593" w:rsidRPr="000B23BA" w:rsidRDefault="004D2593" w:rsidP="00681A82">
            <w:pPr>
              <w:spacing w:after="150"/>
              <w:rPr>
                <w:b/>
              </w:rPr>
            </w:pPr>
            <w:r w:rsidRPr="000B23BA">
              <w:rPr>
                <w:b/>
              </w:rPr>
              <w:t xml:space="preserve">Deaths </w:t>
            </w:r>
            <w:r w:rsidRPr="000B23BA">
              <w:t>(daily average)</w:t>
            </w:r>
          </w:p>
        </w:tc>
        <w:tc>
          <w:tcPr>
            <w:tcW w:w="1890" w:type="dxa"/>
          </w:tcPr>
          <w:p w14:paraId="6237C087" w14:textId="076C6783" w:rsidR="004D2593" w:rsidRDefault="00335C57" w:rsidP="000F3781">
            <w:pPr>
              <w:spacing w:after="150"/>
              <w:jc w:val="right"/>
            </w:pPr>
            <w:r>
              <w:t>8</w:t>
            </w:r>
          </w:p>
        </w:tc>
        <w:tc>
          <w:tcPr>
            <w:tcW w:w="1795" w:type="dxa"/>
          </w:tcPr>
          <w:p w14:paraId="0FE1DB8E" w14:textId="5EF3B113" w:rsidR="004D2593" w:rsidRDefault="000B23BA" w:rsidP="000F3781">
            <w:pPr>
              <w:spacing w:after="150"/>
              <w:jc w:val="right"/>
            </w:pPr>
            <w:r>
              <w:t>Decreasing</w:t>
            </w:r>
          </w:p>
        </w:tc>
      </w:tr>
      <w:tr w:rsidR="004D2593" w14:paraId="28ED44E8" w14:textId="77777777" w:rsidTr="3532FCC6">
        <w:tc>
          <w:tcPr>
            <w:tcW w:w="5665" w:type="dxa"/>
          </w:tcPr>
          <w:p w14:paraId="1D685C97" w14:textId="38C1C78E" w:rsidR="004D2593" w:rsidRPr="000B23BA" w:rsidRDefault="004D2593" w:rsidP="00681A82">
            <w:pPr>
              <w:spacing w:after="150"/>
              <w:rPr>
                <w:b/>
              </w:rPr>
            </w:pPr>
            <w:r w:rsidRPr="000B23BA">
              <w:rPr>
                <w:b/>
              </w:rPr>
              <w:t xml:space="preserve">Cases </w:t>
            </w:r>
            <w:r w:rsidRPr="000B23BA">
              <w:t>(daily average)</w:t>
            </w:r>
          </w:p>
        </w:tc>
        <w:tc>
          <w:tcPr>
            <w:tcW w:w="1890" w:type="dxa"/>
          </w:tcPr>
          <w:p w14:paraId="47B4D60F" w14:textId="20092DF0" w:rsidR="004D2593" w:rsidRDefault="00335C57" w:rsidP="000F3781">
            <w:pPr>
              <w:spacing w:after="150"/>
              <w:jc w:val="right"/>
            </w:pPr>
            <w:r>
              <w:t>1,139</w:t>
            </w:r>
          </w:p>
        </w:tc>
        <w:tc>
          <w:tcPr>
            <w:tcW w:w="1795" w:type="dxa"/>
          </w:tcPr>
          <w:p w14:paraId="7F84E90B" w14:textId="642A3810" w:rsidR="004D2593" w:rsidRDefault="3532FCC6" w:rsidP="000F3781">
            <w:pPr>
              <w:spacing w:after="150"/>
              <w:jc w:val="right"/>
            </w:pPr>
            <w:r>
              <w:t>Decreasing</w:t>
            </w:r>
          </w:p>
        </w:tc>
      </w:tr>
      <w:tr w:rsidR="004D2593" w14:paraId="21B5DD8B" w14:textId="77777777" w:rsidTr="3532FCC6">
        <w:trPr>
          <w:trHeight w:val="242"/>
        </w:trPr>
        <w:tc>
          <w:tcPr>
            <w:tcW w:w="5665" w:type="dxa"/>
          </w:tcPr>
          <w:p w14:paraId="31794024" w14:textId="4B062432" w:rsidR="004D2593" w:rsidRPr="000B23BA" w:rsidRDefault="004D2593" w:rsidP="00681A82">
            <w:pPr>
              <w:spacing w:after="150"/>
              <w:rPr>
                <w:b/>
              </w:rPr>
            </w:pPr>
            <w:r w:rsidRPr="000B23BA">
              <w:rPr>
                <w:b/>
              </w:rPr>
              <w:t xml:space="preserve">Case Rate </w:t>
            </w:r>
            <w:r w:rsidRPr="000B23BA">
              <w:t>(7-day rate per 100,000 people)</w:t>
            </w:r>
          </w:p>
        </w:tc>
        <w:tc>
          <w:tcPr>
            <w:tcW w:w="1890" w:type="dxa"/>
          </w:tcPr>
          <w:p w14:paraId="139E5FFA" w14:textId="0DEA8B93" w:rsidR="004D2593" w:rsidRDefault="00335C57" w:rsidP="000F3781">
            <w:pPr>
              <w:spacing w:after="150"/>
              <w:jc w:val="right"/>
            </w:pPr>
            <w:r>
              <w:t>104.48</w:t>
            </w:r>
          </w:p>
        </w:tc>
        <w:tc>
          <w:tcPr>
            <w:tcW w:w="1795" w:type="dxa"/>
          </w:tcPr>
          <w:p w14:paraId="3DD4A474" w14:textId="754E141A" w:rsidR="004D2593" w:rsidRDefault="3532FCC6" w:rsidP="000F3781">
            <w:pPr>
              <w:spacing w:after="150"/>
              <w:jc w:val="right"/>
            </w:pPr>
            <w:r>
              <w:t>Decreasing</w:t>
            </w:r>
          </w:p>
        </w:tc>
      </w:tr>
    </w:tbl>
    <w:p w14:paraId="7EA5D506" w14:textId="77777777" w:rsidR="00305177" w:rsidRDefault="00305177" w:rsidP="00305177">
      <w:pPr>
        <w:spacing w:line="480" w:lineRule="auto"/>
        <w:jc w:val="both"/>
      </w:pPr>
    </w:p>
    <w:p w14:paraId="3DE4618D" w14:textId="319F1FD9" w:rsidR="004D2593" w:rsidRDefault="000A7C1C" w:rsidP="3532FCC6">
      <w:pPr>
        <w:spacing w:line="480" w:lineRule="auto"/>
        <w:ind w:firstLine="720"/>
        <w:jc w:val="both"/>
        <w:rPr>
          <w:b/>
          <w:bCs/>
          <w:u w:val="single"/>
        </w:rPr>
      </w:pPr>
      <w:r>
        <w:t>A</w:t>
      </w:r>
      <w:r w:rsidR="004D2593">
        <w:t>ccording to DOHMH</w:t>
      </w:r>
      <w:r>
        <w:t>’s</w:t>
      </w:r>
      <w:r w:rsidR="004D2593">
        <w:t xml:space="preserve"> data showing the weekly rates of COVID-19 related hospitalizations and deaths, Black/African American New Yorkers are currently being hospitalized for COVID-19 at a greater rate </w:t>
      </w:r>
      <w:r w:rsidR="00E81A76">
        <w:t>than the citywide average (6.57 and 5.79, respectively).</w:t>
      </w:r>
      <w:r w:rsidR="00E81A76" w:rsidRPr="006243E7">
        <w:rPr>
          <w:rStyle w:val="FootnoteReference"/>
          <w:sz w:val="26"/>
          <w:szCs w:val="26"/>
        </w:rPr>
        <w:footnoteReference w:id="32"/>
      </w:r>
      <w:r w:rsidR="00E81A76">
        <w:t xml:space="preserve"> </w:t>
      </w:r>
      <w:r w:rsidR="00D637E1">
        <w:t xml:space="preserve">According to self-reported data to the U.S. Department of Health and Human Services by individual hospitals showing the average </w:t>
      </w:r>
      <w:r w:rsidR="00F165A0">
        <w:t>intensive care unit (</w:t>
      </w:r>
      <w:r w:rsidR="00D637E1">
        <w:t>I.C.U</w:t>
      </w:r>
      <w:r w:rsidR="00F165A0">
        <w:t>.)</w:t>
      </w:r>
      <w:r w:rsidR="00D637E1">
        <w:t xml:space="preserve"> occupancy at hospitals throughout NYC, hospitals with the highest number of COVID-19 patients (including both confirmed and suspected COVID-19 patients) are generally located in Manhattan, the Bronx, </w:t>
      </w:r>
      <w:r w:rsidR="00A35B4C">
        <w:t xml:space="preserve">and </w:t>
      </w:r>
      <w:r w:rsidR="00D637E1">
        <w:t>Brooklyn.</w:t>
      </w:r>
      <w:r w:rsidRPr="3532FCC6">
        <w:rPr>
          <w:rStyle w:val="FootnoteReference"/>
        </w:rPr>
        <w:footnoteReference w:id="33"/>
      </w:r>
      <w:r w:rsidR="00D637E1">
        <w:t xml:space="preserve"> </w:t>
      </w:r>
      <w:r w:rsidR="001252E2">
        <w:t xml:space="preserve">From data ending February 2, </w:t>
      </w:r>
      <w:r w:rsidR="00E81A76">
        <w:t xml:space="preserve">2023, </w:t>
      </w:r>
      <w:r w:rsidR="00D637E1">
        <w:t>Mount Sina</w:t>
      </w:r>
      <w:r w:rsidR="00A35B4C">
        <w:t xml:space="preserve">i </w:t>
      </w:r>
      <w:r w:rsidR="00E81A76">
        <w:t>Hospital in Manhattan is at 95</w:t>
      </w:r>
      <w:r w:rsidR="00D637E1">
        <w:t xml:space="preserve"> percent </w:t>
      </w:r>
      <w:r w:rsidR="00E81A76">
        <w:t>I.C.U. occupancy, with about 117</w:t>
      </w:r>
      <w:r w:rsidR="00D637E1">
        <w:t xml:space="preserve"> COVID-19 patients.</w:t>
      </w:r>
      <w:r w:rsidR="00A35B4C">
        <w:rPr>
          <w:rStyle w:val="FootnoteReference"/>
        </w:rPr>
        <w:footnoteReference w:id="34"/>
      </w:r>
      <w:r w:rsidR="00D637E1">
        <w:t xml:space="preserve"> In the Bronx, Montefiore Medical Center, although at </w:t>
      </w:r>
      <w:r w:rsidR="00E81A76">
        <w:t>65</w:t>
      </w:r>
      <w:r w:rsidR="00D637E1">
        <w:t xml:space="preserve"> percent I.C.U.</w:t>
      </w:r>
      <w:r w:rsidR="00E81A76">
        <w:t xml:space="preserve"> occupancy, has approximately 88</w:t>
      </w:r>
      <w:r w:rsidR="00D637E1">
        <w:t xml:space="preserve"> COVID-19 patients,</w:t>
      </w:r>
      <w:r w:rsidR="00E81A76">
        <w:t xml:space="preserve"> and Jacobi Medical Center is at about 86 percent I.C.U. occupancy with 19 COVID-19 patients</w:t>
      </w:r>
      <w:r w:rsidR="00E81A76">
        <w:rPr>
          <w:rStyle w:val="FootnoteReference"/>
        </w:rPr>
        <w:footnoteReference w:id="35"/>
      </w:r>
      <w:r w:rsidR="00D637E1">
        <w:t xml:space="preserve"> </w:t>
      </w:r>
      <w:r w:rsidR="00F165A0">
        <w:t xml:space="preserve">Multiple </w:t>
      </w:r>
      <w:r w:rsidR="00D637E1">
        <w:t xml:space="preserve">hospitals in Brooklyn (such as </w:t>
      </w:r>
      <w:r w:rsidR="001252E2">
        <w:t xml:space="preserve">Coney Island Hospital Center, </w:t>
      </w:r>
      <w:r w:rsidR="00D637E1">
        <w:t>University Hospital of Brooklyn, Maimonides Medical Center, and Brookdale Hospital Medical Center) are all at least at 80 percent I.C.U. capacity with multiple COVID-19 hospitalizations.</w:t>
      </w:r>
      <w:r w:rsidRPr="3532FCC6">
        <w:rPr>
          <w:rStyle w:val="FootnoteReference"/>
        </w:rPr>
        <w:footnoteReference w:id="36"/>
      </w:r>
      <w:r w:rsidR="00E81A76">
        <w:t xml:space="preserve"> Jacobi Medical Center is also at about 86 percent I.C.U. capacity and has 19 COVID-19 patients.</w:t>
      </w:r>
      <w:r w:rsidR="00E81A76">
        <w:rPr>
          <w:rStyle w:val="FootnoteReference"/>
        </w:rPr>
        <w:footnoteReference w:id="37"/>
      </w:r>
      <w:r w:rsidR="00E81A76">
        <w:t xml:space="preserve"> Queens Medical Center is currently at about 92 percent I.C.U. capacity, with about 10 COVID-19 patients.</w:t>
      </w:r>
      <w:r w:rsidR="00E81A76">
        <w:rPr>
          <w:rStyle w:val="FootnoteReference"/>
        </w:rPr>
        <w:footnoteReference w:id="38"/>
      </w:r>
    </w:p>
    <w:p w14:paraId="6C076153" w14:textId="6D62DA94" w:rsidR="004D2593" w:rsidRPr="00704DB9" w:rsidRDefault="3532FCC6" w:rsidP="3532FCC6">
      <w:pPr>
        <w:pStyle w:val="ListParagraph"/>
        <w:numPr>
          <w:ilvl w:val="0"/>
          <w:numId w:val="4"/>
        </w:numPr>
        <w:spacing w:line="480" w:lineRule="auto"/>
        <w:jc w:val="both"/>
        <w:rPr>
          <w:b/>
          <w:bCs/>
        </w:rPr>
      </w:pPr>
      <w:r w:rsidRPr="00704DB9">
        <w:rPr>
          <w:b/>
          <w:bCs/>
        </w:rPr>
        <w:t xml:space="preserve">Current Testing and Treatment Resources for COVID-19 and </w:t>
      </w:r>
      <w:r w:rsidR="007A009F" w:rsidRPr="00704DB9">
        <w:rPr>
          <w:b/>
          <w:bCs/>
        </w:rPr>
        <w:t xml:space="preserve">Other </w:t>
      </w:r>
      <w:r w:rsidRPr="00704DB9">
        <w:rPr>
          <w:b/>
          <w:bCs/>
        </w:rPr>
        <w:t>Respiratory Illnesses in NYC</w:t>
      </w:r>
    </w:p>
    <w:p w14:paraId="29C2CF62" w14:textId="739F73C7" w:rsidR="004D2593" w:rsidRDefault="3532FCC6" w:rsidP="3532FCC6">
      <w:pPr>
        <w:spacing w:line="480" w:lineRule="auto"/>
        <w:ind w:firstLine="720"/>
        <w:jc w:val="both"/>
      </w:pPr>
      <w:r>
        <w:t>On December 22, 2022, DOHMH released “New York City’s Winter 2022-2023 Plan to Address COVID-19 and Other Respiratory Illnesses.”</w:t>
      </w:r>
      <w:r w:rsidR="000A7C1C" w:rsidRPr="3532FCC6">
        <w:rPr>
          <w:rStyle w:val="FootnoteReference"/>
        </w:rPr>
        <w:footnoteReference w:id="39"/>
      </w:r>
      <w:r>
        <w:t xml:space="preserve"> The plan recognizes that there are high levels of COVID-19, influenza (flu), respiratory syncytial virus (RSV)</w:t>
      </w:r>
      <w:r w:rsidR="007A009F">
        <w:t>,</w:t>
      </w:r>
      <w:r>
        <w:t xml:space="preserve"> and other respiratory illnesses circulating in NYC.</w:t>
      </w:r>
      <w:r w:rsidR="000A7C1C" w:rsidRPr="3532FCC6">
        <w:rPr>
          <w:rStyle w:val="FootnoteReference"/>
        </w:rPr>
        <w:footnoteReference w:id="40"/>
      </w:r>
      <w:r>
        <w:t xml:space="preserve"> As a result, DOHMH continues to track case, hospitalization, and death data for COVID-19, flu, and RSV, including emergency room use and available space in hospitals and intensive care units.</w:t>
      </w:r>
      <w:r w:rsidR="007A009F">
        <w:rPr>
          <w:rStyle w:val="FootnoteReference"/>
        </w:rPr>
        <w:footnoteReference w:id="41"/>
      </w:r>
      <w:r>
        <w:t xml:space="preserve"> The plan states that DOHMH is continuing to monitor the data and any trends or changes, as well as global data on COVID-19 to </w:t>
      </w:r>
      <w:r w:rsidR="007A009F">
        <w:t>“</w:t>
      </w:r>
      <w:r>
        <w:t>quickly respond to any variant that may cause more severe disease or spread faster.”</w:t>
      </w:r>
      <w:r w:rsidR="000A7C1C" w:rsidRPr="3532FCC6">
        <w:rPr>
          <w:rStyle w:val="FootnoteReference"/>
        </w:rPr>
        <w:footnoteReference w:id="42"/>
      </w:r>
    </w:p>
    <w:p w14:paraId="7FAA9ABE" w14:textId="2C3EFE1F" w:rsidR="004D2593" w:rsidRDefault="3532FCC6" w:rsidP="3532FCC6">
      <w:pPr>
        <w:spacing w:line="480" w:lineRule="auto"/>
        <w:ind w:firstLine="720"/>
        <w:jc w:val="both"/>
      </w:pPr>
      <w:r>
        <w:t>The plan also outlines the testing, treatment, masks, and vaccine availability in NYC:</w:t>
      </w:r>
      <w:r w:rsidR="008B2089">
        <w:rPr>
          <w:rStyle w:val="FootnoteReference"/>
        </w:rPr>
        <w:footnoteReference w:id="43"/>
      </w:r>
    </w:p>
    <w:p w14:paraId="693794D9" w14:textId="29D91CDA" w:rsidR="004D2593" w:rsidRDefault="3532FCC6" w:rsidP="3532FCC6">
      <w:pPr>
        <w:pStyle w:val="ListParagraph"/>
        <w:numPr>
          <w:ilvl w:val="0"/>
          <w:numId w:val="3"/>
        </w:numPr>
        <w:spacing w:line="480" w:lineRule="auto"/>
        <w:jc w:val="both"/>
      </w:pPr>
      <w:r w:rsidRPr="3532FCC6">
        <w:rPr>
          <w:u w:val="single"/>
        </w:rPr>
        <w:t>Free COVID-19 at-home test kits</w:t>
      </w:r>
      <w:r>
        <w:t xml:space="preserve"> – free tests are currently available at over 250 locations, including libraries, facilities, and cultural sites. </w:t>
      </w:r>
      <w:r w:rsidR="001252E2">
        <w:t>Prior to winter break, a</w:t>
      </w:r>
      <w:r>
        <w:t>t-home tests were provided to public sc</w:t>
      </w:r>
      <w:r w:rsidR="001252E2">
        <w:t>hool students and staff who had</w:t>
      </w:r>
      <w:r>
        <w:t xml:space="preserve"> COV</w:t>
      </w:r>
      <w:r w:rsidR="001252E2">
        <w:t>ID-19 symptoms.</w:t>
      </w:r>
    </w:p>
    <w:p w14:paraId="0FE00941" w14:textId="15CF8F17" w:rsidR="004D2593" w:rsidRDefault="3532FCC6" w:rsidP="3532FCC6">
      <w:pPr>
        <w:pStyle w:val="ListParagraph"/>
        <w:numPr>
          <w:ilvl w:val="0"/>
          <w:numId w:val="3"/>
        </w:numPr>
        <w:spacing w:line="480" w:lineRule="auto"/>
        <w:jc w:val="both"/>
      </w:pPr>
      <w:r w:rsidRPr="3532FCC6">
        <w:rPr>
          <w:u w:val="single"/>
        </w:rPr>
        <w:t>Treatment</w:t>
      </w:r>
      <w:r>
        <w:t xml:space="preserve"> – Test </w:t>
      </w:r>
      <w:r w:rsidR="0062444A">
        <w:t>&amp;</w:t>
      </w:r>
      <w:r>
        <w:t xml:space="preserve"> Treat mobile testing vans</w:t>
      </w:r>
      <w:r w:rsidR="000A7C1C" w:rsidRPr="3532FCC6">
        <w:rPr>
          <w:rStyle w:val="FootnoteReference"/>
        </w:rPr>
        <w:footnoteReference w:id="44"/>
      </w:r>
      <w:r>
        <w:t xml:space="preserve"> continue to offer rapid COVID-19 testing and free COVID-19 treatment at all units. Flu and RSV testing and Tamiflu prescriptions are also available at some locations.</w:t>
      </w:r>
    </w:p>
    <w:p w14:paraId="5B9E120B" w14:textId="5F077DF1" w:rsidR="004D2593" w:rsidRDefault="3532FCC6" w:rsidP="3532FCC6">
      <w:pPr>
        <w:pStyle w:val="ListParagraph"/>
        <w:numPr>
          <w:ilvl w:val="0"/>
          <w:numId w:val="3"/>
        </w:numPr>
        <w:spacing w:line="480" w:lineRule="auto"/>
        <w:jc w:val="both"/>
      </w:pPr>
      <w:r w:rsidRPr="3532FCC6">
        <w:rPr>
          <w:u w:val="single"/>
        </w:rPr>
        <w:t>Vaccines</w:t>
      </w:r>
      <w:r>
        <w:t xml:space="preserve"> – DOHMH provides online access to a vaccine finder for both COVID-19 and flu vaccinations, as well as to community vaccination events. NYC residents who are homebound or older than 65 years old can also request an at-home COVID-19 vaccination through the DOHMH website or by calling 877-VAX-NYC.</w:t>
      </w:r>
    </w:p>
    <w:p w14:paraId="0525F4E1" w14:textId="09B4547B" w:rsidR="004D2593" w:rsidRDefault="3532FCC6" w:rsidP="3532FCC6">
      <w:pPr>
        <w:pStyle w:val="ListParagraph"/>
        <w:numPr>
          <w:ilvl w:val="0"/>
          <w:numId w:val="3"/>
        </w:numPr>
        <w:spacing w:line="480" w:lineRule="auto"/>
        <w:jc w:val="both"/>
      </w:pPr>
      <w:r w:rsidRPr="3532FCC6">
        <w:rPr>
          <w:u w:val="single"/>
        </w:rPr>
        <w:t>Masks</w:t>
      </w:r>
      <w:r>
        <w:t xml:space="preserve"> – Businesses and other organizations that serve New Yorkers are encouraged to order masks and other COVID-19 supplies through the NYC Medical Protective Equipment Interest Survey available on the DOHMH website.</w:t>
      </w:r>
    </w:p>
    <w:p w14:paraId="385DAA96" w14:textId="3A393146" w:rsidR="004D2593" w:rsidRDefault="3532FCC6" w:rsidP="3532FCC6">
      <w:pPr>
        <w:spacing w:line="480" w:lineRule="auto"/>
        <w:ind w:firstLine="720"/>
        <w:jc w:val="both"/>
      </w:pPr>
      <w:r>
        <w:t xml:space="preserve">DOHMH has also </w:t>
      </w:r>
      <w:r w:rsidR="00F165A0">
        <w:t>stated that they are committed to protecting</w:t>
      </w:r>
      <w:r>
        <w:t xml:space="preserve"> New Yorkers </w:t>
      </w:r>
      <w:r w:rsidR="008B2089">
        <w:t xml:space="preserve">who are </w:t>
      </w:r>
      <w:r>
        <w:t>at the highest risk for severe illness due to COVID-19.</w:t>
      </w:r>
      <w:r w:rsidR="008B2089">
        <w:rPr>
          <w:rStyle w:val="FootnoteReference"/>
        </w:rPr>
        <w:footnoteReference w:id="45"/>
      </w:r>
      <w:r>
        <w:t xml:space="preserve"> According to DOHMH’s plan, </w:t>
      </w:r>
      <w:r w:rsidR="008B2089">
        <w:t>NYC</w:t>
      </w:r>
      <w:r>
        <w:t xml:space="preserve"> has been taking the following steps to help New Yorkers who are the most vulnerable: (1) calling people age 65 and older who test positive for COVID-19 to help them access treatment; (2) sending text messages to remind New Yorkers to get their updated COVID-19 booster shot; (3) asking health care providers to reach out to their patients who are at higher risk for severe illness; and (4) working with long-term care facilities, such as nursing homes and adult care facilities, and other residential congregate settings to bring vaccine and testing resources, infection prevention and control guidance, and treatment outreach and education on-site in response to cases and outbreaks in these settings.</w:t>
      </w:r>
      <w:r w:rsidR="000A7C1C" w:rsidRPr="3532FCC6">
        <w:rPr>
          <w:rStyle w:val="FootnoteReference"/>
        </w:rPr>
        <w:footnoteReference w:id="46"/>
      </w:r>
    </w:p>
    <w:p w14:paraId="3A85A711" w14:textId="3DCF663F" w:rsidR="00E80443" w:rsidRDefault="3532FCC6" w:rsidP="00E80443">
      <w:pPr>
        <w:pStyle w:val="ListParagraph"/>
        <w:numPr>
          <w:ilvl w:val="0"/>
          <w:numId w:val="8"/>
        </w:numPr>
        <w:spacing w:line="480" w:lineRule="auto"/>
        <w:jc w:val="both"/>
        <w:rPr>
          <w:b/>
        </w:rPr>
      </w:pPr>
      <w:r w:rsidRPr="3532FCC6">
        <w:rPr>
          <w:b/>
          <w:bCs/>
        </w:rPr>
        <w:t>ISSUES AND CONCERNS</w:t>
      </w:r>
    </w:p>
    <w:p w14:paraId="1321221D" w14:textId="45575162" w:rsidR="43DE61F0" w:rsidRDefault="43DE61F0" w:rsidP="43DE61F0">
      <w:pPr>
        <w:pStyle w:val="ListParagraph"/>
        <w:numPr>
          <w:ilvl w:val="0"/>
          <w:numId w:val="7"/>
        </w:numPr>
        <w:spacing w:line="480" w:lineRule="auto"/>
        <w:jc w:val="both"/>
        <w:rPr>
          <w:b/>
          <w:bCs/>
          <w:u w:val="single"/>
        </w:rPr>
      </w:pPr>
      <w:r w:rsidRPr="43DE61F0">
        <w:rPr>
          <w:b/>
          <w:bCs/>
          <w:u w:val="single"/>
        </w:rPr>
        <w:t>Ending of the COVID-19 Vaccine Mandate for NYC Municipal Employees</w:t>
      </w:r>
      <w:r w:rsidRPr="43DE61F0">
        <w:t xml:space="preserve"> </w:t>
      </w:r>
    </w:p>
    <w:p w14:paraId="47406EA1" w14:textId="4C5BA70C" w:rsidR="43DE61F0" w:rsidRDefault="43DE61F0" w:rsidP="00C41A5A">
      <w:pPr>
        <w:spacing w:line="480" w:lineRule="auto"/>
        <w:ind w:firstLine="720"/>
        <w:jc w:val="both"/>
      </w:pPr>
      <w:r w:rsidRPr="43DE61F0">
        <w:t xml:space="preserve">On February 6, 2023, Mayor Adams announced the end of </w:t>
      </w:r>
      <w:r w:rsidR="008B2089">
        <w:t xml:space="preserve">the </w:t>
      </w:r>
      <w:r w:rsidRPr="43DE61F0">
        <w:t>COVID</w:t>
      </w:r>
      <w:r w:rsidR="00357B3E">
        <w:t>-19</w:t>
      </w:r>
      <w:r w:rsidRPr="43DE61F0">
        <w:t xml:space="preserve"> vaccine mandate for </w:t>
      </w:r>
      <w:r w:rsidR="008B2089">
        <w:t>municipal</w:t>
      </w:r>
      <w:r w:rsidRPr="43DE61F0">
        <w:t xml:space="preserve"> </w:t>
      </w:r>
      <w:r w:rsidR="008B2089">
        <w:t>employees, which</w:t>
      </w:r>
      <w:r w:rsidRPr="43DE61F0">
        <w:t xml:space="preserve"> required all city workers to receive 2 doses of primary COVID</w:t>
      </w:r>
      <w:r w:rsidR="00357B3E">
        <w:t>-19</w:t>
      </w:r>
      <w:r w:rsidRPr="43DE61F0">
        <w:t xml:space="preserve"> vaccinations to retain or begin th</w:t>
      </w:r>
      <w:r w:rsidR="00E6642D">
        <w:t>eir employment at city agencies.</w:t>
      </w:r>
      <w:r w:rsidR="00E6642D">
        <w:rPr>
          <w:rStyle w:val="FootnoteReference"/>
        </w:rPr>
        <w:footnoteReference w:id="47"/>
      </w:r>
      <w:r w:rsidRPr="43DE61F0">
        <w:t xml:space="preserve"> The same mandate was removed from </w:t>
      </w:r>
      <w:r w:rsidR="008B2089">
        <w:t xml:space="preserve">the </w:t>
      </w:r>
      <w:r w:rsidRPr="43DE61F0">
        <w:t>private sector on November 1, 2022</w:t>
      </w:r>
      <w:r w:rsidR="00E6642D">
        <w:t>.</w:t>
      </w:r>
      <w:r w:rsidR="00E6642D">
        <w:rPr>
          <w:rStyle w:val="FootnoteReference"/>
        </w:rPr>
        <w:footnoteReference w:id="48"/>
      </w:r>
      <w:r w:rsidR="00E6642D">
        <w:t xml:space="preserve"> </w:t>
      </w:r>
      <w:r w:rsidRPr="43DE61F0">
        <w:t>This</w:t>
      </w:r>
      <w:r w:rsidR="008B2089">
        <w:t xml:space="preserve"> original</w:t>
      </w:r>
      <w:r w:rsidRPr="43DE61F0">
        <w:t xml:space="preserve"> mandate was announced by </w:t>
      </w:r>
      <w:r w:rsidR="00AB7EC4" w:rsidRPr="43DE61F0">
        <w:t>former</w:t>
      </w:r>
      <w:r w:rsidR="00AB7EC4">
        <w:t>-</w:t>
      </w:r>
      <w:r w:rsidRPr="43DE61F0">
        <w:t>Mayor Bill de Blasio on October 20, 2021</w:t>
      </w:r>
      <w:r w:rsidR="00357B3E">
        <w:t>,</w:t>
      </w:r>
      <w:r w:rsidR="00E6642D">
        <w:rPr>
          <w:rStyle w:val="FootnoteReference"/>
        </w:rPr>
        <w:footnoteReference w:id="49"/>
      </w:r>
      <w:r w:rsidR="00357B3E">
        <w:t xml:space="preserve"> </w:t>
      </w:r>
      <w:r w:rsidRPr="43DE61F0">
        <w:t xml:space="preserve">2 months after </w:t>
      </w:r>
      <w:r w:rsidR="00F165A0">
        <w:t xml:space="preserve">the </w:t>
      </w:r>
      <w:r w:rsidRPr="43DE61F0">
        <w:t>FDA announced the first approval of a COVID-19 vaccine.</w:t>
      </w:r>
      <w:r w:rsidR="00E6642D">
        <w:rPr>
          <w:rStyle w:val="FootnoteReference"/>
        </w:rPr>
        <w:footnoteReference w:id="50"/>
      </w:r>
      <w:r w:rsidRPr="43DE61F0">
        <w:t xml:space="preserve"> Inspired by the high vaccination rates among employees at </w:t>
      </w:r>
      <w:r w:rsidR="008B2089">
        <w:t xml:space="preserve">the </w:t>
      </w:r>
      <w:r w:rsidRPr="43DE61F0">
        <w:t xml:space="preserve">Department of Education and </w:t>
      </w:r>
      <w:r w:rsidR="0062444A">
        <w:t>H+H</w:t>
      </w:r>
      <w:r w:rsidR="00AB7EC4">
        <w:t xml:space="preserve"> after the city employee mandate was put in place</w:t>
      </w:r>
      <w:r w:rsidRPr="43DE61F0">
        <w:t xml:space="preserve">, former Mayor </w:t>
      </w:r>
      <w:r w:rsidR="008B2089">
        <w:t>de Blasio</w:t>
      </w:r>
      <w:r w:rsidRPr="43DE61F0">
        <w:t xml:space="preserve"> expanded </w:t>
      </w:r>
      <w:r w:rsidR="008B2089">
        <w:t>the mandate</w:t>
      </w:r>
      <w:r w:rsidRPr="43DE61F0">
        <w:t xml:space="preserve"> to private sector employees.</w:t>
      </w:r>
      <w:r w:rsidR="00E6642D">
        <w:rPr>
          <w:rStyle w:val="FootnoteReference"/>
        </w:rPr>
        <w:footnoteReference w:id="51"/>
      </w:r>
      <w:r w:rsidRPr="43DE61F0">
        <w:t xml:space="preserve"> Although the mandate </w:t>
      </w:r>
      <w:r w:rsidR="008B2089">
        <w:t xml:space="preserve">was </w:t>
      </w:r>
      <w:r w:rsidRPr="43DE61F0">
        <w:t xml:space="preserve">met with much criticism and controversy from workers, religious leaders, politicians, and activists, this </w:t>
      </w:r>
      <w:r w:rsidR="00AB7EC4">
        <w:t>mandate corresponded with an</w:t>
      </w:r>
      <w:r w:rsidR="00AB7EC4" w:rsidRPr="43DE61F0">
        <w:t xml:space="preserve"> </w:t>
      </w:r>
      <w:r w:rsidR="008B2089">
        <w:t>increase</w:t>
      </w:r>
      <w:r w:rsidRPr="43DE61F0">
        <w:t xml:space="preserve"> </w:t>
      </w:r>
      <w:r w:rsidR="00AB7EC4">
        <w:t xml:space="preserve">in </w:t>
      </w:r>
      <w:r w:rsidRPr="43DE61F0">
        <w:t>vaccination rates in NYC,</w:t>
      </w:r>
      <w:r w:rsidR="00E6642D">
        <w:rPr>
          <w:rStyle w:val="FootnoteReference"/>
        </w:rPr>
        <w:footnoteReference w:id="52"/>
      </w:r>
      <w:r w:rsidRPr="43DE61F0">
        <w:t xml:space="preserve"> the nation’s first epicenter of the pandemic.</w:t>
      </w:r>
      <w:r w:rsidR="00E6642D">
        <w:rPr>
          <w:rStyle w:val="FootnoteReference"/>
        </w:rPr>
        <w:footnoteReference w:id="53"/>
      </w:r>
      <w:r w:rsidRPr="43DE61F0">
        <w:t xml:space="preserve"> </w:t>
      </w:r>
      <w:r w:rsidR="008B2089">
        <w:t>Currently</w:t>
      </w:r>
      <w:r w:rsidRPr="43DE61F0">
        <w:t xml:space="preserve"> over 331,000</w:t>
      </w:r>
      <w:r w:rsidR="008B2089">
        <w:t>,</w:t>
      </w:r>
      <w:r w:rsidRPr="43DE61F0">
        <w:t xml:space="preserve"> or about 96 percent</w:t>
      </w:r>
      <w:r w:rsidR="008B2089">
        <w:t>,</w:t>
      </w:r>
      <w:r w:rsidRPr="43DE61F0">
        <w:t xml:space="preserve"> of city employees are fully vaccinated with a completed primary vaccine series.</w:t>
      </w:r>
      <w:r w:rsidR="008B2089">
        <w:rPr>
          <w:rStyle w:val="FootnoteReference"/>
        </w:rPr>
        <w:footnoteReference w:id="54"/>
      </w:r>
      <w:r w:rsidRPr="43DE61F0">
        <w:t xml:space="preserve">   </w:t>
      </w:r>
    </w:p>
    <w:p w14:paraId="6E76DA67" w14:textId="3FF2F47F" w:rsidR="43DE61F0" w:rsidRDefault="43DE61F0" w:rsidP="00C41A5A">
      <w:pPr>
        <w:spacing w:line="480" w:lineRule="auto"/>
        <w:ind w:firstLine="720"/>
        <w:jc w:val="both"/>
      </w:pPr>
      <w:r w:rsidRPr="43DE61F0">
        <w:t xml:space="preserve">According to </w:t>
      </w:r>
      <w:r w:rsidR="008B2089">
        <w:t>the DOHMH Commissioner</w:t>
      </w:r>
      <w:r w:rsidRPr="43DE61F0">
        <w:t xml:space="preserve">, Dr. Ashwin Vasan, </w:t>
      </w:r>
      <w:r w:rsidR="008B2089">
        <w:t>the</w:t>
      </w:r>
      <w:r w:rsidRPr="43DE61F0">
        <w:t xml:space="preserve"> vaccine mandates were “absolutely necessary” and the removal of </w:t>
      </w:r>
      <w:r w:rsidR="008B2089">
        <w:t xml:space="preserve">such </w:t>
      </w:r>
      <w:r w:rsidRPr="43DE61F0">
        <w:t>mandate</w:t>
      </w:r>
      <w:r w:rsidR="008B2089">
        <w:t>s merely</w:t>
      </w:r>
      <w:r w:rsidRPr="43DE61F0">
        <w:t xml:space="preserve"> signals the end of </w:t>
      </w:r>
      <w:r w:rsidR="008B2089">
        <w:t>the</w:t>
      </w:r>
      <w:r w:rsidRPr="43DE61F0">
        <w:t xml:space="preserve"> “</w:t>
      </w:r>
      <w:r w:rsidR="00692E12">
        <w:t>emergency phase of the pandemic.</w:t>
      </w:r>
      <w:r w:rsidRPr="43DE61F0">
        <w:t>”</w:t>
      </w:r>
      <w:r w:rsidR="00692E12">
        <w:rPr>
          <w:rStyle w:val="FootnoteReference"/>
        </w:rPr>
        <w:footnoteReference w:id="55"/>
      </w:r>
      <w:r w:rsidRPr="43DE61F0">
        <w:t xml:space="preserve"> While many </w:t>
      </w:r>
      <w:r w:rsidR="008B2089">
        <w:t>welcome the</w:t>
      </w:r>
      <w:r w:rsidRPr="43DE61F0">
        <w:t xml:space="preserve"> mandate’s removal, some experts </w:t>
      </w:r>
      <w:r w:rsidR="008B2089">
        <w:t>remain</w:t>
      </w:r>
      <w:r w:rsidRPr="43DE61F0">
        <w:t xml:space="preserve"> concerned by the waning COVID</w:t>
      </w:r>
      <w:r w:rsidR="00365BAA">
        <w:t>-19</w:t>
      </w:r>
      <w:r w:rsidRPr="43DE61F0">
        <w:t xml:space="preserve"> immunity </w:t>
      </w:r>
      <w:r w:rsidR="008B2089">
        <w:t>coupled with the</w:t>
      </w:r>
      <w:r w:rsidRPr="43DE61F0">
        <w:t xml:space="preserve"> low bivalent booster shot rates in </w:t>
      </w:r>
      <w:r w:rsidR="008B2089">
        <w:t>NYC</w:t>
      </w:r>
      <w:r w:rsidRPr="43DE61F0">
        <w:t>, citing reinfection rates and the mutating nature of the virus.</w:t>
      </w:r>
      <w:r w:rsidR="00692E12">
        <w:rPr>
          <w:rStyle w:val="FootnoteReference"/>
        </w:rPr>
        <w:footnoteReference w:id="56"/>
      </w:r>
    </w:p>
    <w:p w14:paraId="74C59B4F" w14:textId="5F34FDEF" w:rsidR="43DE61F0" w:rsidRDefault="43DE61F0" w:rsidP="00C41A5A">
      <w:pPr>
        <w:spacing w:line="480" w:lineRule="auto"/>
        <w:ind w:firstLine="720"/>
        <w:jc w:val="both"/>
      </w:pPr>
      <w:r w:rsidRPr="43DE61F0">
        <w:t xml:space="preserve">Additionally, concerns have been raised by </w:t>
      </w:r>
      <w:r w:rsidR="008B2089">
        <w:t>municipal</w:t>
      </w:r>
      <w:r w:rsidRPr="43DE61F0">
        <w:t xml:space="preserve"> workers who were fired or forced to resign for not showing proof of vaccination while the mandate was being enacted. An estimated 1,780 workers were fired over </w:t>
      </w:r>
      <w:r w:rsidR="0054152E">
        <w:t>non</w:t>
      </w:r>
      <w:r w:rsidRPr="43DE61F0">
        <w:t xml:space="preserve">compliance and multiple lawsuits were filed against the </w:t>
      </w:r>
      <w:r w:rsidR="0054152E">
        <w:t>Administration’s policy</w:t>
      </w:r>
      <w:r w:rsidRPr="43DE61F0">
        <w:t>.</w:t>
      </w:r>
      <w:r w:rsidR="0054152E">
        <w:rPr>
          <w:rStyle w:val="FootnoteReference"/>
        </w:rPr>
        <w:footnoteReference w:id="57"/>
      </w:r>
      <w:r w:rsidRPr="43DE61F0">
        <w:t xml:space="preserve"> </w:t>
      </w:r>
      <w:r w:rsidR="00AB7EC4">
        <w:t>Several municipal-level</w:t>
      </w:r>
      <w:r w:rsidRPr="43DE61F0">
        <w:t xml:space="preserve"> judges have </w:t>
      </w:r>
      <w:r w:rsidR="00AB7EC4">
        <w:t>overturned</w:t>
      </w:r>
      <w:r w:rsidR="00AB7EC4" w:rsidRPr="43DE61F0">
        <w:t xml:space="preserve"> </w:t>
      </w:r>
      <w:r w:rsidR="00AB7EC4">
        <w:t>these mandates</w:t>
      </w:r>
      <w:r w:rsidRPr="43DE61F0">
        <w:t xml:space="preserve"> and </w:t>
      </w:r>
      <w:r w:rsidR="00F12BAA">
        <w:t>have ordered the reinstatement</w:t>
      </w:r>
      <w:r w:rsidRPr="43DE61F0">
        <w:t xml:space="preserve"> </w:t>
      </w:r>
      <w:r w:rsidR="00F12BAA">
        <w:t>of the</w:t>
      </w:r>
      <w:r w:rsidRPr="43DE61F0">
        <w:t xml:space="preserve"> employees </w:t>
      </w:r>
      <w:r w:rsidR="00F12BAA">
        <w:t>with</w:t>
      </w:r>
      <w:r w:rsidRPr="43DE61F0">
        <w:t xml:space="preserve"> </w:t>
      </w:r>
      <w:r w:rsidR="00F12BAA">
        <w:t>back</w:t>
      </w:r>
      <w:r w:rsidRPr="43DE61F0">
        <w:t xml:space="preserve"> pay, such as in the case of the 16 sanitation workers who were fired last year.</w:t>
      </w:r>
      <w:r w:rsidR="0097131E">
        <w:rPr>
          <w:rStyle w:val="FootnoteReference"/>
        </w:rPr>
        <w:footnoteReference w:id="58"/>
      </w:r>
      <w:r w:rsidRPr="43DE61F0">
        <w:t xml:space="preserve"> </w:t>
      </w:r>
      <w:r w:rsidR="00AB7EC4">
        <w:t>C</w:t>
      </w:r>
      <w:r w:rsidR="00337EA4">
        <w:t>ity</w:t>
      </w:r>
      <w:r w:rsidRPr="43DE61F0">
        <w:t xml:space="preserve"> employees who were fired </w:t>
      </w:r>
      <w:r w:rsidR="00337EA4">
        <w:t>may</w:t>
      </w:r>
      <w:r w:rsidRPr="43DE61F0">
        <w:t xml:space="preserve"> </w:t>
      </w:r>
      <w:r w:rsidR="00AB7EC4">
        <w:t xml:space="preserve">now </w:t>
      </w:r>
      <w:r w:rsidRPr="43DE61F0">
        <w:t>reapply</w:t>
      </w:r>
      <w:r w:rsidR="00337EA4">
        <w:t>.</w:t>
      </w:r>
      <w:r w:rsidR="00337EA4">
        <w:rPr>
          <w:rStyle w:val="FootnoteReference"/>
        </w:rPr>
        <w:footnoteReference w:id="59"/>
      </w:r>
    </w:p>
    <w:p w14:paraId="18DE9059" w14:textId="39117BCD" w:rsidR="43DE61F0" w:rsidRDefault="43DE61F0" w:rsidP="43DE61F0">
      <w:pPr>
        <w:pStyle w:val="ListParagraph"/>
        <w:numPr>
          <w:ilvl w:val="0"/>
          <w:numId w:val="1"/>
        </w:numPr>
        <w:jc w:val="both"/>
      </w:pPr>
      <w:r w:rsidRPr="43DE61F0">
        <w:rPr>
          <w:b/>
          <w:bCs/>
          <w:u w:val="single"/>
        </w:rPr>
        <w:t>End of Federal COVID-19 Emergency Declaration and Moving Forward</w:t>
      </w:r>
      <w:r w:rsidRPr="43DE61F0">
        <w:t xml:space="preserve"> </w:t>
      </w:r>
    </w:p>
    <w:p w14:paraId="622EED5D" w14:textId="5BD7B3A2" w:rsidR="43DE61F0" w:rsidRDefault="43DE61F0" w:rsidP="43DE61F0">
      <w:pPr>
        <w:jc w:val="both"/>
      </w:pPr>
      <w:r w:rsidRPr="43DE61F0">
        <w:t xml:space="preserve"> </w:t>
      </w:r>
    </w:p>
    <w:p w14:paraId="3CB76206" w14:textId="5016BE91" w:rsidR="00487966" w:rsidRDefault="43DE61F0" w:rsidP="00C41A5A">
      <w:pPr>
        <w:spacing w:line="480" w:lineRule="auto"/>
        <w:ind w:firstLine="720"/>
        <w:jc w:val="both"/>
      </w:pPr>
      <w:r w:rsidRPr="43DE61F0">
        <w:t>On January 30, 2023, the Biden administration announced its plan to end the COVID-19 national emergency and the public health emergency (PHE</w:t>
      </w:r>
      <w:r w:rsidR="00F012D3">
        <w:t>)</w:t>
      </w:r>
      <w:r w:rsidRPr="43DE61F0">
        <w:t xml:space="preserve"> on May 11, 2023.</w:t>
      </w:r>
      <w:r w:rsidR="00692E12">
        <w:rPr>
          <w:rStyle w:val="FootnoteReference"/>
        </w:rPr>
        <w:footnoteReference w:id="60"/>
      </w:r>
      <w:r w:rsidRPr="43DE61F0">
        <w:t xml:space="preserve"> Both emergencies were declared by former President Trump and </w:t>
      </w:r>
      <w:r w:rsidR="00F012D3">
        <w:t>were</w:t>
      </w:r>
      <w:r w:rsidRPr="43DE61F0">
        <w:t xml:space="preserve"> set to expire on March 1</w:t>
      </w:r>
      <w:r w:rsidR="00F012D3">
        <w:t xml:space="preserve">, 2023, </w:t>
      </w:r>
      <w:r w:rsidRPr="43DE61F0">
        <w:t>and April 11, 2023, respectively.</w:t>
      </w:r>
      <w:r w:rsidR="00365BAA">
        <w:rPr>
          <w:rStyle w:val="FootnoteReference"/>
        </w:rPr>
        <w:footnoteReference w:id="61"/>
      </w:r>
      <w:r w:rsidRPr="43DE61F0">
        <w:t xml:space="preserve"> However, the </w:t>
      </w:r>
      <w:r w:rsidR="00F012D3">
        <w:t>Biden</w:t>
      </w:r>
      <w:r w:rsidRPr="43DE61F0">
        <w:t xml:space="preserve"> administration </w:t>
      </w:r>
      <w:r w:rsidR="00F012D3">
        <w:t>extended</w:t>
      </w:r>
      <w:r w:rsidR="002819D5">
        <w:t xml:space="preserve"> both</w:t>
      </w:r>
      <w:r w:rsidR="00C43EC7">
        <w:t xml:space="preserve"> emergency declaration</w:t>
      </w:r>
      <w:r w:rsidRPr="43DE61F0">
        <w:t xml:space="preserve"> deadlines to May 11, 2023.</w:t>
      </w:r>
      <w:r w:rsidR="00365BAA">
        <w:rPr>
          <w:rStyle w:val="FootnoteReference"/>
        </w:rPr>
        <w:footnoteReference w:id="62"/>
      </w:r>
      <w:r w:rsidR="00365BAA">
        <w:rPr>
          <w:vertAlign w:val="superscript"/>
        </w:rPr>
        <w:t xml:space="preserve"> </w:t>
      </w:r>
      <w:r w:rsidRPr="43DE61F0">
        <w:t>These declarations allowed the federal government to expand healthcare services</w:t>
      </w:r>
      <w:r w:rsidR="007E08E4">
        <w:t>, such as</w:t>
      </w:r>
      <w:r w:rsidRPr="43DE61F0">
        <w:t xml:space="preserve"> </w:t>
      </w:r>
      <w:r w:rsidR="005911B4">
        <w:t>providing</w:t>
      </w:r>
      <w:r w:rsidRPr="43DE61F0">
        <w:t xml:space="preserve"> </w:t>
      </w:r>
      <w:r w:rsidR="00365BAA">
        <w:t>COVID</w:t>
      </w:r>
      <w:r w:rsidRPr="43DE61F0">
        <w:t xml:space="preserve">-19 </w:t>
      </w:r>
      <w:r w:rsidR="005911B4">
        <w:t xml:space="preserve">tests, </w:t>
      </w:r>
      <w:r w:rsidRPr="43DE61F0">
        <w:t xml:space="preserve">treatments, and </w:t>
      </w:r>
      <w:r w:rsidR="005911B4">
        <w:t>vaccines at no charge, as well as enhanced social safety net benefits to help minimize the pandemic’s impact</w:t>
      </w:r>
      <w:r w:rsidRPr="43DE61F0">
        <w:t>.</w:t>
      </w:r>
      <w:r w:rsidR="00365BAA">
        <w:rPr>
          <w:rStyle w:val="FootnoteReference"/>
        </w:rPr>
        <w:footnoteReference w:id="63"/>
      </w:r>
      <w:r w:rsidR="00365BAA" w:rsidRPr="43DE61F0">
        <w:t xml:space="preserve"> </w:t>
      </w:r>
      <w:r w:rsidR="00487966">
        <w:t xml:space="preserve">Americans covered by Medicare, Medicaid, and private insurance plans have been able to receive COVID-19 tests and vaccines at no cost, and those covered by Medicare and private insurance </w:t>
      </w:r>
      <w:r w:rsidR="00866497">
        <w:t xml:space="preserve">have been able to receive up to 8 at-home tests </w:t>
      </w:r>
      <w:r w:rsidR="00015D92">
        <w:t>per month for free</w:t>
      </w:r>
      <w:r w:rsidR="00866497">
        <w:t>.</w:t>
      </w:r>
      <w:r w:rsidR="00866497">
        <w:rPr>
          <w:rStyle w:val="FootnoteReference"/>
        </w:rPr>
        <w:footnoteReference w:id="64"/>
      </w:r>
      <w:r w:rsidR="00866497">
        <w:t xml:space="preserve"> Further, those covered by Medicaid</w:t>
      </w:r>
      <w:r w:rsidR="00015D92">
        <w:t xml:space="preserve"> and Medicare could receive treatments such as monoclonal antibodies</w:t>
      </w:r>
      <w:r w:rsidR="004242F5">
        <w:t xml:space="preserve"> at no cost.</w:t>
      </w:r>
      <w:r w:rsidR="004242F5">
        <w:rPr>
          <w:rStyle w:val="FootnoteReference"/>
        </w:rPr>
        <w:footnoteReference w:id="65"/>
      </w:r>
    </w:p>
    <w:p w14:paraId="0C8475C1" w14:textId="45028719" w:rsidR="00791EEB" w:rsidRDefault="43DE61F0" w:rsidP="00C41A5A">
      <w:pPr>
        <w:spacing w:line="480" w:lineRule="auto"/>
        <w:ind w:firstLine="720"/>
        <w:jc w:val="both"/>
      </w:pPr>
      <w:r w:rsidRPr="43DE61F0">
        <w:t xml:space="preserve">Now </w:t>
      </w:r>
      <w:r w:rsidR="007E08E4">
        <w:t>that the</w:t>
      </w:r>
      <w:r w:rsidRPr="43DE61F0">
        <w:t xml:space="preserve"> emergency declarations are being lifted, </w:t>
      </w:r>
      <w:r w:rsidR="008157F6">
        <w:t>Medicare recipients will face out-of-pocket costs for at-home testing and for all forms of treatment.</w:t>
      </w:r>
      <w:r w:rsidR="008157F6">
        <w:rPr>
          <w:rStyle w:val="FootnoteReference"/>
        </w:rPr>
        <w:footnoteReference w:id="66"/>
      </w:r>
      <w:r w:rsidRPr="43DE61F0">
        <w:t xml:space="preserve"> </w:t>
      </w:r>
      <w:r w:rsidR="00863C4D">
        <w:t>However,</w:t>
      </w:r>
      <w:r w:rsidR="00360E33">
        <w:t xml:space="preserve"> </w:t>
      </w:r>
      <w:r w:rsidR="00DA189D">
        <w:t xml:space="preserve">COVID-19 vaccines will continue to be provided at no cost, as well </w:t>
      </w:r>
      <w:r w:rsidR="00863C4D">
        <w:t xml:space="preserve">as </w:t>
      </w:r>
      <w:r w:rsidR="00DA189D">
        <w:t>testing ordered by a healthcare provider.</w:t>
      </w:r>
      <w:r w:rsidR="00DA189D">
        <w:rPr>
          <w:rStyle w:val="FootnoteReference"/>
        </w:rPr>
        <w:footnoteReference w:id="67"/>
      </w:r>
      <w:r w:rsidR="00DA189D">
        <w:t xml:space="preserve"> </w:t>
      </w:r>
      <w:r w:rsidR="00791EEB">
        <w:t>And although State Medicaid programs will continue to cover the costs of COVID-19 tests ordered by physicians and vaccines, enrollees may face out-of-pocket costs for treatments.</w:t>
      </w:r>
      <w:r w:rsidR="00791EEB">
        <w:rPr>
          <w:rStyle w:val="FootnoteReference"/>
        </w:rPr>
        <w:footnoteReference w:id="68"/>
      </w:r>
      <w:r w:rsidR="00791EEB">
        <w:t xml:space="preserve"> Individuals with private insurance could also face charges for lab tests, even when ordered by a healthcare provider, but vaccines will continue to be free for those who go to in-network providers.</w:t>
      </w:r>
      <w:r w:rsidR="00791EEB">
        <w:rPr>
          <w:rStyle w:val="FootnoteReference"/>
        </w:rPr>
        <w:footnoteReference w:id="69"/>
      </w:r>
      <w:r w:rsidR="001C35D9">
        <w:t xml:space="preserve"> </w:t>
      </w:r>
      <w:r w:rsidR="001E71B1">
        <w:t xml:space="preserve">Until the federal supply is exhausted, Americans with private insurance will receive free </w:t>
      </w:r>
      <w:r w:rsidR="00360E33">
        <w:t xml:space="preserve">COVID-19 </w:t>
      </w:r>
      <w:r w:rsidR="001E71B1">
        <w:t>treatment, but as treatment supplies deplete, private insurance will begin picking up some of the costs.</w:t>
      </w:r>
      <w:r w:rsidR="001E71B1">
        <w:rPr>
          <w:rStyle w:val="FootnoteReference"/>
        </w:rPr>
        <w:footnoteReference w:id="70"/>
      </w:r>
      <w:r w:rsidR="001E71B1">
        <w:t xml:space="preserve"> </w:t>
      </w:r>
      <w:r w:rsidR="00D73987">
        <w:t>S</w:t>
      </w:r>
      <w:r w:rsidR="002460D4">
        <w:t>ince federal funding ran out in spring 2022, it has been more difficult for uninsured Americans to access free COVID-19 services.</w:t>
      </w:r>
      <w:r w:rsidR="002460D4">
        <w:rPr>
          <w:rStyle w:val="FootnoteReference"/>
        </w:rPr>
        <w:footnoteReference w:id="71"/>
      </w:r>
      <w:r w:rsidR="00D73987">
        <w:t xml:space="preserve"> Further, the public health emergency also meant additional funding for hospitals, which received 20 percent increase</w:t>
      </w:r>
      <w:r w:rsidR="006651F3">
        <w:t>s</w:t>
      </w:r>
      <w:r w:rsidR="00D73987">
        <w:t xml:space="preserve"> in Medicare’s payment rate for treating COVID</w:t>
      </w:r>
      <w:r w:rsidR="006651F3">
        <w:t>-19 patients, which will end once the public health emergency expires.</w:t>
      </w:r>
      <w:r w:rsidR="006651F3">
        <w:rPr>
          <w:rStyle w:val="FootnoteReference"/>
        </w:rPr>
        <w:footnoteReference w:id="72"/>
      </w:r>
      <w:r w:rsidR="00D3511B">
        <w:t xml:space="preserve"> Lastly, oral antiviral drugs such as Paxlovid will remain covered by Medicare even though it has yet to be fully approved by the FDA, due to a provision Congress put in place as part of the fiscal year 2023 government spending package that passed in December 2022.</w:t>
      </w:r>
      <w:r w:rsidR="00D3511B">
        <w:rPr>
          <w:rStyle w:val="FootnoteReference"/>
        </w:rPr>
        <w:footnoteReference w:id="73"/>
      </w:r>
    </w:p>
    <w:p w14:paraId="6A0C0E7E" w14:textId="568E46D9" w:rsidR="43DE61F0" w:rsidRDefault="43DE61F0" w:rsidP="00C41A5A">
      <w:pPr>
        <w:spacing w:line="480" w:lineRule="auto"/>
        <w:ind w:firstLine="720"/>
        <w:jc w:val="both"/>
      </w:pPr>
      <w:r w:rsidRPr="43DE61F0">
        <w:t>Additionally, certain healthcare flexibilities allowed through telemedicine during public health emergencies will be rescinded as providers will no longer be able to write prescriptions for a controlled substance through remote visits.</w:t>
      </w:r>
      <w:r w:rsidR="00365BAA">
        <w:rPr>
          <w:rStyle w:val="FootnoteReference"/>
        </w:rPr>
        <w:footnoteReference w:id="74"/>
      </w:r>
      <w:r w:rsidR="00365BAA">
        <w:t xml:space="preserve"> </w:t>
      </w:r>
      <w:r w:rsidRPr="43DE61F0">
        <w:t>Furthermore, state license requirements were temporarily waived during the state of emergency, which means providers will no longer be able to practice in another state via telehealth without meeting that state’s license requirements.</w:t>
      </w:r>
      <w:r w:rsidR="00365BAA">
        <w:rPr>
          <w:rStyle w:val="FootnoteReference"/>
        </w:rPr>
        <w:footnoteReference w:id="75"/>
      </w:r>
    </w:p>
    <w:p w14:paraId="433AAC37" w14:textId="055F9F8C" w:rsidR="00AC6999" w:rsidRPr="009D06AA" w:rsidRDefault="3532FCC6" w:rsidP="00AC6999">
      <w:pPr>
        <w:pStyle w:val="ListParagraph"/>
        <w:numPr>
          <w:ilvl w:val="0"/>
          <w:numId w:val="8"/>
        </w:numPr>
        <w:spacing w:line="480" w:lineRule="auto"/>
        <w:jc w:val="both"/>
        <w:rPr>
          <w:b/>
        </w:rPr>
      </w:pPr>
      <w:r w:rsidRPr="3532FCC6">
        <w:rPr>
          <w:b/>
          <w:bCs/>
        </w:rPr>
        <w:t>Conclusion</w:t>
      </w:r>
    </w:p>
    <w:p w14:paraId="3CEDA548" w14:textId="27BC587E" w:rsidR="00AC6999" w:rsidRDefault="00AC6999" w:rsidP="000C54A7">
      <w:pPr>
        <w:spacing w:line="480" w:lineRule="auto"/>
        <w:ind w:firstLine="360"/>
        <w:jc w:val="both"/>
        <w:rPr>
          <w:shd w:val="clear" w:color="auto" w:fill="FFFFFF"/>
        </w:rPr>
      </w:pPr>
      <w:r w:rsidRPr="00C70231">
        <w:rPr>
          <w:shd w:val="clear" w:color="auto" w:fill="FFFFFF"/>
        </w:rPr>
        <w:t xml:space="preserve">The </w:t>
      </w:r>
      <w:r w:rsidR="007210E2">
        <w:rPr>
          <w:shd w:val="clear" w:color="auto" w:fill="FFFFFF"/>
        </w:rPr>
        <w:t>Subcommittee</w:t>
      </w:r>
      <w:r w:rsidR="007210E2" w:rsidRPr="00C70231">
        <w:rPr>
          <w:shd w:val="clear" w:color="auto" w:fill="FFFFFF"/>
        </w:rPr>
        <w:t xml:space="preserve"> </w:t>
      </w:r>
      <w:r w:rsidR="00050A1C">
        <w:rPr>
          <w:shd w:val="clear" w:color="auto" w:fill="FFFFFF"/>
        </w:rPr>
        <w:t xml:space="preserve">and </w:t>
      </w:r>
      <w:r w:rsidRPr="00C70231">
        <w:rPr>
          <w:shd w:val="clear" w:color="auto" w:fill="FFFFFF"/>
        </w:rPr>
        <w:t xml:space="preserve">Committees look forward to discussing </w:t>
      </w:r>
      <w:r w:rsidR="00D24701">
        <w:rPr>
          <w:shd w:val="clear" w:color="auto" w:fill="FFFFFF"/>
        </w:rPr>
        <w:t>the City’s continuing response to the COVID-19 pandemic</w:t>
      </w:r>
      <w:r w:rsidR="002E317D">
        <w:rPr>
          <w:shd w:val="clear" w:color="auto" w:fill="FFFFFF"/>
        </w:rPr>
        <w:t>, outreach and public education efforts around resources, trea</w:t>
      </w:r>
      <w:r w:rsidR="008B5328">
        <w:rPr>
          <w:shd w:val="clear" w:color="auto" w:fill="FFFFFF"/>
        </w:rPr>
        <w:t>tments</w:t>
      </w:r>
      <w:r w:rsidR="002E317D">
        <w:rPr>
          <w:shd w:val="clear" w:color="auto" w:fill="FFFFFF"/>
        </w:rPr>
        <w:t xml:space="preserve"> and vaccination, and</w:t>
      </w:r>
      <w:r w:rsidR="00D24701">
        <w:rPr>
          <w:shd w:val="clear" w:color="auto" w:fill="FFFFFF"/>
        </w:rPr>
        <w:t xml:space="preserve"> steps the City can take to ensure that New Yorkers have access to the testing and treatment they need </w:t>
      </w:r>
      <w:r w:rsidR="0003366A">
        <w:rPr>
          <w:shd w:val="clear" w:color="auto" w:fill="FFFFFF"/>
        </w:rPr>
        <w:t>to stay safe and healthy</w:t>
      </w:r>
      <w:r w:rsidR="00E65CA0">
        <w:rPr>
          <w:shd w:val="clear" w:color="auto" w:fill="FFFFFF"/>
        </w:rPr>
        <w:t>, especially following the end of the federal emergency declarations</w:t>
      </w:r>
      <w:r w:rsidR="002E317D">
        <w:rPr>
          <w:shd w:val="clear" w:color="auto" w:fill="FFFFFF"/>
        </w:rPr>
        <w:t>.</w:t>
      </w:r>
    </w:p>
    <w:p w14:paraId="0E6AB905" w14:textId="407A8097" w:rsidR="00253E22" w:rsidRPr="00764395" w:rsidRDefault="00253E22" w:rsidP="00764395">
      <w:pPr>
        <w:spacing w:line="480" w:lineRule="auto"/>
        <w:jc w:val="both"/>
        <w:rPr>
          <w:shd w:val="clear" w:color="auto" w:fill="FFFFFF"/>
        </w:rPr>
      </w:pPr>
    </w:p>
    <w:sectPr w:rsidR="00253E22" w:rsidRPr="00764395" w:rsidSect="00B87F50">
      <w:headerReference w:type="default" r:id="rId11"/>
      <w:footerReference w:type="even" r:id="rId12"/>
      <w:footerReference w:type="default" r:id="rId13"/>
      <w:headerReference w:type="first" r:id="rId14"/>
      <w:footerReference w:type="first" r:id="rId15"/>
      <w:pgSz w:w="12240" w:h="15840"/>
      <w:pgMar w:top="1260" w:right="1440" w:bottom="810" w:left="1440" w:header="432" w:footer="432" w:gutter="0"/>
      <w:pgNumType w:start="1"/>
      <w:cols w:space="720" w:equalWidth="0">
        <w:col w:w="9360"/>
      </w:cols>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BBAD" w16cex:dateUtc="2022-09-21T20:34:00Z"/>
  <w16cex:commentExtensible w16cex:durableId="26D5C038" w16cex:dateUtc="2022-09-21T20:54:00Z"/>
  <w16cex:commentExtensible w16cex:durableId="26D5C21F" w16cex:dateUtc="2022-09-21T21:02:00Z"/>
  <w16cex:commentExtensible w16cex:durableId="26D5C610" w16cex:dateUtc="2022-09-21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A7A56" w16cid:durableId="26D5BBAD"/>
  <w16cid:commentId w16cid:paraId="0A463EFA" w16cid:durableId="26D5C038"/>
  <w16cid:commentId w16cid:paraId="7E4273F9" w16cid:durableId="26D5C21F"/>
  <w16cid:commentId w16cid:paraId="28099A61" w16cid:durableId="26D5C6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E7A40" w14:textId="77777777" w:rsidR="005E1E37" w:rsidRDefault="005E1E37" w:rsidP="000711A5">
      <w:r>
        <w:separator/>
      </w:r>
    </w:p>
  </w:endnote>
  <w:endnote w:type="continuationSeparator" w:id="0">
    <w:p w14:paraId="3D0D0639" w14:textId="77777777" w:rsidR="005E1E37" w:rsidRDefault="005E1E37" w:rsidP="000711A5">
      <w:r>
        <w:continuationSeparator/>
      </w:r>
    </w:p>
  </w:endnote>
  <w:endnote w:type="continuationNotice" w:id="1">
    <w:p w14:paraId="24A35F54" w14:textId="77777777" w:rsidR="005E1E37" w:rsidRDefault="005E1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571D" w14:textId="77777777" w:rsidR="00B86DF5" w:rsidRDefault="00B86DF5" w:rsidP="00253E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45002D" w14:textId="77777777" w:rsidR="00B86DF5" w:rsidRDefault="00B86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3343331"/>
      <w:docPartObj>
        <w:docPartGallery w:val="Page Numbers (Bottom of Page)"/>
        <w:docPartUnique/>
      </w:docPartObj>
    </w:sdtPr>
    <w:sdtEndPr>
      <w:rPr>
        <w:rStyle w:val="PageNumber"/>
      </w:rPr>
    </w:sdtEndPr>
    <w:sdtContent>
      <w:p w14:paraId="5198FEFD" w14:textId="43D56B49" w:rsidR="00B86DF5" w:rsidRDefault="00B86DF5" w:rsidP="00253E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612C0">
          <w:rPr>
            <w:rStyle w:val="PageNumber"/>
            <w:noProof/>
          </w:rPr>
          <w:t>13</w:t>
        </w:r>
        <w:r>
          <w:rPr>
            <w:rStyle w:val="PageNumber"/>
          </w:rPr>
          <w:fldChar w:fldCharType="end"/>
        </w:r>
      </w:p>
    </w:sdtContent>
  </w:sdt>
  <w:p w14:paraId="757B11D7" w14:textId="77777777" w:rsidR="00B86DF5" w:rsidRDefault="00B86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532FCC6" w14:paraId="16A04019" w14:textId="77777777" w:rsidTr="3532FCC6">
      <w:trPr>
        <w:trHeight w:val="300"/>
      </w:trPr>
      <w:tc>
        <w:tcPr>
          <w:tcW w:w="3120" w:type="dxa"/>
        </w:tcPr>
        <w:p w14:paraId="3DC2880E" w14:textId="39004025" w:rsidR="3532FCC6" w:rsidRDefault="3532FCC6" w:rsidP="3532FCC6">
          <w:pPr>
            <w:pStyle w:val="Header"/>
            <w:ind w:left="-115"/>
          </w:pPr>
        </w:p>
      </w:tc>
      <w:tc>
        <w:tcPr>
          <w:tcW w:w="3120" w:type="dxa"/>
        </w:tcPr>
        <w:p w14:paraId="481F2DB3" w14:textId="2BAF4C98" w:rsidR="3532FCC6" w:rsidRDefault="3532FCC6" w:rsidP="3532FCC6">
          <w:pPr>
            <w:pStyle w:val="Header"/>
            <w:jc w:val="center"/>
          </w:pPr>
        </w:p>
      </w:tc>
      <w:tc>
        <w:tcPr>
          <w:tcW w:w="3120" w:type="dxa"/>
        </w:tcPr>
        <w:p w14:paraId="432470B1" w14:textId="6949EB35" w:rsidR="3532FCC6" w:rsidRDefault="3532FCC6" w:rsidP="3532FCC6">
          <w:pPr>
            <w:pStyle w:val="Header"/>
            <w:ind w:right="-115"/>
            <w:jc w:val="right"/>
          </w:pPr>
        </w:p>
      </w:tc>
    </w:tr>
  </w:tbl>
  <w:p w14:paraId="7648CE08" w14:textId="730E653C" w:rsidR="3532FCC6" w:rsidRDefault="3532FCC6" w:rsidP="3532F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E1AB3" w14:textId="77777777" w:rsidR="005E1E37" w:rsidRDefault="005E1E37" w:rsidP="000711A5">
      <w:r>
        <w:separator/>
      </w:r>
    </w:p>
  </w:footnote>
  <w:footnote w:type="continuationSeparator" w:id="0">
    <w:p w14:paraId="2AA57BDC" w14:textId="77777777" w:rsidR="005E1E37" w:rsidRDefault="005E1E37" w:rsidP="000711A5">
      <w:r>
        <w:continuationSeparator/>
      </w:r>
    </w:p>
  </w:footnote>
  <w:footnote w:type="continuationNotice" w:id="1">
    <w:p w14:paraId="34B9C8B4" w14:textId="77777777" w:rsidR="005E1E37" w:rsidRDefault="005E1E37"/>
  </w:footnote>
  <w:footnote w:id="2">
    <w:p w14:paraId="56261A2B" w14:textId="7F8E5F9D" w:rsidR="00B86DF5" w:rsidRPr="00EE0FAC" w:rsidRDefault="00B86DF5">
      <w:pPr>
        <w:pStyle w:val="FootnoteText"/>
      </w:pPr>
      <w:r w:rsidRPr="00EE0FAC">
        <w:rPr>
          <w:rStyle w:val="FootnoteReference"/>
        </w:rPr>
        <w:footnoteRef/>
      </w:r>
      <w:r w:rsidRPr="00EE0FAC">
        <w:t xml:space="preserve"> </w:t>
      </w:r>
      <w:hyperlink r:id="rId1" w:history="1">
        <w:r w:rsidRPr="00EE0FAC">
          <w:rPr>
            <w:i/>
          </w:rPr>
          <w:t>Monitoring Variants</w:t>
        </w:r>
        <w:r w:rsidRPr="00EE0FAC">
          <w:t xml:space="preserve">, CDC (Oct. 21, 2022), </w:t>
        </w:r>
        <w:r w:rsidRPr="00EE0FAC">
          <w:rPr>
            <w:rStyle w:val="Hyperlink"/>
            <w:color w:val="auto"/>
          </w:rPr>
          <w:t>https://www.cdc.gov/coronavirus/2019-ncov/covid-data/covidview/index.html</w:t>
        </w:r>
      </w:hyperlink>
      <w:r w:rsidRPr="00EE0FAC">
        <w:t xml:space="preserve">. </w:t>
      </w:r>
    </w:p>
  </w:footnote>
  <w:footnote w:id="3">
    <w:p w14:paraId="47CC070B" w14:textId="7ADE690C" w:rsidR="00B86DF5" w:rsidRPr="00EE0FAC" w:rsidRDefault="00B86DF5">
      <w:pPr>
        <w:pStyle w:val="FootnoteText"/>
      </w:pPr>
      <w:r w:rsidRPr="00EE0FAC">
        <w:rPr>
          <w:rStyle w:val="FootnoteReference"/>
        </w:rPr>
        <w:footnoteRef/>
      </w:r>
      <w:r w:rsidRPr="00EE0FAC">
        <w:t xml:space="preserve"> </w:t>
      </w:r>
      <w:r w:rsidRPr="00EE0FAC">
        <w:rPr>
          <w:i/>
        </w:rPr>
        <w:t>Id</w:t>
      </w:r>
      <w:r w:rsidRPr="00EE0FAC">
        <w:t xml:space="preserve">. The CDC identifies the mutations from one variant to another and examines their impact by comparing differences in real-world characteristics, such as the effectiveness of vaccines or treatments. </w:t>
      </w:r>
      <w:r w:rsidRPr="00EE0FAC">
        <w:rPr>
          <w:i/>
        </w:rPr>
        <w:t>Id</w:t>
      </w:r>
      <w:r w:rsidRPr="00EE0FAC">
        <w:t xml:space="preserve">. On October 20, 2022, COVID Data Tracker added a new Variant Summary page, which summarizes the three systems used by the CDC to monitor the variants: the National SARS-CoV-2 Strain Surveillance program, CDC’s National Wastewater Surveillance Program, and CDC’s Traveler-based SARS-CoV-2 Genomic Surveillance Program. </w:t>
      </w:r>
      <w:r w:rsidRPr="00EE0FAC">
        <w:rPr>
          <w:i/>
        </w:rPr>
        <w:t>Id</w:t>
      </w:r>
      <w:r w:rsidRPr="00EE0FAC">
        <w:t>.</w:t>
      </w:r>
    </w:p>
  </w:footnote>
  <w:footnote w:id="4">
    <w:p w14:paraId="086C3C2C" w14:textId="27976278" w:rsidR="00B86DF5" w:rsidRPr="00EE0FAC" w:rsidRDefault="00B86DF5">
      <w:pPr>
        <w:pStyle w:val="FootnoteText"/>
      </w:pPr>
      <w:r w:rsidRPr="00EE0FAC">
        <w:rPr>
          <w:rStyle w:val="FootnoteReference"/>
        </w:rPr>
        <w:footnoteRef/>
      </w:r>
      <w:r w:rsidRPr="00EE0FAC">
        <w:t xml:space="preserve"> </w:t>
      </w:r>
      <w:r w:rsidRPr="00EE0FAC">
        <w:rPr>
          <w:i/>
        </w:rPr>
        <w:t>Summary of Variant Surveillance</w:t>
      </w:r>
      <w:r w:rsidRPr="00EE0FAC">
        <w:t xml:space="preserve">, CDC, </w:t>
      </w:r>
      <w:hyperlink r:id="rId2" w:anchor="variant-summary" w:history="1">
        <w:r w:rsidRPr="00EE0FAC">
          <w:rPr>
            <w:rStyle w:val="Hyperlink"/>
            <w:color w:val="auto"/>
          </w:rPr>
          <w:t>https://covid.cdc.gov/covid-data-tracker/#variant-summary</w:t>
        </w:r>
      </w:hyperlink>
      <w:r w:rsidRPr="00EE0FAC">
        <w:t xml:space="preserve">. </w:t>
      </w:r>
    </w:p>
  </w:footnote>
  <w:footnote w:id="5">
    <w:p w14:paraId="3BD09027" w14:textId="523E9B3E" w:rsidR="3532FCC6" w:rsidRPr="00EE0FAC" w:rsidRDefault="3532FCC6">
      <w:pPr>
        <w:rPr>
          <w:sz w:val="20"/>
          <w:szCs w:val="20"/>
        </w:rPr>
      </w:pPr>
      <w:r w:rsidRPr="00EE0FAC">
        <w:rPr>
          <w:rStyle w:val="FootnoteReference"/>
          <w:sz w:val="20"/>
          <w:szCs w:val="20"/>
        </w:rPr>
        <w:footnoteRef/>
      </w:r>
      <w:r w:rsidRPr="00EE0FAC">
        <w:rPr>
          <w:sz w:val="20"/>
          <w:szCs w:val="20"/>
        </w:rPr>
        <w:t xml:space="preserve"> </w:t>
      </w:r>
      <w:r w:rsidRPr="00EE0FAC">
        <w:rPr>
          <w:i/>
          <w:iCs/>
          <w:sz w:val="20"/>
          <w:szCs w:val="20"/>
        </w:rPr>
        <w:t>Id</w:t>
      </w:r>
      <w:r w:rsidRPr="00EE0FAC">
        <w:rPr>
          <w:sz w:val="20"/>
          <w:szCs w:val="20"/>
        </w:rPr>
        <w:t>.</w:t>
      </w:r>
    </w:p>
  </w:footnote>
  <w:footnote w:id="6">
    <w:p w14:paraId="6380A3C5" w14:textId="34C45F46" w:rsidR="001F0CA0" w:rsidRPr="001F0CA0" w:rsidRDefault="001F0CA0">
      <w:pPr>
        <w:pStyle w:val="FootnoteText"/>
      </w:pPr>
      <w:r>
        <w:rPr>
          <w:rStyle w:val="FootnoteReference"/>
        </w:rPr>
        <w:footnoteRef/>
      </w:r>
      <w:r>
        <w:t xml:space="preserve"> </w:t>
      </w:r>
      <w:r>
        <w:rPr>
          <w:i/>
        </w:rPr>
        <w:t>Id</w:t>
      </w:r>
      <w:r>
        <w:t>.</w:t>
      </w:r>
    </w:p>
  </w:footnote>
  <w:footnote w:id="7">
    <w:p w14:paraId="36E3E587" w14:textId="185802FA" w:rsidR="00B87F50" w:rsidRPr="00B87F50" w:rsidRDefault="00B87F50">
      <w:pPr>
        <w:pStyle w:val="FootnoteText"/>
      </w:pPr>
      <w:r>
        <w:rPr>
          <w:rStyle w:val="FootnoteReference"/>
        </w:rPr>
        <w:footnoteRef/>
      </w:r>
      <w:r>
        <w:t xml:space="preserve"> Sara Berg, </w:t>
      </w:r>
      <w:r>
        <w:rPr>
          <w:i/>
        </w:rPr>
        <w:t>XBB.1.5 Omicron subvariant: Questions patients may have</w:t>
      </w:r>
      <w:r>
        <w:t xml:space="preserve">, AMA (Feb. 2, 2023), </w:t>
      </w:r>
      <w:hyperlink r:id="rId3" w:history="1">
        <w:r w:rsidRPr="008A004B">
          <w:rPr>
            <w:rStyle w:val="Hyperlink"/>
          </w:rPr>
          <w:t>https://www.ama-assn.org/delivering-care/public-health/xbb15-omicron-subvariant-questions-patients-may-have</w:t>
        </w:r>
      </w:hyperlink>
      <w:r>
        <w:t xml:space="preserve">. </w:t>
      </w:r>
    </w:p>
  </w:footnote>
  <w:footnote w:id="8">
    <w:p w14:paraId="1E4F9019" w14:textId="3C06F534" w:rsidR="00B87F50" w:rsidRPr="00B87F50" w:rsidRDefault="00B87F50">
      <w:pPr>
        <w:pStyle w:val="FootnoteText"/>
      </w:pPr>
      <w:r>
        <w:rPr>
          <w:rStyle w:val="FootnoteReference"/>
        </w:rPr>
        <w:footnoteRef/>
      </w:r>
      <w:r>
        <w:t xml:space="preserve"> </w:t>
      </w:r>
      <w:r>
        <w:rPr>
          <w:i/>
        </w:rPr>
        <w:t>Id</w:t>
      </w:r>
      <w:r>
        <w:t>.</w:t>
      </w:r>
    </w:p>
  </w:footnote>
  <w:footnote w:id="9">
    <w:p w14:paraId="3A037E99" w14:textId="696DAB11" w:rsidR="00B87F50" w:rsidRPr="00B87F50" w:rsidRDefault="00B87F50">
      <w:pPr>
        <w:pStyle w:val="FootnoteText"/>
      </w:pPr>
      <w:r>
        <w:rPr>
          <w:rStyle w:val="FootnoteReference"/>
        </w:rPr>
        <w:footnoteRef/>
      </w:r>
      <w:r>
        <w:t xml:space="preserve"> </w:t>
      </w:r>
      <w:r>
        <w:rPr>
          <w:i/>
        </w:rPr>
        <w:t>Id</w:t>
      </w:r>
      <w:r>
        <w:t>.</w:t>
      </w:r>
    </w:p>
  </w:footnote>
  <w:footnote w:id="10">
    <w:p w14:paraId="7560248E" w14:textId="486AA5ED" w:rsidR="00B87F50" w:rsidRPr="00B87F50" w:rsidRDefault="00B87F50">
      <w:pPr>
        <w:pStyle w:val="FootnoteText"/>
      </w:pPr>
      <w:r>
        <w:rPr>
          <w:rStyle w:val="FootnoteReference"/>
        </w:rPr>
        <w:footnoteRef/>
      </w:r>
      <w:r>
        <w:t xml:space="preserve"> </w:t>
      </w:r>
      <w:r>
        <w:rPr>
          <w:i/>
        </w:rPr>
        <w:t>Id</w:t>
      </w:r>
      <w:r>
        <w:t>.</w:t>
      </w:r>
    </w:p>
  </w:footnote>
  <w:footnote w:id="11">
    <w:p w14:paraId="3D30CE5B" w14:textId="22061547" w:rsidR="001F0CA0" w:rsidRPr="00EE0FAC" w:rsidRDefault="001F0CA0" w:rsidP="001F0CA0">
      <w:pPr>
        <w:pStyle w:val="FootnoteText"/>
      </w:pPr>
      <w:r w:rsidRPr="00EE0FAC">
        <w:rPr>
          <w:rStyle w:val="FootnoteReference"/>
        </w:rPr>
        <w:footnoteRef/>
      </w:r>
      <w:r w:rsidRPr="00EE0FAC">
        <w:t xml:space="preserve"> </w:t>
      </w:r>
      <w:r w:rsidR="00B87F50" w:rsidRPr="00EE0FAC">
        <w:rPr>
          <w:i/>
        </w:rPr>
        <w:t>Summary of Variant Surveillance</w:t>
      </w:r>
      <w:r w:rsidR="00B87F50" w:rsidRPr="00EE0FAC">
        <w:t xml:space="preserve">, CDC, </w:t>
      </w:r>
      <w:hyperlink r:id="rId4" w:anchor="variant-summary" w:history="1">
        <w:r w:rsidR="00B87F50" w:rsidRPr="00EE0FAC">
          <w:rPr>
            <w:rStyle w:val="Hyperlink"/>
            <w:color w:val="auto"/>
          </w:rPr>
          <w:t>https://covid.cdc.gov/covid-data-tracker/#variant-summary</w:t>
        </w:r>
      </w:hyperlink>
      <w:r w:rsidR="00B87F50" w:rsidRPr="00EE0FAC">
        <w:t>.</w:t>
      </w:r>
    </w:p>
  </w:footnote>
  <w:footnote w:id="12">
    <w:p w14:paraId="2F682729" w14:textId="4561896F" w:rsidR="00F75F5F" w:rsidRPr="00EE0FAC" w:rsidRDefault="00F75F5F">
      <w:pPr>
        <w:pStyle w:val="FootnoteText"/>
      </w:pPr>
      <w:r w:rsidRPr="00EE0FAC">
        <w:rPr>
          <w:rStyle w:val="FootnoteReference"/>
        </w:rPr>
        <w:footnoteRef/>
      </w:r>
      <w:r w:rsidRPr="00EE0FAC">
        <w:t xml:space="preserve"> </w:t>
      </w:r>
      <w:r w:rsidR="00167F32" w:rsidRPr="00EE0FAC">
        <w:rPr>
          <w:i/>
        </w:rPr>
        <w:t>COVID-19 Vaccine Effectiveness Monthly Update</w:t>
      </w:r>
      <w:r w:rsidR="00167F32" w:rsidRPr="00EE0FAC">
        <w:t>, CDC (Nov. 10, 2022)</w:t>
      </w:r>
      <w:r w:rsidR="00EE0FAC">
        <w:t>,</w:t>
      </w:r>
      <w:r w:rsidR="00167F32" w:rsidRPr="00EE0FAC">
        <w:t xml:space="preserve"> </w:t>
      </w:r>
      <w:hyperlink r:id="rId5" w:anchor="vaccine-effectiveness" w:history="1">
        <w:r w:rsidR="00167F32" w:rsidRPr="00EE0FAC">
          <w:rPr>
            <w:rStyle w:val="Hyperlink"/>
            <w:color w:val="auto"/>
          </w:rPr>
          <w:t>https://covid.cdc.gov/covid-data-tracker/ - vaccine-effectiveness</w:t>
        </w:r>
      </w:hyperlink>
      <w:r w:rsidR="00167F32" w:rsidRPr="00EE0FAC">
        <w:rPr>
          <w:rStyle w:val="Hyperlink"/>
          <w:color w:val="auto"/>
          <w:u w:val="none"/>
        </w:rPr>
        <w:t>.</w:t>
      </w:r>
    </w:p>
  </w:footnote>
  <w:footnote w:id="13">
    <w:p w14:paraId="45F53235" w14:textId="618DD73D" w:rsidR="00C045E9" w:rsidRPr="00EE0FAC" w:rsidRDefault="00C045E9">
      <w:pPr>
        <w:pStyle w:val="FootnoteText"/>
      </w:pPr>
      <w:r w:rsidRPr="00EE0FAC">
        <w:rPr>
          <w:rStyle w:val="FootnoteReference"/>
        </w:rPr>
        <w:footnoteRef/>
      </w:r>
      <w:r w:rsidRPr="00EE0FAC">
        <w:t xml:space="preserve"> </w:t>
      </w:r>
      <w:r w:rsidR="00167F32" w:rsidRPr="00EE0FAC">
        <w:rPr>
          <w:i/>
        </w:rPr>
        <w:t>CDC Recommends the First Updated COVID-19 Booster</w:t>
      </w:r>
      <w:r w:rsidR="00167F32" w:rsidRPr="00EE0FAC">
        <w:t xml:space="preserve">, CDC (Sept. 1, 2022), </w:t>
      </w:r>
      <w:hyperlink r:id="rId6" w:history="1">
        <w:r w:rsidR="00EE0FAC">
          <w:rPr>
            <w:rStyle w:val="Hyperlink"/>
            <w:color w:val="auto"/>
          </w:rPr>
          <w:t>https://www.cdc.gov/media/releases/2022/s0901-covid-19-booster.html</w:t>
        </w:r>
      </w:hyperlink>
      <w:r w:rsidR="00EE0FAC">
        <w:rPr>
          <w:rStyle w:val="Hyperlink"/>
          <w:color w:val="auto"/>
          <w:u w:val="none"/>
        </w:rPr>
        <w:t>.</w:t>
      </w:r>
    </w:p>
  </w:footnote>
  <w:footnote w:id="14">
    <w:p w14:paraId="3894AFB2" w14:textId="00DFD67B" w:rsidR="3532FCC6" w:rsidRPr="00EE0FAC" w:rsidRDefault="3532FCC6" w:rsidP="3532FCC6">
      <w:pPr>
        <w:rPr>
          <w:sz w:val="20"/>
          <w:szCs w:val="20"/>
        </w:rPr>
      </w:pPr>
      <w:r w:rsidRPr="00EE0FAC">
        <w:rPr>
          <w:rStyle w:val="FootnoteReference"/>
          <w:sz w:val="20"/>
          <w:szCs w:val="20"/>
        </w:rPr>
        <w:footnoteRef/>
      </w:r>
      <w:r w:rsidRPr="00EE0FAC">
        <w:rPr>
          <w:sz w:val="20"/>
          <w:szCs w:val="20"/>
        </w:rPr>
        <w:t xml:space="preserve"> </w:t>
      </w:r>
      <w:r w:rsidR="00EE0FAC" w:rsidRPr="00EE0FAC">
        <w:rPr>
          <w:i/>
          <w:sz w:val="20"/>
          <w:szCs w:val="20"/>
        </w:rPr>
        <w:t>Variant Roundup</w:t>
      </w:r>
      <w:r w:rsidR="00DC40B9">
        <w:rPr>
          <w:sz w:val="20"/>
          <w:szCs w:val="20"/>
        </w:rPr>
        <w:t>, CDC (Feb. 10</w:t>
      </w:r>
      <w:r w:rsidR="00EE0FAC" w:rsidRPr="00EE0FAC">
        <w:rPr>
          <w:sz w:val="20"/>
          <w:szCs w:val="20"/>
        </w:rPr>
        <w:t xml:space="preserve">, 2023), </w:t>
      </w:r>
      <w:hyperlink r:id="rId7">
        <w:r w:rsidR="00EE0FAC" w:rsidRPr="00EE0FAC">
          <w:rPr>
            <w:rStyle w:val="Hyperlink"/>
            <w:color w:val="auto"/>
            <w:sz w:val="20"/>
            <w:szCs w:val="20"/>
          </w:rPr>
          <w:t>https://www.cdc.gov/coronavirus/2019-ncov/covid-data/covidview/index.html</w:t>
        </w:r>
      </w:hyperlink>
      <w:r w:rsidR="00EE0FAC" w:rsidRPr="00EE0FAC">
        <w:rPr>
          <w:rStyle w:val="Hyperlink"/>
          <w:color w:val="auto"/>
          <w:sz w:val="20"/>
          <w:szCs w:val="20"/>
          <w:u w:val="none"/>
        </w:rPr>
        <w:t>.</w:t>
      </w:r>
    </w:p>
  </w:footnote>
  <w:footnote w:id="15">
    <w:p w14:paraId="574B1E27" w14:textId="2172046F" w:rsidR="00531F9A" w:rsidRPr="00EE0FAC" w:rsidRDefault="00531F9A">
      <w:pPr>
        <w:pStyle w:val="FootnoteText"/>
      </w:pPr>
      <w:r w:rsidRPr="00EE0FAC">
        <w:rPr>
          <w:rStyle w:val="FootnoteReference"/>
        </w:rPr>
        <w:footnoteRef/>
      </w:r>
      <w:r w:rsidRPr="00EE0FAC">
        <w:t xml:space="preserve"> </w:t>
      </w:r>
      <w:r w:rsidRPr="00EE0FAC">
        <w:rPr>
          <w:i/>
        </w:rPr>
        <w:t>Id.</w:t>
      </w:r>
    </w:p>
  </w:footnote>
  <w:footnote w:id="16">
    <w:p w14:paraId="4A6A1177" w14:textId="26E6D437" w:rsidR="002E5CF7" w:rsidRPr="00EE0FAC" w:rsidRDefault="002E5CF7">
      <w:pPr>
        <w:pStyle w:val="FootnoteText"/>
      </w:pPr>
      <w:r w:rsidRPr="00EE0FAC">
        <w:rPr>
          <w:rStyle w:val="FootnoteReference"/>
        </w:rPr>
        <w:footnoteRef/>
      </w:r>
      <w:r w:rsidRPr="00EE0FAC">
        <w:t xml:space="preserve"> </w:t>
      </w:r>
      <w:r w:rsidRPr="00EE0FAC">
        <w:rPr>
          <w:i/>
        </w:rPr>
        <w:t>Id.</w:t>
      </w:r>
    </w:p>
  </w:footnote>
  <w:footnote w:id="17">
    <w:p w14:paraId="532225AD" w14:textId="4668AD5A" w:rsidR="3532FCC6" w:rsidRPr="00EE0FAC" w:rsidRDefault="3532FCC6" w:rsidP="3532FCC6">
      <w:pPr>
        <w:rPr>
          <w:sz w:val="20"/>
          <w:szCs w:val="20"/>
        </w:rPr>
      </w:pPr>
      <w:r w:rsidRPr="00EE0FAC">
        <w:rPr>
          <w:rStyle w:val="FootnoteReference"/>
          <w:sz w:val="20"/>
          <w:szCs w:val="20"/>
        </w:rPr>
        <w:footnoteRef/>
      </w:r>
      <w:r w:rsidRPr="00EE0FAC">
        <w:rPr>
          <w:sz w:val="20"/>
          <w:szCs w:val="20"/>
        </w:rPr>
        <w:t xml:space="preserve"> </w:t>
      </w:r>
      <w:r w:rsidR="00531F9A" w:rsidRPr="00EE0FAC">
        <w:rPr>
          <w:i/>
          <w:sz w:val="20"/>
          <w:szCs w:val="20"/>
        </w:rPr>
        <w:t>Id.</w:t>
      </w:r>
    </w:p>
  </w:footnote>
  <w:footnote w:id="18">
    <w:p w14:paraId="71608041" w14:textId="753A7087" w:rsidR="00864F34" w:rsidRDefault="00864F34">
      <w:pPr>
        <w:pStyle w:val="FootnoteText"/>
      </w:pPr>
      <w:r>
        <w:rPr>
          <w:rStyle w:val="FootnoteReference"/>
        </w:rPr>
        <w:footnoteRef/>
      </w:r>
      <w:r>
        <w:t xml:space="preserve"> </w:t>
      </w:r>
      <w:r>
        <w:rPr>
          <w:i/>
        </w:rPr>
        <w:t>COVID-19 Treatments and Medications</w:t>
      </w:r>
      <w:r>
        <w:t xml:space="preserve">, CDC (updated Feb. 10, 2023), </w:t>
      </w:r>
      <w:hyperlink r:id="rId8" w:history="1">
        <w:r w:rsidRPr="008A004B">
          <w:rPr>
            <w:rStyle w:val="Hyperlink"/>
          </w:rPr>
          <w:t>https://www.cdc.gov/coronavirus/2019-ncov/your-health/treatments-for-severe-illness.html</w:t>
        </w:r>
      </w:hyperlink>
      <w:r>
        <w:t>.</w:t>
      </w:r>
    </w:p>
  </w:footnote>
  <w:footnote w:id="19">
    <w:p w14:paraId="2736B0BF" w14:textId="4531E399" w:rsidR="00864F34" w:rsidRPr="00864F34" w:rsidRDefault="00864F34">
      <w:pPr>
        <w:pStyle w:val="FootnoteText"/>
      </w:pPr>
      <w:r>
        <w:rPr>
          <w:rStyle w:val="FootnoteReference"/>
        </w:rPr>
        <w:footnoteRef/>
      </w:r>
      <w:r>
        <w:t xml:space="preserve"> </w:t>
      </w:r>
      <w:r>
        <w:rPr>
          <w:i/>
        </w:rPr>
        <w:t>What Are the Possible Treatment Options for COVID-19?</w:t>
      </w:r>
      <w:r>
        <w:t xml:space="preserve">, HHS, </w:t>
      </w:r>
      <w:hyperlink r:id="rId9" w:anchor="oral-antivirals" w:history="1">
        <w:r w:rsidRPr="008A004B">
          <w:rPr>
            <w:rStyle w:val="Hyperlink"/>
          </w:rPr>
          <w:t>https://aspr.hhs.gov/COVID-19/Treatments/Pages/Possible-Treatment-Options-for-COVID19.aspx#oral-antivirals</w:t>
        </w:r>
      </w:hyperlink>
      <w:r>
        <w:t xml:space="preserve">. Paxlovid is meant for adults and children 12 years and older who weigh at least 88 pounds and who are at high risk for getting very sick from COVID-19 and who have mild to moderate symptoms. </w:t>
      </w:r>
      <w:r>
        <w:rPr>
          <w:i/>
        </w:rPr>
        <w:t>Id</w:t>
      </w:r>
      <w:r>
        <w:t xml:space="preserve">. Lagevrio is for adults 18 years and older who are at high risk for getting very sick from COVID-19 and who do not have access to other treatment options, or other treatment options are not appropriate for them and who have mild to moderate symptoms. </w:t>
      </w:r>
      <w:r>
        <w:rPr>
          <w:i/>
        </w:rPr>
        <w:t>Id</w:t>
      </w:r>
      <w:r>
        <w:t xml:space="preserve">. Those who test positive must use oral antivirals as soon as possible – no later than 5 days after the first symptoms appear. </w:t>
      </w:r>
      <w:r>
        <w:rPr>
          <w:i/>
        </w:rPr>
        <w:t>Id</w:t>
      </w:r>
      <w:r>
        <w:t xml:space="preserve">. Pills must be taken 2 times a day for 5 days, and are available with a prescription from health care providers and Paxlovid may be prescribed by a state-licensed pharmacist. </w:t>
      </w:r>
      <w:r>
        <w:rPr>
          <w:i/>
        </w:rPr>
        <w:t>Id</w:t>
      </w:r>
      <w:r>
        <w:t>.</w:t>
      </w:r>
    </w:p>
  </w:footnote>
  <w:footnote w:id="20">
    <w:p w14:paraId="0521DD03" w14:textId="2BEABC44" w:rsidR="00864F34" w:rsidRDefault="00864F34">
      <w:pPr>
        <w:pStyle w:val="FootnoteText"/>
      </w:pPr>
      <w:r>
        <w:rPr>
          <w:rStyle w:val="FootnoteReference"/>
        </w:rPr>
        <w:footnoteRef/>
      </w:r>
      <w:r>
        <w:t xml:space="preserve"> </w:t>
      </w:r>
      <w:r>
        <w:rPr>
          <w:i/>
        </w:rPr>
        <w:t>COVID-19 Treatments and Medications</w:t>
      </w:r>
      <w:r>
        <w:t xml:space="preserve">, CDC (updated Feb. 10, 2023), </w:t>
      </w:r>
      <w:hyperlink r:id="rId10" w:history="1">
        <w:r w:rsidRPr="008A004B">
          <w:rPr>
            <w:rStyle w:val="Hyperlink"/>
          </w:rPr>
          <w:t>https://www.cdc.gov/coronavirus/2019-ncov/your-health/treatments-for-severe-illness.html</w:t>
        </w:r>
      </w:hyperlink>
      <w:r>
        <w:t>.</w:t>
      </w:r>
    </w:p>
  </w:footnote>
  <w:footnote w:id="21">
    <w:p w14:paraId="71B81411" w14:textId="3C82AE13" w:rsidR="00864F34" w:rsidRPr="00864F34" w:rsidRDefault="00864F34">
      <w:pPr>
        <w:pStyle w:val="FootnoteText"/>
      </w:pPr>
      <w:r>
        <w:rPr>
          <w:rStyle w:val="FootnoteReference"/>
        </w:rPr>
        <w:footnoteRef/>
      </w:r>
      <w:r>
        <w:t xml:space="preserve"> </w:t>
      </w:r>
      <w:r>
        <w:rPr>
          <w:i/>
        </w:rPr>
        <w:t>Id</w:t>
      </w:r>
      <w:r>
        <w:t xml:space="preserve">. Remdesivir must be started as soon as possible and begin within 7 days of when symptoms start. </w:t>
      </w:r>
      <w:r>
        <w:rPr>
          <w:i/>
        </w:rPr>
        <w:t>Id</w:t>
      </w:r>
      <w:r>
        <w:t xml:space="preserve">. It may be given to both adults and children. </w:t>
      </w:r>
      <w:r>
        <w:rPr>
          <w:i/>
        </w:rPr>
        <w:t>Id</w:t>
      </w:r>
      <w:r>
        <w:t>.</w:t>
      </w:r>
    </w:p>
  </w:footnote>
  <w:footnote w:id="22">
    <w:p w14:paraId="078F2233" w14:textId="63C3A153" w:rsidR="00864F34" w:rsidRPr="00EE0FAC" w:rsidRDefault="00864F34" w:rsidP="00864F34">
      <w:pPr>
        <w:rPr>
          <w:sz w:val="20"/>
          <w:szCs w:val="20"/>
        </w:rPr>
      </w:pPr>
      <w:r w:rsidRPr="00EE0FAC">
        <w:rPr>
          <w:rStyle w:val="FootnoteReference"/>
          <w:sz w:val="20"/>
          <w:szCs w:val="20"/>
        </w:rPr>
        <w:footnoteRef/>
      </w:r>
      <w:r w:rsidRPr="00EE0FAC">
        <w:rPr>
          <w:sz w:val="20"/>
          <w:szCs w:val="20"/>
        </w:rPr>
        <w:t xml:space="preserve"> Per the U.S. Department of Health &amp; Human Services, Evusheld is a long-acting antibody therapeutic. Prior to January 26, 2023, the drug had been authorized by the </w:t>
      </w:r>
      <w:r w:rsidR="00936A31">
        <w:rPr>
          <w:sz w:val="20"/>
          <w:szCs w:val="20"/>
        </w:rPr>
        <w:t>FDA</w:t>
      </w:r>
      <w:r w:rsidRPr="00EE0FAC">
        <w:rPr>
          <w:sz w:val="20"/>
          <w:szCs w:val="20"/>
        </w:rPr>
        <w:t xml:space="preserve"> for emergency use as “an option for pre-exposure prophylaxis, in other words as preventive protection from COVID-19.” </w:t>
      </w:r>
      <w:r w:rsidRPr="00EE0FAC">
        <w:rPr>
          <w:i/>
          <w:sz w:val="20"/>
          <w:szCs w:val="20"/>
        </w:rPr>
        <w:t>Evusheld</w:t>
      </w:r>
      <w:r w:rsidRPr="00EE0FAC">
        <w:rPr>
          <w:sz w:val="20"/>
          <w:szCs w:val="20"/>
        </w:rPr>
        <w:t xml:space="preserve">, U.S. Department of Health &amp; Human Services, </w:t>
      </w:r>
      <w:hyperlink r:id="rId11" w:history="1">
        <w:r w:rsidRPr="00EE0FAC">
          <w:rPr>
            <w:rStyle w:val="Hyperlink"/>
            <w:color w:val="auto"/>
            <w:sz w:val="20"/>
            <w:szCs w:val="20"/>
          </w:rPr>
          <w:t>https://aspr.hhs.gov/COVID-19/Therapeutics/Products/Evusheld/Pages/default.aspx</w:t>
        </w:r>
      </w:hyperlink>
      <w:r w:rsidRPr="00EE0FAC">
        <w:rPr>
          <w:sz w:val="20"/>
          <w:szCs w:val="20"/>
        </w:rPr>
        <w:t xml:space="preserve">. </w:t>
      </w:r>
    </w:p>
  </w:footnote>
  <w:footnote w:id="23">
    <w:p w14:paraId="191FB1DB" w14:textId="77777777" w:rsidR="00864F34" w:rsidRPr="00EE0FAC" w:rsidRDefault="00864F34" w:rsidP="00864F34">
      <w:pPr>
        <w:rPr>
          <w:sz w:val="20"/>
          <w:szCs w:val="20"/>
        </w:rPr>
      </w:pPr>
      <w:r w:rsidRPr="00EE0FAC">
        <w:rPr>
          <w:rStyle w:val="FootnoteReference"/>
          <w:sz w:val="20"/>
          <w:szCs w:val="20"/>
        </w:rPr>
        <w:footnoteRef/>
      </w:r>
      <w:r w:rsidRPr="00EE0FAC">
        <w:rPr>
          <w:sz w:val="20"/>
          <w:szCs w:val="20"/>
        </w:rPr>
        <w:t xml:space="preserve"> </w:t>
      </w:r>
      <w:r w:rsidRPr="00EE0FAC">
        <w:rPr>
          <w:i/>
          <w:sz w:val="20"/>
          <w:szCs w:val="20"/>
        </w:rPr>
        <w:t>Variant Roundup</w:t>
      </w:r>
      <w:r w:rsidRPr="00EE0FAC">
        <w:rPr>
          <w:sz w:val="20"/>
          <w:szCs w:val="20"/>
        </w:rPr>
        <w:t xml:space="preserve">, CDC (Feb. 3, 2023), </w:t>
      </w:r>
      <w:hyperlink r:id="rId12">
        <w:r w:rsidRPr="00EE0FAC">
          <w:rPr>
            <w:rStyle w:val="Hyperlink"/>
            <w:color w:val="auto"/>
            <w:sz w:val="20"/>
            <w:szCs w:val="20"/>
          </w:rPr>
          <w:t>https://www.cdc.gov/coronavirus/2019-ncov/covid-data/covidview/index.html</w:t>
        </w:r>
      </w:hyperlink>
      <w:r w:rsidRPr="00EE0FAC">
        <w:rPr>
          <w:rStyle w:val="Hyperlink"/>
          <w:color w:val="auto"/>
          <w:sz w:val="20"/>
          <w:szCs w:val="20"/>
          <w:u w:val="none"/>
        </w:rPr>
        <w:t>.</w:t>
      </w:r>
    </w:p>
  </w:footnote>
  <w:footnote w:id="24">
    <w:p w14:paraId="6FF6E24B" w14:textId="77777777" w:rsidR="00864F34" w:rsidRPr="00EE0FAC" w:rsidRDefault="00864F34" w:rsidP="00864F34">
      <w:pPr>
        <w:rPr>
          <w:sz w:val="20"/>
          <w:szCs w:val="20"/>
        </w:rPr>
      </w:pPr>
      <w:r w:rsidRPr="00EE0FAC">
        <w:rPr>
          <w:rStyle w:val="FootnoteReference"/>
          <w:sz w:val="20"/>
          <w:szCs w:val="20"/>
        </w:rPr>
        <w:footnoteRef/>
      </w:r>
      <w:r w:rsidRPr="00EE0FAC">
        <w:rPr>
          <w:sz w:val="20"/>
          <w:szCs w:val="20"/>
        </w:rPr>
        <w:t xml:space="preserve"> </w:t>
      </w:r>
      <w:r w:rsidRPr="00EE0FAC">
        <w:rPr>
          <w:i/>
          <w:sz w:val="20"/>
          <w:szCs w:val="20"/>
        </w:rPr>
        <w:t>Id.</w:t>
      </w:r>
    </w:p>
  </w:footnote>
  <w:footnote w:id="25">
    <w:p w14:paraId="4E597008" w14:textId="2A7C4CA2" w:rsidR="00B86DF5" w:rsidRPr="00EE0FAC" w:rsidRDefault="00B86DF5">
      <w:pPr>
        <w:pStyle w:val="FootnoteText"/>
      </w:pPr>
      <w:r w:rsidRPr="00EE0FAC">
        <w:rPr>
          <w:rStyle w:val="FootnoteReference"/>
        </w:rPr>
        <w:footnoteRef/>
      </w:r>
      <w:r w:rsidRPr="00EE0FAC">
        <w:t xml:space="preserve"> </w:t>
      </w:r>
      <w:r w:rsidRPr="00EE0FAC">
        <w:rPr>
          <w:i/>
        </w:rPr>
        <w:t>COVID-19 Community Level for New York County, New York</w:t>
      </w:r>
      <w:r w:rsidRPr="00EE0FAC">
        <w:t xml:space="preserve">, CDC, </w:t>
      </w:r>
      <w:hyperlink r:id="rId13" w:anchor="county-view?list_select_state=New+York&amp;data-type=CommunityLevels&amp;null=CommunityLevels&amp;list_select_county=36061" w:history="1">
        <w:r w:rsidRPr="00EE0FAC">
          <w:rPr>
            <w:rStyle w:val="Hyperlink"/>
            <w:color w:val="auto"/>
          </w:rPr>
          <w:t>https://covid.cdc.gov/covid-data-tracker/#county-view?list_select_state=New+York&amp;data-type=CommunityLevels&amp;null=CommunityLevels&amp;list_select_county=36061</w:t>
        </w:r>
      </w:hyperlink>
      <w:r w:rsidRPr="00EE0FAC">
        <w:t xml:space="preserve">. </w:t>
      </w:r>
    </w:p>
  </w:footnote>
  <w:footnote w:id="26">
    <w:p w14:paraId="4ED6CCFC" w14:textId="0EEBFFB9" w:rsidR="00B86DF5" w:rsidRPr="00EE0FAC" w:rsidRDefault="00B86DF5">
      <w:pPr>
        <w:pStyle w:val="FootnoteText"/>
      </w:pPr>
      <w:r w:rsidRPr="00EE0FAC">
        <w:rPr>
          <w:rStyle w:val="FootnoteReference"/>
        </w:rPr>
        <w:footnoteRef/>
      </w:r>
      <w:r w:rsidRPr="00EE0FAC">
        <w:t xml:space="preserve"> </w:t>
      </w:r>
      <w:r w:rsidRPr="00EE0FAC">
        <w:rPr>
          <w:i/>
        </w:rPr>
        <w:t>COVID-19 by County</w:t>
      </w:r>
      <w:r w:rsidRPr="00EE0FAC">
        <w:t>, CDC (Aug. 11, 2022)</w:t>
      </w:r>
      <w:r w:rsidR="00EE0FAC">
        <w:t>,</w:t>
      </w:r>
      <w:r w:rsidRPr="00EE0FAC">
        <w:t xml:space="preserve"> </w:t>
      </w:r>
      <w:hyperlink r:id="rId14" w:history="1">
        <w:r w:rsidRPr="00EE0FAC">
          <w:rPr>
            <w:rStyle w:val="Hyperlink"/>
            <w:color w:val="auto"/>
          </w:rPr>
          <w:t>https://www.cdc.gov/coronavirus/2019-ncov/your-health/covid-by-county.html</w:t>
        </w:r>
      </w:hyperlink>
      <w:r w:rsidRPr="00EE0FAC">
        <w:t xml:space="preserve">. </w:t>
      </w:r>
    </w:p>
  </w:footnote>
  <w:footnote w:id="27">
    <w:p w14:paraId="1F25C233" w14:textId="0FB4D332" w:rsidR="003207B7" w:rsidRPr="00EE0FAC" w:rsidRDefault="003207B7">
      <w:pPr>
        <w:pStyle w:val="FootnoteText"/>
      </w:pPr>
      <w:r w:rsidRPr="00EE0FAC">
        <w:rPr>
          <w:rStyle w:val="FootnoteReference"/>
        </w:rPr>
        <w:footnoteRef/>
      </w:r>
      <w:r w:rsidRPr="00EE0FAC">
        <w:t xml:space="preserve"> </w:t>
      </w:r>
      <w:r w:rsidRPr="00357B3E">
        <w:t xml:space="preserve">Community Levels were calculated on </w:t>
      </w:r>
      <w:r w:rsidR="00357B3E" w:rsidRPr="00357B3E">
        <w:t>February 2, 2023</w:t>
      </w:r>
      <w:r w:rsidRPr="00357B3E">
        <w:t xml:space="preserve">. New COVID-19 cases per 100,000 population (weekly total) </w:t>
      </w:r>
      <w:r w:rsidR="009421DF" w:rsidRPr="00357B3E">
        <w:t>were</w:t>
      </w:r>
      <w:r w:rsidRPr="00357B3E">
        <w:t xml:space="preserve"> calculated using data from </w:t>
      </w:r>
      <w:r w:rsidR="00357B3E" w:rsidRPr="00357B3E">
        <w:t>January 26, 2023 to February 1, 2023</w:t>
      </w:r>
      <w:r w:rsidRPr="00357B3E">
        <w:t>. New COVID-19 admissions per 100,00</w:t>
      </w:r>
      <w:r w:rsidR="009421DF" w:rsidRPr="00357B3E">
        <w:t>0 population (7-day total) and p</w:t>
      </w:r>
      <w:r w:rsidRPr="00357B3E">
        <w:t xml:space="preserve">ercent of inpatient beds occupied by COVID-19 patients (7-day average) </w:t>
      </w:r>
      <w:r w:rsidR="009421DF" w:rsidRPr="00357B3E">
        <w:t>were</w:t>
      </w:r>
      <w:r w:rsidRPr="00357B3E">
        <w:t xml:space="preserve"> calculated using data from </w:t>
      </w:r>
      <w:r w:rsidR="00357B3E" w:rsidRPr="00357B3E">
        <w:t>January 25, 2023 to</w:t>
      </w:r>
      <w:r w:rsidRPr="00357B3E">
        <w:t xml:space="preserve"> </w:t>
      </w:r>
      <w:r w:rsidR="00357B3E" w:rsidRPr="00357B3E">
        <w:t>January 25, 2023</w:t>
      </w:r>
      <w:r w:rsidRPr="00357B3E">
        <w:t xml:space="preserve">. </w:t>
      </w:r>
      <w:r w:rsidR="009421DF" w:rsidRPr="00357B3E">
        <w:rPr>
          <w:i/>
        </w:rPr>
        <w:t xml:space="preserve">See </w:t>
      </w:r>
      <w:r w:rsidRPr="00357B3E">
        <w:t>COVID Data Tracker,</w:t>
      </w:r>
      <w:r w:rsidRPr="00EE0FAC">
        <w:t xml:space="preserve"> </w:t>
      </w:r>
      <w:r w:rsidRPr="00EE0FAC">
        <w:rPr>
          <w:i/>
        </w:rPr>
        <w:t>COVID-19 Community Level for New York County, New York</w:t>
      </w:r>
      <w:r w:rsidRPr="00EE0FAC">
        <w:t xml:space="preserve">, CDC, </w:t>
      </w:r>
      <w:hyperlink r:id="rId15" w:anchor="county-view?list_select_state=New+York&amp;data-type=CommunityLevels&amp;null=CommunityLevels&amp;list_select_county=36061" w:history="1">
        <w:r w:rsidRPr="00EE0FAC">
          <w:rPr>
            <w:rStyle w:val="Hyperlink"/>
            <w:color w:val="auto"/>
          </w:rPr>
          <w:t>https://covid.cdc.gov/covid-data-tracker/#county-view?list_select_state=New+York&amp;data-type=CommunityLevels&amp;null=CommunityLevels&amp;list_select_county=36061</w:t>
        </w:r>
      </w:hyperlink>
      <w:r w:rsidRPr="00EE0FAC">
        <w:rPr>
          <w:rStyle w:val="Hyperlink"/>
          <w:color w:val="auto"/>
        </w:rPr>
        <w:t>.</w:t>
      </w:r>
    </w:p>
  </w:footnote>
  <w:footnote w:id="28">
    <w:p w14:paraId="6C771B95" w14:textId="77777777" w:rsidR="00852536" w:rsidRPr="00EE0FAC" w:rsidRDefault="00852536" w:rsidP="00852536">
      <w:pPr>
        <w:pStyle w:val="FootnoteText"/>
      </w:pPr>
      <w:r w:rsidRPr="00EE0FAC">
        <w:rPr>
          <w:rStyle w:val="FootnoteReference"/>
        </w:rPr>
        <w:footnoteRef/>
      </w:r>
      <w:r w:rsidRPr="00EE0FAC">
        <w:t xml:space="preserve"> COVID Data Tracker, </w:t>
      </w:r>
      <w:r w:rsidRPr="00EE0FAC">
        <w:rPr>
          <w:i/>
        </w:rPr>
        <w:t>COVID-19 Community Level for New York County, New York</w:t>
      </w:r>
      <w:r w:rsidRPr="00EE0FAC">
        <w:t xml:space="preserve">, CDC, </w:t>
      </w:r>
      <w:hyperlink r:id="rId16" w:anchor="county-view?list_select_state=New+York&amp;data-type=CommunityLevels&amp;null=CommunityLevels&amp;list_select_county=36061" w:history="1">
        <w:r w:rsidRPr="00EE0FAC">
          <w:rPr>
            <w:rStyle w:val="Hyperlink"/>
          </w:rPr>
          <w:t>https://covid.cdc.gov/covid-data-tracker/#county-view?list_select_state=New+York&amp;data-type=CommunityLevels&amp;null=CommunityLevels&amp;list_select_county=36061</w:t>
        </w:r>
      </w:hyperlink>
      <w:r w:rsidRPr="00EE0FAC">
        <w:rPr>
          <w:rStyle w:val="Hyperlink"/>
        </w:rPr>
        <w:t>.</w:t>
      </w:r>
    </w:p>
  </w:footnote>
  <w:footnote w:id="29">
    <w:p w14:paraId="415C30D4" w14:textId="77777777" w:rsidR="00335C57" w:rsidRPr="008B2EC5" w:rsidRDefault="00335C57" w:rsidP="00335C57">
      <w:pPr>
        <w:pStyle w:val="FootnoteText"/>
      </w:pPr>
      <w:r>
        <w:rPr>
          <w:rStyle w:val="FootnoteReference"/>
        </w:rPr>
        <w:footnoteRef/>
      </w:r>
      <w:r>
        <w:t xml:space="preserve"> </w:t>
      </w:r>
      <w:r>
        <w:rPr>
          <w:i/>
        </w:rPr>
        <w:t>Ventilation</w:t>
      </w:r>
      <w:r>
        <w:t xml:space="preserve">, CDC (Updated June 29, 2022), </w:t>
      </w:r>
      <w:hyperlink r:id="rId17" w:history="1">
        <w:r>
          <w:rPr>
            <w:rStyle w:val="Hyperlink"/>
          </w:rPr>
          <w:t>https://www.cdc.gov/coronavirus/2019-ncov/prevent-getting-sick/Improving-Ventilation-Home.html</w:t>
        </w:r>
      </w:hyperlink>
      <w:r>
        <w:t>.</w:t>
      </w:r>
    </w:p>
  </w:footnote>
  <w:footnote w:id="30">
    <w:p w14:paraId="22423122" w14:textId="23A28A9F" w:rsidR="00335C57" w:rsidRDefault="00335C57">
      <w:pPr>
        <w:pStyle w:val="FootnoteText"/>
      </w:pPr>
      <w:r>
        <w:rPr>
          <w:rStyle w:val="FootnoteReference"/>
        </w:rPr>
        <w:footnoteRef/>
      </w:r>
      <w:r>
        <w:t xml:space="preserve"> </w:t>
      </w:r>
      <w:r w:rsidRPr="00EE0FAC">
        <w:rPr>
          <w:i/>
        </w:rPr>
        <w:t xml:space="preserve">COVID-19: Data, </w:t>
      </w:r>
      <w:r w:rsidRPr="00EE0FAC">
        <w:t xml:space="preserve">NYC Health (last updated </w:t>
      </w:r>
      <w:r>
        <w:t>Feb. 8</w:t>
      </w:r>
      <w:r w:rsidRPr="00EE0FAC">
        <w:t>,</w:t>
      </w:r>
      <w:r>
        <w:t xml:space="preserve"> 2023</w:t>
      </w:r>
      <w:r w:rsidRPr="00EE0FAC">
        <w:t xml:space="preserve">), </w:t>
      </w:r>
      <w:hyperlink r:id="rId18" w:history="1">
        <w:r w:rsidRPr="00EE0FAC">
          <w:rPr>
            <w:rStyle w:val="Hyperlink"/>
            <w:color w:val="auto"/>
          </w:rPr>
          <w:t>https://www1.nyc.gov/site/doh/covid/covid-19-data.page</w:t>
        </w:r>
      </w:hyperlink>
      <w:r w:rsidRPr="00EE0FAC">
        <w:t>.</w:t>
      </w:r>
    </w:p>
  </w:footnote>
  <w:footnote w:id="31">
    <w:p w14:paraId="7638060E" w14:textId="6C337029" w:rsidR="00B86DF5" w:rsidRPr="00EE0FAC" w:rsidRDefault="00B86DF5">
      <w:pPr>
        <w:pStyle w:val="FootnoteText"/>
      </w:pPr>
      <w:r w:rsidRPr="00EE0FAC">
        <w:rPr>
          <w:rStyle w:val="FootnoteReference"/>
        </w:rPr>
        <w:footnoteRef/>
      </w:r>
      <w:r w:rsidRPr="00EE0FAC">
        <w:t xml:space="preserve"> </w:t>
      </w:r>
      <w:r w:rsidRPr="00EE0FAC">
        <w:rPr>
          <w:i/>
        </w:rPr>
        <w:t>COVID-19: Data</w:t>
      </w:r>
      <w:r w:rsidR="000B23BA" w:rsidRPr="00EE0FAC">
        <w:rPr>
          <w:i/>
        </w:rPr>
        <w:t xml:space="preserve">, </w:t>
      </w:r>
      <w:r w:rsidRPr="00EE0FAC">
        <w:t xml:space="preserve">NYC Health (last updated </w:t>
      </w:r>
      <w:r w:rsidR="00EE0FAC">
        <w:t>Feb. 8</w:t>
      </w:r>
      <w:r w:rsidR="000B23BA" w:rsidRPr="00EE0FAC">
        <w:t>,</w:t>
      </w:r>
      <w:r w:rsidR="00EE0FAC">
        <w:t xml:space="preserve"> 2023</w:t>
      </w:r>
      <w:r w:rsidRPr="00EE0FAC">
        <w:t xml:space="preserve">), </w:t>
      </w:r>
      <w:hyperlink r:id="rId19" w:history="1">
        <w:r w:rsidRPr="00EE0FAC">
          <w:rPr>
            <w:rStyle w:val="Hyperlink"/>
            <w:color w:val="auto"/>
          </w:rPr>
          <w:t>https://www1.nyc.gov/site/doh/covid/covid-19-data.page</w:t>
        </w:r>
      </w:hyperlink>
      <w:r w:rsidRPr="00EE0FAC">
        <w:t xml:space="preserve">. </w:t>
      </w:r>
    </w:p>
  </w:footnote>
  <w:footnote w:id="32">
    <w:p w14:paraId="14D8F3F9" w14:textId="77777777" w:rsidR="00E81A76" w:rsidRPr="00EE0FAC" w:rsidRDefault="00E81A76" w:rsidP="00E81A76">
      <w:pPr>
        <w:pStyle w:val="FootnoteText"/>
      </w:pPr>
      <w:r w:rsidRPr="00EE0FAC">
        <w:rPr>
          <w:rStyle w:val="FootnoteReference"/>
        </w:rPr>
        <w:footnoteRef/>
      </w:r>
      <w:r w:rsidRPr="00EE0FAC">
        <w:t xml:space="preserve"> </w:t>
      </w:r>
      <w:r w:rsidRPr="00EE0FAC">
        <w:rPr>
          <w:i/>
        </w:rPr>
        <w:t>Id</w:t>
      </w:r>
      <w:r w:rsidRPr="00EE0FAC">
        <w:t xml:space="preserve">. </w:t>
      </w:r>
    </w:p>
  </w:footnote>
  <w:footnote w:id="33">
    <w:p w14:paraId="267469DC" w14:textId="468C723F" w:rsidR="3532FCC6" w:rsidRPr="00EE0FAC" w:rsidRDefault="3532FCC6">
      <w:pPr>
        <w:rPr>
          <w:sz w:val="20"/>
          <w:szCs w:val="20"/>
        </w:rPr>
      </w:pPr>
      <w:r w:rsidRPr="00EE0FAC">
        <w:rPr>
          <w:rStyle w:val="FootnoteReference"/>
          <w:sz w:val="20"/>
          <w:szCs w:val="20"/>
        </w:rPr>
        <w:footnoteRef/>
      </w:r>
      <w:r w:rsidRPr="00EE0FAC">
        <w:rPr>
          <w:sz w:val="20"/>
          <w:szCs w:val="20"/>
        </w:rPr>
        <w:t xml:space="preserve"> </w:t>
      </w:r>
      <w:r w:rsidR="00EE0FAC">
        <w:rPr>
          <w:i/>
          <w:sz w:val="20"/>
          <w:szCs w:val="20"/>
        </w:rPr>
        <w:t>Tracking Coronavirus in New York City, N.Y.: Latest Map and Case Count</w:t>
      </w:r>
      <w:r w:rsidR="001252E2">
        <w:rPr>
          <w:sz w:val="20"/>
          <w:szCs w:val="20"/>
        </w:rPr>
        <w:t>, NY Times (Feb. 13</w:t>
      </w:r>
      <w:r w:rsidR="00EE0FAC">
        <w:rPr>
          <w:sz w:val="20"/>
          <w:szCs w:val="20"/>
        </w:rPr>
        <w:t xml:space="preserve">, 2023), </w:t>
      </w:r>
      <w:hyperlink r:id="rId20" w:history="1">
        <w:r w:rsidR="00EE0FAC" w:rsidRPr="004E7A7D">
          <w:rPr>
            <w:rStyle w:val="Hyperlink"/>
            <w:sz w:val="20"/>
            <w:szCs w:val="20"/>
          </w:rPr>
          <w:t>https://www.nytimes.com/interactive/2021/us/new-york-city-new-york-covid-cases.html</w:t>
        </w:r>
      </w:hyperlink>
      <w:r w:rsidR="00EE0FAC">
        <w:rPr>
          <w:sz w:val="20"/>
          <w:szCs w:val="20"/>
        </w:rPr>
        <w:t>.</w:t>
      </w:r>
    </w:p>
  </w:footnote>
  <w:footnote w:id="34">
    <w:p w14:paraId="6C6C03E4" w14:textId="4CC05977" w:rsidR="00A35B4C" w:rsidRPr="00EE0FAC" w:rsidRDefault="00A35B4C">
      <w:pPr>
        <w:pStyle w:val="FootnoteText"/>
      </w:pPr>
      <w:r w:rsidRPr="00EE0FAC">
        <w:rPr>
          <w:rStyle w:val="FootnoteReference"/>
        </w:rPr>
        <w:footnoteRef/>
      </w:r>
      <w:r w:rsidRPr="00EE0FAC">
        <w:t xml:space="preserve"> </w:t>
      </w:r>
      <w:r w:rsidR="001252E2">
        <w:rPr>
          <w:i/>
        </w:rPr>
        <w:t>Id</w:t>
      </w:r>
      <w:r w:rsidR="001252E2">
        <w:t>.</w:t>
      </w:r>
      <w:r w:rsidR="00EE0FAC">
        <w:rPr>
          <w:rStyle w:val="Hyperlink"/>
          <w:color w:val="auto"/>
        </w:rPr>
        <w:t xml:space="preserve"> </w:t>
      </w:r>
    </w:p>
  </w:footnote>
  <w:footnote w:id="35">
    <w:p w14:paraId="224EE12C" w14:textId="6C664729" w:rsidR="00E81A76" w:rsidRPr="00E81A76" w:rsidRDefault="00E81A76">
      <w:pPr>
        <w:pStyle w:val="FootnoteText"/>
      </w:pPr>
      <w:r>
        <w:rPr>
          <w:rStyle w:val="FootnoteReference"/>
        </w:rPr>
        <w:footnoteRef/>
      </w:r>
      <w:r>
        <w:t xml:space="preserve"> </w:t>
      </w:r>
      <w:r>
        <w:rPr>
          <w:i/>
        </w:rPr>
        <w:t>Tracking Coronavirus in New York City, N.Y.: Latest Map and Case Count</w:t>
      </w:r>
      <w:r w:rsidR="001252E2">
        <w:t>, NY Times (Feb. 13</w:t>
      </w:r>
      <w:r>
        <w:t xml:space="preserve">, 2023), </w:t>
      </w:r>
      <w:hyperlink r:id="rId21" w:history="1">
        <w:r w:rsidRPr="004E7A7D">
          <w:rPr>
            <w:rStyle w:val="Hyperlink"/>
          </w:rPr>
          <w:t>https://www.nytimes.com/interactive/2021/us/new-york-city-new-york-covid-cases.html</w:t>
        </w:r>
      </w:hyperlink>
      <w:r>
        <w:t>.</w:t>
      </w:r>
    </w:p>
  </w:footnote>
  <w:footnote w:id="36">
    <w:p w14:paraId="7FB0160F" w14:textId="3D00AD9F" w:rsidR="3532FCC6" w:rsidRPr="00EE0FAC" w:rsidRDefault="3532FCC6">
      <w:pPr>
        <w:rPr>
          <w:sz w:val="20"/>
          <w:szCs w:val="20"/>
        </w:rPr>
      </w:pPr>
      <w:r w:rsidRPr="00EE0FAC">
        <w:rPr>
          <w:rStyle w:val="FootnoteReference"/>
          <w:sz w:val="20"/>
          <w:szCs w:val="20"/>
        </w:rPr>
        <w:footnoteRef/>
      </w:r>
      <w:r w:rsidRPr="00EE0FAC">
        <w:rPr>
          <w:sz w:val="20"/>
          <w:szCs w:val="20"/>
        </w:rPr>
        <w:t xml:space="preserve"> </w:t>
      </w:r>
      <w:r w:rsidR="00A35B4C" w:rsidRPr="00EE0FAC">
        <w:rPr>
          <w:i/>
          <w:sz w:val="20"/>
          <w:szCs w:val="20"/>
        </w:rPr>
        <w:t>Id</w:t>
      </w:r>
      <w:r w:rsidR="00A35B4C" w:rsidRPr="00EE0FAC">
        <w:rPr>
          <w:sz w:val="20"/>
          <w:szCs w:val="20"/>
        </w:rPr>
        <w:t>.</w:t>
      </w:r>
    </w:p>
  </w:footnote>
  <w:footnote w:id="37">
    <w:p w14:paraId="1CF45389" w14:textId="497491B5" w:rsidR="00E81A76" w:rsidRPr="00E81A76" w:rsidRDefault="00E81A76">
      <w:pPr>
        <w:pStyle w:val="FootnoteText"/>
      </w:pPr>
      <w:r>
        <w:rPr>
          <w:rStyle w:val="FootnoteReference"/>
        </w:rPr>
        <w:footnoteRef/>
      </w:r>
      <w:r>
        <w:t xml:space="preserve"> </w:t>
      </w:r>
      <w:r>
        <w:rPr>
          <w:i/>
        </w:rPr>
        <w:t>Id</w:t>
      </w:r>
      <w:r>
        <w:t>.</w:t>
      </w:r>
    </w:p>
  </w:footnote>
  <w:footnote w:id="38">
    <w:p w14:paraId="0A1CCF15" w14:textId="291BB132" w:rsidR="00E81A76" w:rsidRPr="00E81A76" w:rsidRDefault="00E81A76">
      <w:pPr>
        <w:pStyle w:val="FootnoteText"/>
      </w:pPr>
      <w:r>
        <w:rPr>
          <w:rStyle w:val="FootnoteReference"/>
        </w:rPr>
        <w:footnoteRef/>
      </w:r>
      <w:r>
        <w:t xml:space="preserve"> </w:t>
      </w:r>
      <w:r>
        <w:rPr>
          <w:i/>
        </w:rPr>
        <w:t>Id</w:t>
      </w:r>
      <w:r>
        <w:t>.</w:t>
      </w:r>
    </w:p>
  </w:footnote>
  <w:footnote w:id="39">
    <w:p w14:paraId="32736716" w14:textId="20B302B9" w:rsidR="3532FCC6" w:rsidRPr="00EE0FAC" w:rsidRDefault="3532FCC6">
      <w:pPr>
        <w:rPr>
          <w:sz w:val="20"/>
          <w:szCs w:val="20"/>
        </w:rPr>
      </w:pPr>
      <w:r w:rsidRPr="00EE0FAC">
        <w:rPr>
          <w:rStyle w:val="FootnoteReference"/>
          <w:sz w:val="20"/>
          <w:szCs w:val="20"/>
        </w:rPr>
        <w:footnoteRef/>
      </w:r>
      <w:r w:rsidR="00613B37" w:rsidRPr="00EE0FAC">
        <w:rPr>
          <w:sz w:val="20"/>
          <w:szCs w:val="20"/>
        </w:rPr>
        <w:t xml:space="preserve"> </w:t>
      </w:r>
      <w:r w:rsidR="00613B37" w:rsidRPr="00EE0FAC">
        <w:rPr>
          <w:i/>
          <w:sz w:val="20"/>
          <w:szCs w:val="20"/>
        </w:rPr>
        <w:t xml:space="preserve">New York City’s Winter 2022-2023 Plan to Address COVID-19 and Other Respiratory Illnesses, </w:t>
      </w:r>
      <w:r w:rsidR="008B2089">
        <w:rPr>
          <w:sz w:val="20"/>
          <w:szCs w:val="20"/>
        </w:rPr>
        <w:t xml:space="preserve">DOHMH (Dec. 22, 2022), </w:t>
      </w:r>
      <w:hyperlink r:id="rId22" w:history="1">
        <w:r w:rsidR="00613B37" w:rsidRPr="00EE0FAC">
          <w:rPr>
            <w:rStyle w:val="Hyperlink"/>
            <w:color w:val="auto"/>
            <w:sz w:val="20"/>
            <w:szCs w:val="20"/>
          </w:rPr>
          <w:t>https://www.nyc.gov/assets/doh/downloads/pdf/covid/covid-19-winter-plan.pdf</w:t>
        </w:r>
      </w:hyperlink>
      <w:r w:rsidR="00613B37" w:rsidRPr="00EE0FAC">
        <w:rPr>
          <w:sz w:val="20"/>
          <w:szCs w:val="20"/>
        </w:rPr>
        <w:t xml:space="preserve">. </w:t>
      </w:r>
    </w:p>
  </w:footnote>
  <w:footnote w:id="40">
    <w:p w14:paraId="2BE519A4" w14:textId="304F55B8" w:rsidR="3532FCC6" w:rsidRPr="00EE0FAC" w:rsidRDefault="3532FCC6">
      <w:pPr>
        <w:rPr>
          <w:sz w:val="20"/>
          <w:szCs w:val="20"/>
        </w:rPr>
      </w:pPr>
      <w:r w:rsidRPr="00EE0FAC">
        <w:rPr>
          <w:rStyle w:val="FootnoteReference"/>
          <w:sz w:val="20"/>
          <w:szCs w:val="20"/>
        </w:rPr>
        <w:footnoteRef/>
      </w:r>
      <w:r w:rsidRPr="00EE0FAC">
        <w:rPr>
          <w:sz w:val="20"/>
          <w:szCs w:val="20"/>
        </w:rPr>
        <w:t xml:space="preserve"> </w:t>
      </w:r>
      <w:r w:rsidR="00D57905" w:rsidRPr="00EE0FAC">
        <w:rPr>
          <w:i/>
          <w:sz w:val="20"/>
          <w:szCs w:val="20"/>
        </w:rPr>
        <w:t>Id.</w:t>
      </w:r>
    </w:p>
  </w:footnote>
  <w:footnote w:id="41">
    <w:p w14:paraId="04A747B7" w14:textId="03FAFFFC" w:rsidR="007A009F" w:rsidRPr="007A009F" w:rsidRDefault="007A009F">
      <w:pPr>
        <w:pStyle w:val="FootnoteText"/>
      </w:pPr>
      <w:r>
        <w:rPr>
          <w:rStyle w:val="FootnoteReference"/>
        </w:rPr>
        <w:footnoteRef/>
      </w:r>
      <w:r>
        <w:t xml:space="preserve"> </w:t>
      </w:r>
      <w:r>
        <w:rPr>
          <w:i/>
        </w:rPr>
        <w:t>Id</w:t>
      </w:r>
      <w:r>
        <w:t>.</w:t>
      </w:r>
    </w:p>
  </w:footnote>
  <w:footnote w:id="42">
    <w:p w14:paraId="23F1306F" w14:textId="7B4DD295" w:rsidR="3532FCC6" w:rsidRPr="00EE0FAC" w:rsidRDefault="3532FCC6">
      <w:pPr>
        <w:rPr>
          <w:sz w:val="20"/>
          <w:szCs w:val="20"/>
        </w:rPr>
      </w:pPr>
      <w:r w:rsidRPr="00EE0FAC">
        <w:rPr>
          <w:rStyle w:val="FootnoteReference"/>
          <w:sz w:val="20"/>
          <w:szCs w:val="20"/>
        </w:rPr>
        <w:footnoteRef/>
      </w:r>
      <w:r w:rsidRPr="00EE0FAC">
        <w:rPr>
          <w:sz w:val="20"/>
          <w:szCs w:val="20"/>
        </w:rPr>
        <w:t xml:space="preserve"> </w:t>
      </w:r>
      <w:r w:rsidR="00D57905" w:rsidRPr="00EE0FAC">
        <w:rPr>
          <w:i/>
          <w:sz w:val="20"/>
          <w:szCs w:val="20"/>
        </w:rPr>
        <w:t>Id.</w:t>
      </w:r>
    </w:p>
  </w:footnote>
  <w:footnote w:id="43">
    <w:p w14:paraId="07A7C81A" w14:textId="6E5A791C" w:rsidR="008B2089" w:rsidRPr="008B2089" w:rsidRDefault="008B2089">
      <w:pPr>
        <w:pStyle w:val="FootnoteText"/>
      </w:pPr>
      <w:r>
        <w:rPr>
          <w:rStyle w:val="FootnoteReference"/>
        </w:rPr>
        <w:footnoteRef/>
      </w:r>
      <w:r>
        <w:t xml:space="preserve"> </w:t>
      </w:r>
      <w:r>
        <w:rPr>
          <w:i/>
        </w:rPr>
        <w:t>Id</w:t>
      </w:r>
      <w:r>
        <w:t>.</w:t>
      </w:r>
    </w:p>
  </w:footnote>
  <w:footnote w:id="44">
    <w:p w14:paraId="77F36F27" w14:textId="732986EA" w:rsidR="3532FCC6" w:rsidRPr="00EE0FAC" w:rsidRDefault="3532FCC6">
      <w:pPr>
        <w:rPr>
          <w:sz w:val="20"/>
          <w:szCs w:val="20"/>
        </w:rPr>
      </w:pPr>
      <w:r w:rsidRPr="00EE0FAC">
        <w:rPr>
          <w:rStyle w:val="FootnoteReference"/>
          <w:sz w:val="20"/>
          <w:szCs w:val="20"/>
        </w:rPr>
        <w:footnoteRef/>
      </w:r>
      <w:r w:rsidRPr="00EE0FAC">
        <w:rPr>
          <w:sz w:val="20"/>
          <w:szCs w:val="20"/>
        </w:rPr>
        <w:t xml:space="preserve"> </w:t>
      </w:r>
      <w:r w:rsidR="001B34AE" w:rsidRPr="00EE0FAC">
        <w:rPr>
          <w:sz w:val="20"/>
          <w:szCs w:val="20"/>
        </w:rPr>
        <w:t>Per NYC Health + Hospitals, the “NYC Test &amp; Treat Corps is the city’s comprehensive effort to respond to COVID-19 by providing New Yorkers accessible, no-cost testing, rapid connections to COVID-19 treatments and resources to support those recovering from Long COVID. Through a partnership with NYC Health + Hospitals and the Department of Health and Mental Hygiene, the NYC Test &amp; Treat Corps provides New Yorkers equitable, widespread access to the critical tools for COVID-19 testing and treatment.</w:t>
      </w:r>
      <w:r w:rsidR="005B071C" w:rsidRPr="00EE0FAC">
        <w:rPr>
          <w:sz w:val="20"/>
          <w:szCs w:val="20"/>
        </w:rPr>
        <w:t>”</w:t>
      </w:r>
      <w:r w:rsidR="00F700F9" w:rsidRPr="00EE0FAC">
        <w:rPr>
          <w:sz w:val="20"/>
          <w:szCs w:val="20"/>
        </w:rPr>
        <w:t xml:space="preserve"> </w:t>
      </w:r>
      <w:r w:rsidR="001402DF">
        <w:rPr>
          <w:i/>
          <w:sz w:val="20"/>
          <w:szCs w:val="20"/>
        </w:rPr>
        <w:t>NYC Test &amp; Treat Corps’ Mobile “Test to Treat” Program Immediately Provides Paxlovid to Over 1,000 New Yorkers</w:t>
      </w:r>
      <w:r w:rsidR="001402DF">
        <w:rPr>
          <w:sz w:val="20"/>
          <w:szCs w:val="20"/>
        </w:rPr>
        <w:t xml:space="preserve">, NYC Health + Hospitals (Aug. 17, 2022), </w:t>
      </w:r>
      <w:hyperlink r:id="rId23" w:history="1">
        <w:r w:rsidR="001402DF" w:rsidRPr="004E7A7D">
          <w:rPr>
            <w:rStyle w:val="Hyperlink"/>
            <w:sz w:val="20"/>
            <w:szCs w:val="20"/>
          </w:rPr>
          <w:t>https://www.nychealthandhospitals.org/pressrelease/test-treat-corps-mobile-test-to-treat-program-provides-paxlovid-to-over-1000-new-yorkers</w:t>
        </w:r>
      </w:hyperlink>
      <w:r w:rsidR="001402DF">
        <w:rPr>
          <w:sz w:val="20"/>
          <w:szCs w:val="20"/>
        </w:rPr>
        <w:t xml:space="preserve">. </w:t>
      </w:r>
    </w:p>
  </w:footnote>
  <w:footnote w:id="45">
    <w:p w14:paraId="752FB124" w14:textId="7C7CA033" w:rsidR="008B2089" w:rsidRDefault="008B2089">
      <w:pPr>
        <w:pStyle w:val="FootnoteText"/>
      </w:pPr>
      <w:r>
        <w:rPr>
          <w:rStyle w:val="FootnoteReference"/>
        </w:rPr>
        <w:footnoteRef/>
      </w:r>
      <w:r>
        <w:t xml:space="preserve"> </w:t>
      </w:r>
      <w:r w:rsidRPr="00EE0FAC">
        <w:rPr>
          <w:i/>
        </w:rPr>
        <w:t xml:space="preserve">New York City’s Winter 2022-2023 Plan to Address COVID-19 and Other Respiratory Illnesses, </w:t>
      </w:r>
      <w:r>
        <w:t xml:space="preserve">DOHMH (Dec. 22, 2022), </w:t>
      </w:r>
      <w:hyperlink r:id="rId24" w:history="1">
        <w:r w:rsidRPr="00EE0FAC">
          <w:rPr>
            <w:rStyle w:val="Hyperlink"/>
            <w:color w:val="auto"/>
          </w:rPr>
          <w:t>https://www.nyc.gov/assets/doh/downloads/pdf/covid/covid-19-winter-plan.pdf</w:t>
        </w:r>
      </w:hyperlink>
      <w:r w:rsidR="00943006">
        <w:t>.</w:t>
      </w:r>
    </w:p>
  </w:footnote>
  <w:footnote w:id="46">
    <w:p w14:paraId="63340AD2" w14:textId="4D028A99" w:rsidR="3532FCC6" w:rsidRPr="00EE0FAC" w:rsidRDefault="3532FCC6">
      <w:pPr>
        <w:rPr>
          <w:sz w:val="20"/>
          <w:szCs w:val="20"/>
        </w:rPr>
      </w:pPr>
      <w:r w:rsidRPr="00EE0FAC">
        <w:rPr>
          <w:rStyle w:val="FootnoteReference"/>
          <w:sz w:val="20"/>
          <w:szCs w:val="20"/>
        </w:rPr>
        <w:footnoteRef/>
      </w:r>
      <w:r w:rsidRPr="00EE0FAC">
        <w:rPr>
          <w:sz w:val="20"/>
          <w:szCs w:val="20"/>
        </w:rPr>
        <w:t xml:space="preserve"> </w:t>
      </w:r>
      <w:r w:rsidR="007C5C5A" w:rsidRPr="00EE0FAC">
        <w:rPr>
          <w:sz w:val="20"/>
          <w:szCs w:val="20"/>
        </w:rPr>
        <w:t xml:space="preserve">N.Y.C. Dep’t of Health and Mental Hygiene, </w:t>
      </w:r>
      <w:r w:rsidR="007C5C5A" w:rsidRPr="00EE0FAC">
        <w:rPr>
          <w:i/>
          <w:sz w:val="20"/>
          <w:szCs w:val="20"/>
        </w:rPr>
        <w:t xml:space="preserve">New York City’s Winter 2022-2023 Plan to Address COVID-19 and Other Respiratory Illnesses, </w:t>
      </w:r>
      <w:hyperlink r:id="rId25" w:history="1">
        <w:r w:rsidR="007C5C5A" w:rsidRPr="00EE0FAC">
          <w:rPr>
            <w:rStyle w:val="Hyperlink"/>
            <w:color w:val="auto"/>
            <w:sz w:val="20"/>
            <w:szCs w:val="20"/>
          </w:rPr>
          <w:t>https://www.nyc.gov/assets/doh/downloads/pdf/covid/covid-19-winter-plan.pdf</w:t>
        </w:r>
      </w:hyperlink>
      <w:r w:rsidR="007C5C5A" w:rsidRPr="00EE0FAC">
        <w:rPr>
          <w:sz w:val="20"/>
          <w:szCs w:val="20"/>
        </w:rPr>
        <w:t>.</w:t>
      </w:r>
    </w:p>
  </w:footnote>
  <w:footnote w:id="47">
    <w:p w14:paraId="62C29402" w14:textId="3468FBD2" w:rsidR="00E6642D" w:rsidRPr="00E6642D" w:rsidRDefault="00E6642D">
      <w:pPr>
        <w:pStyle w:val="FootnoteText"/>
      </w:pPr>
      <w:r>
        <w:rPr>
          <w:rStyle w:val="FootnoteReference"/>
        </w:rPr>
        <w:footnoteRef/>
      </w:r>
      <w:r>
        <w:t xml:space="preserve"> Emma G. Fitzsimmons &amp; Sharon Otterman, </w:t>
      </w:r>
      <w:r>
        <w:rPr>
          <w:i/>
        </w:rPr>
        <w:t>New York City Ends Vaccine Mandate for City Workers</w:t>
      </w:r>
      <w:r>
        <w:t xml:space="preserve">, NY Times (Feb. 6, 2023), </w:t>
      </w:r>
      <w:hyperlink r:id="rId26" w:history="1">
        <w:r>
          <w:rPr>
            <w:rStyle w:val="Hyperlink"/>
          </w:rPr>
          <w:t>https://www.nytimes.com/2023/02/06/nyregion/vaccine-mandate-nyc-adams.html</w:t>
        </w:r>
      </w:hyperlink>
      <w:r>
        <w:t>.</w:t>
      </w:r>
    </w:p>
  </w:footnote>
  <w:footnote w:id="48">
    <w:p w14:paraId="6CCF6FB5" w14:textId="06D32E9F" w:rsidR="00E6642D" w:rsidRPr="00E6642D" w:rsidRDefault="00E6642D">
      <w:pPr>
        <w:pStyle w:val="FootnoteText"/>
      </w:pPr>
      <w:r>
        <w:rPr>
          <w:rStyle w:val="FootnoteReference"/>
        </w:rPr>
        <w:footnoteRef/>
      </w:r>
      <w:r>
        <w:t xml:space="preserve"> </w:t>
      </w:r>
      <w:r>
        <w:rPr>
          <w:i/>
        </w:rPr>
        <w:t>Id</w:t>
      </w:r>
      <w:r>
        <w:t>.</w:t>
      </w:r>
    </w:p>
  </w:footnote>
  <w:footnote w:id="49">
    <w:p w14:paraId="298FB706" w14:textId="71A165EA" w:rsidR="00E6642D" w:rsidRPr="00E6642D" w:rsidRDefault="00E6642D">
      <w:pPr>
        <w:pStyle w:val="FootnoteText"/>
      </w:pPr>
      <w:r>
        <w:rPr>
          <w:rStyle w:val="FootnoteReference"/>
        </w:rPr>
        <w:footnoteRef/>
      </w:r>
      <w:r>
        <w:t xml:space="preserve"> </w:t>
      </w:r>
      <w:r>
        <w:rPr>
          <w:i/>
        </w:rPr>
        <w:t>Id</w:t>
      </w:r>
      <w:r>
        <w:t>.</w:t>
      </w:r>
    </w:p>
  </w:footnote>
  <w:footnote w:id="50">
    <w:p w14:paraId="5493AC1D" w14:textId="021D2889" w:rsidR="00E6642D" w:rsidRPr="00E6642D" w:rsidRDefault="00E6642D">
      <w:pPr>
        <w:pStyle w:val="FootnoteText"/>
      </w:pPr>
      <w:r>
        <w:rPr>
          <w:rStyle w:val="FootnoteReference"/>
        </w:rPr>
        <w:footnoteRef/>
      </w:r>
      <w:r>
        <w:t xml:space="preserve"> </w:t>
      </w:r>
      <w:r>
        <w:rPr>
          <w:i/>
        </w:rPr>
        <w:t>Pfizer-BioNTech COVID-19 Vaccines</w:t>
      </w:r>
      <w:r>
        <w:t xml:space="preserve">, U.S. Food &amp; Drug Administration, </w:t>
      </w:r>
      <w:hyperlink r:id="rId27" w:history="1">
        <w:r>
          <w:rPr>
            <w:rStyle w:val="Hyperlink"/>
          </w:rPr>
          <w:t>https://www.fda.gov/emergency-preparedness-and-response/coronavirus-disease-2019-covid-19/pfizer-biontech-covid-19-vaccines</w:t>
        </w:r>
      </w:hyperlink>
      <w:r>
        <w:t>.</w:t>
      </w:r>
    </w:p>
  </w:footnote>
  <w:footnote w:id="51">
    <w:p w14:paraId="1B7EEFC6" w14:textId="01C7C364" w:rsidR="00E6642D" w:rsidRPr="00E6642D" w:rsidRDefault="00E6642D">
      <w:pPr>
        <w:pStyle w:val="FootnoteText"/>
      </w:pPr>
      <w:r>
        <w:rPr>
          <w:rStyle w:val="FootnoteReference"/>
        </w:rPr>
        <w:footnoteRef/>
      </w:r>
      <w:r>
        <w:t xml:space="preserve"> </w:t>
      </w:r>
      <w:r>
        <w:rPr>
          <w:i/>
        </w:rPr>
        <w:t>Mayor de Blasio Announces Vaccine Mandate for New York City Workforce</w:t>
      </w:r>
      <w:r>
        <w:t xml:space="preserve">, NYC Office of the Mayor (Oct. 20, 2021), </w:t>
      </w:r>
      <w:hyperlink r:id="rId28" w:history="1">
        <w:r w:rsidRPr="004E7A7D">
          <w:rPr>
            <w:rStyle w:val="Hyperlink"/>
          </w:rPr>
          <w:t>https://www.nyc.gov/office-of-the-mayor/news/698-21/mayor-de-blasio-vaccine-mandate-new-york-city-workforce</w:t>
        </w:r>
      </w:hyperlink>
      <w:r>
        <w:t xml:space="preserve">. </w:t>
      </w:r>
    </w:p>
  </w:footnote>
  <w:footnote w:id="52">
    <w:p w14:paraId="264DF4A5" w14:textId="1601CA44" w:rsidR="00E6642D" w:rsidRDefault="00E6642D">
      <w:pPr>
        <w:pStyle w:val="FootnoteText"/>
      </w:pPr>
      <w:r>
        <w:rPr>
          <w:rStyle w:val="FootnoteReference"/>
        </w:rPr>
        <w:footnoteRef/>
      </w:r>
      <w:r>
        <w:t xml:space="preserve"> Emma G. Fitzsimmons &amp; Sharon Otterman, </w:t>
      </w:r>
      <w:r>
        <w:rPr>
          <w:i/>
        </w:rPr>
        <w:t>New York City Ends Vaccine Mandate for City Workers</w:t>
      </w:r>
      <w:r>
        <w:t xml:space="preserve">, NY Times (Feb. 6, 2023), </w:t>
      </w:r>
      <w:hyperlink r:id="rId29" w:history="1">
        <w:r>
          <w:rPr>
            <w:rStyle w:val="Hyperlink"/>
          </w:rPr>
          <w:t>https://www.nytimes.com/2023/02/06/nyregion/vaccine-mandate-nyc-adams.html</w:t>
        </w:r>
      </w:hyperlink>
      <w:r>
        <w:t>.</w:t>
      </w:r>
    </w:p>
  </w:footnote>
  <w:footnote w:id="53">
    <w:p w14:paraId="1046FDC8" w14:textId="5B9BA810" w:rsidR="00E6642D" w:rsidRPr="00692E12" w:rsidRDefault="00E6642D">
      <w:pPr>
        <w:pStyle w:val="FootnoteText"/>
      </w:pPr>
      <w:r>
        <w:rPr>
          <w:rStyle w:val="FootnoteReference"/>
        </w:rPr>
        <w:footnoteRef/>
      </w:r>
      <w:r>
        <w:t xml:space="preserve"> </w:t>
      </w:r>
      <w:r w:rsidR="000D089D">
        <w:t xml:space="preserve">Anna Liveris et al., </w:t>
      </w:r>
      <w:r w:rsidR="000D089D">
        <w:rPr>
          <w:i/>
        </w:rPr>
        <w:t>When New York City was the COVID-19 pandemic epicenter: The impact on trauma care</w:t>
      </w:r>
      <w:r w:rsidR="000D089D">
        <w:t xml:space="preserve">, </w:t>
      </w:r>
      <w:r w:rsidR="00692E12">
        <w:t>National Library of Medicine</w:t>
      </w:r>
      <w:r w:rsidR="00692E12">
        <w:rPr>
          <w:i/>
        </w:rPr>
        <w:t xml:space="preserve"> </w:t>
      </w:r>
      <w:r w:rsidR="00692E12">
        <w:t xml:space="preserve">(Nov. 10, 2021), </w:t>
      </w:r>
      <w:hyperlink r:id="rId30" w:history="1">
        <w:r w:rsidR="00692E12" w:rsidRPr="004E7A7D">
          <w:rPr>
            <w:rStyle w:val="Hyperlink"/>
          </w:rPr>
          <w:t>https://pubmed.ncbi.nlm.nih.gov/35881035</w:t>
        </w:r>
      </w:hyperlink>
      <w:r w:rsidR="00692E12">
        <w:t xml:space="preserve">. </w:t>
      </w:r>
    </w:p>
  </w:footnote>
  <w:footnote w:id="54">
    <w:p w14:paraId="726E2F9E" w14:textId="74BCAAF8" w:rsidR="008B2089" w:rsidRPr="008B2089" w:rsidRDefault="008B2089">
      <w:pPr>
        <w:pStyle w:val="FootnoteText"/>
      </w:pPr>
      <w:r>
        <w:rPr>
          <w:rStyle w:val="FootnoteReference"/>
        </w:rPr>
        <w:footnoteRef/>
      </w:r>
      <w:r>
        <w:t xml:space="preserve"> </w:t>
      </w:r>
      <w:r>
        <w:rPr>
          <w:i/>
        </w:rPr>
        <w:t>With Over 96 Percent of City Workers Fully Vaccinated, Mayor Adams Announces COVID-19 Vaccination Will Become Optional for City Workers</w:t>
      </w:r>
      <w:r>
        <w:t xml:space="preserve">, NYC Office of the Mayor (Feb. 6, 2023), </w:t>
      </w:r>
      <w:hyperlink r:id="rId31" w:history="1">
        <w:r>
          <w:rPr>
            <w:rStyle w:val="Hyperlink"/>
          </w:rPr>
          <w:t>https://nyc.gov/office-of-the-mayor/news/092-23/with-96-percent-city-workers-fully-vaccinated-mayor-adams-covid-19-vaccination</w:t>
        </w:r>
      </w:hyperlink>
      <w:r>
        <w:t>.</w:t>
      </w:r>
    </w:p>
  </w:footnote>
  <w:footnote w:id="55">
    <w:p w14:paraId="10AB71DC" w14:textId="00BC123C" w:rsidR="00692E12" w:rsidRDefault="00692E12">
      <w:pPr>
        <w:pStyle w:val="FootnoteText"/>
      </w:pPr>
      <w:r>
        <w:rPr>
          <w:rStyle w:val="FootnoteReference"/>
        </w:rPr>
        <w:footnoteRef/>
      </w:r>
      <w:r>
        <w:t xml:space="preserve"> Emma G. Fitzsimmons &amp; Sharon Otterman, </w:t>
      </w:r>
      <w:r>
        <w:rPr>
          <w:i/>
        </w:rPr>
        <w:t>New York City Ends Vaccine Mandate for City Workers</w:t>
      </w:r>
      <w:r>
        <w:t xml:space="preserve">, NY Times (Feb. 6, 2023), </w:t>
      </w:r>
      <w:hyperlink r:id="rId32" w:history="1">
        <w:r>
          <w:rPr>
            <w:rStyle w:val="Hyperlink"/>
          </w:rPr>
          <w:t>https://www.nytimes.com/2023/02/06/nyregion/vaccine-mandate-nyc-adams.html</w:t>
        </w:r>
      </w:hyperlink>
      <w:r>
        <w:t>.</w:t>
      </w:r>
    </w:p>
  </w:footnote>
  <w:footnote w:id="56">
    <w:p w14:paraId="60415C44" w14:textId="4BC79C10" w:rsidR="00692E12" w:rsidRPr="00692E12" w:rsidRDefault="00692E12">
      <w:pPr>
        <w:pStyle w:val="FootnoteText"/>
      </w:pPr>
      <w:r>
        <w:rPr>
          <w:rStyle w:val="FootnoteReference"/>
        </w:rPr>
        <w:footnoteRef/>
      </w:r>
      <w:r>
        <w:t xml:space="preserve"> </w:t>
      </w:r>
      <w:r>
        <w:rPr>
          <w:i/>
        </w:rPr>
        <w:t>Id</w:t>
      </w:r>
      <w:r>
        <w:t>.</w:t>
      </w:r>
    </w:p>
  </w:footnote>
  <w:footnote w:id="57">
    <w:p w14:paraId="2775DE3C" w14:textId="25DEACBB" w:rsidR="0054152E" w:rsidRDefault="0054152E">
      <w:pPr>
        <w:pStyle w:val="FootnoteText"/>
      </w:pPr>
      <w:r>
        <w:rPr>
          <w:rStyle w:val="FootnoteReference"/>
        </w:rPr>
        <w:footnoteRef/>
      </w:r>
      <w:r>
        <w:t xml:space="preserve"> </w:t>
      </w:r>
      <w:r w:rsidR="00446503">
        <w:t xml:space="preserve">Ethan Stark-Miller, </w:t>
      </w:r>
      <w:r w:rsidR="00446503">
        <w:rPr>
          <w:i/>
        </w:rPr>
        <w:t>Adams lifts city employee vaccine mandate, says fired workers must reapply for their jobs</w:t>
      </w:r>
      <w:r w:rsidR="00446503">
        <w:t xml:space="preserve">, AMNY (Feb. 6, 2023), </w:t>
      </w:r>
      <w:hyperlink r:id="rId33" w:history="1">
        <w:r w:rsidR="00446503" w:rsidRPr="008A004B">
          <w:rPr>
            <w:rStyle w:val="Hyperlink"/>
          </w:rPr>
          <w:t>https://www.amny.com/politics/adams-lifts-city-employee-vaccine-mandate-february-2023</w:t>
        </w:r>
      </w:hyperlink>
      <w:r w:rsidR="00446503">
        <w:t xml:space="preserve">. </w:t>
      </w:r>
    </w:p>
  </w:footnote>
  <w:footnote w:id="58">
    <w:p w14:paraId="5EB41240" w14:textId="314ACFE4" w:rsidR="0097131E" w:rsidRPr="0097131E" w:rsidRDefault="0097131E">
      <w:pPr>
        <w:pStyle w:val="FootnoteText"/>
      </w:pPr>
      <w:r>
        <w:rPr>
          <w:rStyle w:val="FootnoteReference"/>
        </w:rPr>
        <w:footnoteRef/>
      </w:r>
      <w:r>
        <w:t xml:space="preserve"> Bernadette Hogan &amp; Bruce Golding, </w:t>
      </w:r>
      <w:r>
        <w:rPr>
          <w:i/>
        </w:rPr>
        <w:t>Judge tosses NYC COVID vaccine mandate, orders fired city workers back pay</w:t>
      </w:r>
      <w:r>
        <w:t xml:space="preserve">, NY Post (Oct. 25, 2022), </w:t>
      </w:r>
      <w:hyperlink r:id="rId34" w:history="1">
        <w:r w:rsidRPr="008A004B">
          <w:rPr>
            <w:rStyle w:val="Hyperlink"/>
          </w:rPr>
          <w:t>https://nypost.com/2022/10/25/judge-tosses-nyc-vaccine-mandate-orders-workers-backpay</w:t>
        </w:r>
      </w:hyperlink>
      <w:r>
        <w:t xml:space="preserve">. </w:t>
      </w:r>
    </w:p>
  </w:footnote>
  <w:footnote w:id="59">
    <w:p w14:paraId="47BF2FF1" w14:textId="1DFE687A" w:rsidR="00337EA4" w:rsidRDefault="00337EA4">
      <w:pPr>
        <w:pStyle w:val="FootnoteText"/>
      </w:pPr>
      <w:r>
        <w:rPr>
          <w:rStyle w:val="FootnoteReference"/>
        </w:rPr>
        <w:footnoteRef/>
      </w:r>
      <w:r>
        <w:t xml:space="preserve"> Ethan Stark-Miller, </w:t>
      </w:r>
      <w:r>
        <w:rPr>
          <w:i/>
        </w:rPr>
        <w:t>Adams lifts city employee vaccine mandate, says fired workers must reapply for their jobs</w:t>
      </w:r>
      <w:r>
        <w:t xml:space="preserve">, AMNY (Feb. 6, 2023), </w:t>
      </w:r>
      <w:hyperlink r:id="rId35" w:history="1">
        <w:r w:rsidRPr="008A004B">
          <w:rPr>
            <w:rStyle w:val="Hyperlink"/>
          </w:rPr>
          <w:t>https://www.amny.com/politics/adams-lifts-city-employee-vaccine-mandate-february-2023</w:t>
        </w:r>
      </w:hyperlink>
      <w:r>
        <w:t>.</w:t>
      </w:r>
    </w:p>
  </w:footnote>
  <w:footnote w:id="60">
    <w:p w14:paraId="5F7BBC1B" w14:textId="155D2C31" w:rsidR="00692E12" w:rsidRPr="00FE628D" w:rsidRDefault="00692E12">
      <w:pPr>
        <w:pStyle w:val="FootnoteText"/>
      </w:pPr>
      <w:r>
        <w:rPr>
          <w:rStyle w:val="FootnoteReference"/>
        </w:rPr>
        <w:footnoteRef/>
      </w:r>
      <w:r>
        <w:t xml:space="preserve"> Cecelia Smith-Schoenwalder, </w:t>
      </w:r>
      <w:r>
        <w:rPr>
          <w:i/>
        </w:rPr>
        <w:t>Biden Administration Announces Plan to End COVID-19</w:t>
      </w:r>
      <w:r w:rsidR="00FE628D">
        <w:rPr>
          <w:i/>
        </w:rPr>
        <w:t xml:space="preserve"> Emergency Declarations</w:t>
      </w:r>
      <w:r w:rsidR="00FE628D">
        <w:t xml:space="preserve">, U.S. News (Jan. 30, 2023), </w:t>
      </w:r>
      <w:hyperlink r:id="rId36" w:history="1">
        <w:r w:rsidR="00FE628D">
          <w:rPr>
            <w:rStyle w:val="Hyperlink"/>
          </w:rPr>
          <w:t>https://www.usnews.com/news/national-news/articles/2023-01-30/biden-administration-announces-plan-to-end-covid-19-emergency-declarations</w:t>
        </w:r>
      </w:hyperlink>
      <w:r w:rsidR="00FE628D">
        <w:t xml:space="preserve">. </w:t>
      </w:r>
    </w:p>
  </w:footnote>
  <w:footnote w:id="61">
    <w:p w14:paraId="795094B2" w14:textId="11676F14" w:rsidR="00365BAA" w:rsidRPr="00365BAA" w:rsidRDefault="00365BAA">
      <w:pPr>
        <w:pStyle w:val="FootnoteText"/>
      </w:pPr>
      <w:r>
        <w:rPr>
          <w:rStyle w:val="FootnoteReference"/>
        </w:rPr>
        <w:footnoteRef/>
      </w:r>
      <w:r>
        <w:t xml:space="preserve"> </w:t>
      </w:r>
      <w:r>
        <w:rPr>
          <w:i/>
        </w:rPr>
        <w:t>Id</w:t>
      </w:r>
      <w:r>
        <w:t>.</w:t>
      </w:r>
    </w:p>
  </w:footnote>
  <w:footnote w:id="62">
    <w:p w14:paraId="5A848749" w14:textId="019950A8" w:rsidR="00365BAA" w:rsidRPr="00365BAA" w:rsidRDefault="00365BAA">
      <w:pPr>
        <w:pStyle w:val="FootnoteText"/>
      </w:pPr>
      <w:r>
        <w:rPr>
          <w:rStyle w:val="FootnoteReference"/>
        </w:rPr>
        <w:footnoteRef/>
      </w:r>
      <w:r>
        <w:t xml:space="preserve"> </w:t>
      </w:r>
      <w:r>
        <w:rPr>
          <w:i/>
        </w:rPr>
        <w:t>Id</w:t>
      </w:r>
      <w:r>
        <w:t>.</w:t>
      </w:r>
    </w:p>
  </w:footnote>
  <w:footnote w:id="63">
    <w:p w14:paraId="6656C702" w14:textId="59B89E42" w:rsidR="00365BAA" w:rsidRPr="00365BAA" w:rsidRDefault="00365BAA">
      <w:pPr>
        <w:pStyle w:val="FootnoteText"/>
      </w:pPr>
      <w:r>
        <w:rPr>
          <w:rStyle w:val="FootnoteReference"/>
        </w:rPr>
        <w:footnoteRef/>
      </w:r>
      <w:r>
        <w:t xml:space="preserve"> </w:t>
      </w:r>
      <w:r w:rsidR="00487966">
        <w:t xml:space="preserve">Tami Luhby &amp; Phil Mattingly &amp; Jeremy Diamond, </w:t>
      </w:r>
      <w:r w:rsidR="00487966">
        <w:rPr>
          <w:i/>
        </w:rPr>
        <w:t>These benefits will disappear when Biden ends the Covid national and public health emergencies in May</w:t>
      </w:r>
      <w:r w:rsidR="00487966">
        <w:t xml:space="preserve">, CNN (Jan. 31, 2023), </w:t>
      </w:r>
      <w:hyperlink r:id="rId37" w:history="1">
        <w:r w:rsidR="00487966">
          <w:rPr>
            <w:rStyle w:val="Hyperlink"/>
          </w:rPr>
          <w:t>https://www.cnn.com/2023/01/30/politics/may-11-end-of-covid-and-public-health-emergencies/index.html</w:t>
        </w:r>
      </w:hyperlink>
      <w:r w:rsidR="00487966">
        <w:t>.</w:t>
      </w:r>
    </w:p>
  </w:footnote>
  <w:footnote w:id="64">
    <w:p w14:paraId="3564B869" w14:textId="32866ED4" w:rsidR="00866497" w:rsidRPr="00866497" w:rsidRDefault="00866497">
      <w:pPr>
        <w:pStyle w:val="FootnoteText"/>
      </w:pPr>
      <w:r>
        <w:rPr>
          <w:rStyle w:val="FootnoteReference"/>
        </w:rPr>
        <w:footnoteRef/>
      </w:r>
      <w:r>
        <w:t xml:space="preserve"> </w:t>
      </w:r>
      <w:r>
        <w:rPr>
          <w:i/>
        </w:rPr>
        <w:t>Id</w:t>
      </w:r>
      <w:r>
        <w:t>.</w:t>
      </w:r>
    </w:p>
  </w:footnote>
  <w:footnote w:id="65">
    <w:p w14:paraId="080A6EC1" w14:textId="71A647BA" w:rsidR="004242F5" w:rsidRPr="004242F5" w:rsidRDefault="004242F5">
      <w:pPr>
        <w:pStyle w:val="FootnoteText"/>
      </w:pPr>
      <w:r>
        <w:rPr>
          <w:rStyle w:val="FootnoteReference"/>
        </w:rPr>
        <w:footnoteRef/>
      </w:r>
      <w:r>
        <w:t xml:space="preserve"> </w:t>
      </w:r>
      <w:r>
        <w:rPr>
          <w:i/>
        </w:rPr>
        <w:t>Id</w:t>
      </w:r>
      <w:r>
        <w:t>.</w:t>
      </w:r>
    </w:p>
  </w:footnote>
  <w:footnote w:id="66">
    <w:p w14:paraId="3C8C0D60" w14:textId="614712A4" w:rsidR="008157F6" w:rsidRPr="008157F6" w:rsidRDefault="008157F6">
      <w:pPr>
        <w:pStyle w:val="FootnoteText"/>
      </w:pPr>
      <w:r>
        <w:rPr>
          <w:rStyle w:val="FootnoteReference"/>
        </w:rPr>
        <w:footnoteRef/>
      </w:r>
      <w:r>
        <w:t xml:space="preserve"> </w:t>
      </w:r>
      <w:r>
        <w:rPr>
          <w:i/>
        </w:rPr>
        <w:t>Id</w:t>
      </w:r>
      <w:r>
        <w:t>.</w:t>
      </w:r>
    </w:p>
  </w:footnote>
  <w:footnote w:id="67">
    <w:p w14:paraId="23FE1C60" w14:textId="6A2B6B10" w:rsidR="00DA189D" w:rsidRPr="00DA189D" w:rsidRDefault="00DA189D">
      <w:pPr>
        <w:pStyle w:val="FootnoteText"/>
      </w:pPr>
      <w:r>
        <w:rPr>
          <w:rStyle w:val="FootnoteReference"/>
        </w:rPr>
        <w:footnoteRef/>
      </w:r>
      <w:r>
        <w:t xml:space="preserve"> </w:t>
      </w:r>
      <w:r>
        <w:rPr>
          <w:i/>
        </w:rPr>
        <w:t>Id</w:t>
      </w:r>
      <w:r>
        <w:t>.</w:t>
      </w:r>
      <w:r w:rsidR="001C35D9">
        <w:t xml:space="preserve"> Vaccinations will be free for those with insurance even when the public health emergency ends because of various federal laws, including the Affordable Care Act and pandemic-era measures, the Inflation Reduction Act and the 2020 relief package. </w:t>
      </w:r>
      <w:r w:rsidR="001C35D9">
        <w:rPr>
          <w:i/>
        </w:rPr>
        <w:t>Id</w:t>
      </w:r>
      <w:r w:rsidR="001C35D9">
        <w:t>.</w:t>
      </w:r>
    </w:p>
  </w:footnote>
  <w:footnote w:id="68">
    <w:p w14:paraId="55EFED3D" w14:textId="0E093F3E" w:rsidR="00791EEB" w:rsidRPr="00791EEB" w:rsidRDefault="00791EEB">
      <w:pPr>
        <w:pStyle w:val="FootnoteText"/>
      </w:pPr>
      <w:r>
        <w:rPr>
          <w:rStyle w:val="FootnoteReference"/>
        </w:rPr>
        <w:footnoteRef/>
      </w:r>
      <w:r>
        <w:t xml:space="preserve"> </w:t>
      </w:r>
      <w:r>
        <w:rPr>
          <w:i/>
        </w:rPr>
        <w:t>Id</w:t>
      </w:r>
      <w:r>
        <w:t>.</w:t>
      </w:r>
    </w:p>
  </w:footnote>
  <w:footnote w:id="69">
    <w:p w14:paraId="240D5A36" w14:textId="1FBA1AAB" w:rsidR="00791EEB" w:rsidRPr="00791EEB" w:rsidRDefault="00791EEB">
      <w:pPr>
        <w:pStyle w:val="FootnoteText"/>
      </w:pPr>
      <w:r>
        <w:rPr>
          <w:rStyle w:val="FootnoteReference"/>
        </w:rPr>
        <w:footnoteRef/>
      </w:r>
      <w:r>
        <w:t xml:space="preserve"> </w:t>
      </w:r>
      <w:r>
        <w:rPr>
          <w:i/>
        </w:rPr>
        <w:t>Id</w:t>
      </w:r>
      <w:r>
        <w:t>.</w:t>
      </w:r>
    </w:p>
  </w:footnote>
  <w:footnote w:id="70">
    <w:p w14:paraId="6C057CC7" w14:textId="42E9C871" w:rsidR="001E71B1" w:rsidRPr="001E71B1" w:rsidRDefault="001E71B1">
      <w:pPr>
        <w:pStyle w:val="FootnoteText"/>
      </w:pPr>
      <w:r>
        <w:rPr>
          <w:rStyle w:val="FootnoteReference"/>
        </w:rPr>
        <w:footnoteRef/>
      </w:r>
      <w:r>
        <w:t xml:space="preserve"> </w:t>
      </w:r>
      <w:r>
        <w:rPr>
          <w:i/>
        </w:rPr>
        <w:t>Id</w:t>
      </w:r>
      <w:r>
        <w:t>.</w:t>
      </w:r>
    </w:p>
  </w:footnote>
  <w:footnote w:id="71">
    <w:p w14:paraId="3C5C49F7" w14:textId="17FF3CF5" w:rsidR="002460D4" w:rsidRPr="002460D4" w:rsidRDefault="002460D4">
      <w:pPr>
        <w:pStyle w:val="FootnoteText"/>
      </w:pPr>
      <w:r>
        <w:rPr>
          <w:rStyle w:val="FootnoteReference"/>
        </w:rPr>
        <w:footnoteRef/>
      </w:r>
      <w:r>
        <w:t xml:space="preserve"> </w:t>
      </w:r>
      <w:r>
        <w:rPr>
          <w:i/>
        </w:rPr>
        <w:t>Id</w:t>
      </w:r>
      <w:r>
        <w:t>.</w:t>
      </w:r>
    </w:p>
  </w:footnote>
  <w:footnote w:id="72">
    <w:p w14:paraId="5F8311FE" w14:textId="3EB6E9B9" w:rsidR="006651F3" w:rsidRPr="006651F3" w:rsidRDefault="006651F3">
      <w:pPr>
        <w:pStyle w:val="FootnoteText"/>
      </w:pPr>
      <w:r>
        <w:rPr>
          <w:rStyle w:val="FootnoteReference"/>
        </w:rPr>
        <w:footnoteRef/>
      </w:r>
      <w:r>
        <w:t xml:space="preserve"> </w:t>
      </w:r>
      <w:r>
        <w:rPr>
          <w:i/>
        </w:rPr>
        <w:t>Id</w:t>
      </w:r>
      <w:r>
        <w:t>.</w:t>
      </w:r>
    </w:p>
  </w:footnote>
  <w:footnote w:id="73">
    <w:p w14:paraId="1344169C" w14:textId="258D455E" w:rsidR="00D3511B" w:rsidRPr="00D3511B" w:rsidRDefault="00D3511B">
      <w:pPr>
        <w:pStyle w:val="FootnoteText"/>
      </w:pPr>
      <w:r>
        <w:rPr>
          <w:rStyle w:val="FootnoteReference"/>
        </w:rPr>
        <w:footnoteRef/>
      </w:r>
      <w:r>
        <w:t xml:space="preserve"> </w:t>
      </w:r>
      <w:r>
        <w:rPr>
          <w:i/>
        </w:rPr>
        <w:t>Id</w:t>
      </w:r>
      <w:r>
        <w:t>.</w:t>
      </w:r>
    </w:p>
  </w:footnote>
  <w:footnote w:id="74">
    <w:p w14:paraId="7DE2A844" w14:textId="360FB56E" w:rsidR="00365BAA" w:rsidRPr="00365BAA" w:rsidRDefault="00365BAA">
      <w:pPr>
        <w:pStyle w:val="FootnoteText"/>
      </w:pPr>
      <w:r>
        <w:rPr>
          <w:rStyle w:val="FootnoteReference"/>
        </w:rPr>
        <w:footnoteRef/>
      </w:r>
      <w:r>
        <w:t xml:space="preserve"> </w:t>
      </w:r>
      <w:r>
        <w:rPr>
          <w:i/>
        </w:rPr>
        <w:t>Telehealth policy changes after the COVID-19 public health emergency</w:t>
      </w:r>
      <w:r>
        <w:t xml:space="preserve">, Telehealth.HHS.gov, </w:t>
      </w:r>
      <w:hyperlink r:id="rId38" w:anchor="temporary-changes-through-the-end-of-the-covid-19-public-health-emergency" w:history="1">
        <w:r>
          <w:rPr>
            <w:rStyle w:val="Hyperlink"/>
          </w:rPr>
          <w:t>https://telehealth.hhs.gov/providers/policy-changes-during-the-covid-19-public-health-emergency/policy-changes-after-the-covid-19-public-health-emergency/ - temporary-changes-through-the-end-of-the-covid-19-public-health-emergency</w:t>
        </w:r>
      </w:hyperlink>
      <w:r>
        <w:t>.</w:t>
      </w:r>
    </w:p>
  </w:footnote>
  <w:footnote w:id="75">
    <w:p w14:paraId="7A0271C1" w14:textId="0FC60FBB" w:rsidR="00365BAA" w:rsidRPr="00365BAA" w:rsidRDefault="00365BAA">
      <w:pPr>
        <w:pStyle w:val="FootnoteText"/>
      </w:pPr>
      <w:r>
        <w:rPr>
          <w:rStyle w:val="FootnoteReference"/>
        </w:rPr>
        <w:footnoteRef/>
      </w:r>
      <w:r>
        <w:t xml:space="preserve"> </w:t>
      </w:r>
      <w:r>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931A" w14:textId="3BD2C6A1" w:rsidR="00B86DF5" w:rsidRDefault="00B86DF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532FCC6" w14:paraId="10651EDB" w14:textId="77777777" w:rsidTr="3532FCC6">
      <w:trPr>
        <w:trHeight w:val="300"/>
      </w:trPr>
      <w:tc>
        <w:tcPr>
          <w:tcW w:w="3120" w:type="dxa"/>
        </w:tcPr>
        <w:p w14:paraId="36BC1701" w14:textId="43B279CB" w:rsidR="3532FCC6" w:rsidRDefault="3532FCC6" w:rsidP="3532FCC6">
          <w:pPr>
            <w:pStyle w:val="Header"/>
            <w:ind w:left="-115"/>
          </w:pPr>
        </w:p>
      </w:tc>
      <w:tc>
        <w:tcPr>
          <w:tcW w:w="3120" w:type="dxa"/>
        </w:tcPr>
        <w:p w14:paraId="2781FD82" w14:textId="2BC78D51" w:rsidR="3532FCC6" w:rsidRDefault="3532FCC6" w:rsidP="3532FCC6">
          <w:pPr>
            <w:pStyle w:val="Header"/>
            <w:jc w:val="center"/>
          </w:pPr>
        </w:p>
      </w:tc>
      <w:tc>
        <w:tcPr>
          <w:tcW w:w="3120" w:type="dxa"/>
        </w:tcPr>
        <w:p w14:paraId="5AC26063" w14:textId="21532176" w:rsidR="3532FCC6" w:rsidRDefault="3532FCC6" w:rsidP="3532FCC6">
          <w:pPr>
            <w:pStyle w:val="Header"/>
            <w:ind w:right="-115"/>
            <w:jc w:val="right"/>
          </w:pPr>
        </w:p>
      </w:tc>
    </w:tr>
  </w:tbl>
  <w:p w14:paraId="3491EDF4" w14:textId="379AFEBA" w:rsidR="3532FCC6" w:rsidRDefault="3532FCC6" w:rsidP="3532F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7168A"/>
    <w:multiLevelType w:val="multilevel"/>
    <w:tmpl w:val="CDDA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10CCA"/>
    <w:multiLevelType w:val="hybridMultilevel"/>
    <w:tmpl w:val="32741422"/>
    <w:lvl w:ilvl="0" w:tplc="CDB40A14">
      <w:start w:val="1"/>
      <w:numFmt w:val="upperRoman"/>
      <w:lvlText w:val="%1."/>
      <w:lvlJc w:val="left"/>
      <w:pPr>
        <w:ind w:left="720" w:hanging="360"/>
      </w:pPr>
    </w:lvl>
    <w:lvl w:ilvl="1" w:tplc="FB5A301C">
      <w:start w:val="1"/>
      <w:numFmt w:val="lowerLetter"/>
      <w:lvlText w:val="%2."/>
      <w:lvlJc w:val="left"/>
      <w:pPr>
        <w:ind w:left="1440" w:hanging="360"/>
      </w:pPr>
    </w:lvl>
    <w:lvl w:ilvl="2" w:tplc="0B6C87A2">
      <w:start w:val="1"/>
      <w:numFmt w:val="lowerRoman"/>
      <w:lvlText w:val="%3."/>
      <w:lvlJc w:val="right"/>
      <w:pPr>
        <w:ind w:left="2160" w:hanging="180"/>
      </w:pPr>
    </w:lvl>
    <w:lvl w:ilvl="3" w:tplc="E61C6EF0">
      <w:start w:val="1"/>
      <w:numFmt w:val="decimal"/>
      <w:lvlText w:val="%4."/>
      <w:lvlJc w:val="left"/>
      <w:pPr>
        <w:ind w:left="2880" w:hanging="360"/>
      </w:pPr>
    </w:lvl>
    <w:lvl w:ilvl="4" w:tplc="46080D5E">
      <w:start w:val="1"/>
      <w:numFmt w:val="lowerLetter"/>
      <w:lvlText w:val="%5."/>
      <w:lvlJc w:val="left"/>
      <w:pPr>
        <w:ind w:left="3600" w:hanging="360"/>
      </w:pPr>
    </w:lvl>
    <w:lvl w:ilvl="5" w:tplc="496E9550">
      <w:start w:val="1"/>
      <w:numFmt w:val="lowerRoman"/>
      <w:lvlText w:val="%6."/>
      <w:lvlJc w:val="right"/>
      <w:pPr>
        <w:ind w:left="4320" w:hanging="180"/>
      </w:pPr>
    </w:lvl>
    <w:lvl w:ilvl="6" w:tplc="C5D04134">
      <w:start w:val="1"/>
      <w:numFmt w:val="decimal"/>
      <w:lvlText w:val="%7."/>
      <w:lvlJc w:val="left"/>
      <w:pPr>
        <w:ind w:left="5040" w:hanging="360"/>
      </w:pPr>
    </w:lvl>
    <w:lvl w:ilvl="7" w:tplc="B4686D76">
      <w:start w:val="1"/>
      <w:numFmt w:val="lowerLetter"/>
      <w:lvlText w:val="%8."/>
      <w:lvlJc w:val="left"/>
      <w:pPr>
        <w:ind w:left="5760" w:hanging="360"/>
      </w:pPr>
    </w:lvl>
    <w:lvl w:ilvl="8" w:tplc="ABC40D7C">
      <w:start w:val="1"/>
      <w:numFmt w:val="lowerRoman"/>
      <w:lvlText w:val="%9."/>
      <w:lvlJc w:val="right"/>
      <w:pPr>
        <w:ind w:left="6480" w:hanging="180"/>
      </w:pPr>
    </w:lvl>
  </w:abstractNum>
  <w:abstractNum w:abstractNumId="3" w15:restartNumberingAfterBreak="0">
    <w:nsid w:val="08C36029"/>
    <w:multiLevelType w:val="multilevel"/>
    <w:tmpl w:val="9CD29F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C77CF"/>
    <w:multiLevelType w:val="hybridMultilevel"/>
    <w:tmpl w:val="367449C2"/>
    <w:lvl w:ilvl="0" w:tplc="5014A782">
      <w:start w:val="1"/>
      <w:numFmt w:val="lowerRoman"/>
      <w:lvlText w:val="%1."/>
      <w:lvlJc w:val="right"/>
      <w:pPr>
        <w:ind w:left="2880" w:hanging="18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5E6CEF"/>
    <w:multiLevelType w:val="hybridMultilevel"/>
    <w:tmpl w:val="AE00C29E"/>
    <w:lvl w:ilvl="0" w:tplc="5014A782">
      <w:start w:val="1"/>
      <w:numFmt w:val="lowerRoman"/>
      <w:lvlText w:val="%1."/>
      <w:lvlJc w:val="right"/>
      <w:pPr>
        <w:ind w:left="4320" w:hanging="180"/>
      </w:pPr>
      <w:rPr>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9FC1333"/>
    <w:multiLevelType w:val="multilevel"/>
    <w:tmpl w:val="6E46CB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B4F2F"/>
    <w:multiLevelType w:val="hybridMultilevel"/>
    <w:tmpl w:val="072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95A1D"/>
    <w:multiLevelType w:val="multilevel"/>
    <w:tmpl w:val="81F03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80F54"/>
    <w:multiLevelType w:val="hybridMultilevel"/>
    <w:tmpl w:val="257442C2"/>
    <w:lvl w:ilvl="0" w:tplc="9E7A4086">
      <w:start w:val="1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61582"/>
    <w:multiLevelType w:val="hybridMultilevel"/>
    <w:tmpl w:val="B5700A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D698FC"/>
    <w:multiLevelType w:val="hybridMultilevel"/>
    <w:tmpl w:val="44F4CE80"/>
    <w:lvl w:ilvl="0" w:tplc="B2A85B1A">
      <w:start w:val="2"/>
      <w:numFmt w:val="lowerLetter"/>
      <w:lvlText w:val="%1."/>
      <w:lvlJc w:val="left"/>
      <w:pPr>
        <w:ind w:left="720" w:hanging="360"/>
      </w:pPr>
      <w:rPr>
        <w:b/>
      </w:rPr>
    </w:lvl>
    <w:lvl w:ilvl="1" w:tplc="5440AC62">
      <w:start w:val="1"/>
      <w:numFmt w:val="lowerLetter"/>
      <w:lvlText w:val="%2."/>
      <w:lvlJc w:val="left"/>
      <w:pPr>
        <w:ind w:left="1440" w:hanging="360"/>
      </w:pPr>
    </w:lvl>
    <w:lvl w:ilvl="2" w:tplc="ABDC8842">
      <w:start w:val="1"/>
      <w:numFmt w:val="lowerRoman"/>
      <w:lvlText w:val="%3."/>
      <w:lvlJc w:val="right"/>
      <w:pPr>
        <w:ind w:left="2160" w:hanging="180"/>
      </w:pPr>
    </w:lvl>
    <w:lvl w:ilvl="3" w:tplc="EC261F0C">
      <w:start w:val="1"/>
      <w:numFmt w:val="decimal"/>
      <w:lvlText w:val="%4."/>
      <w:lvlJc w:val="left"/>
      <w:pPr>
        <w:ind w:left="2880" w:hanging="360"/>
      </w:pPr>
    </w:lvl>
    <w:lvl w:ilvl="4" w:tplc="9280D77A">
      <w:start w:val="1"/>
      <w:numFmt w:val="lowerLetter"/>
      <w:lvlText w:val="%5."/>
      <w:lvlJc w:val="left"/>
      <w:pPr>
        <w:ind w:left="3600" w:hanging="360"/>
      </w:pPr>
    </w:lvl>
    <w:lvl w:ilvl="5" w:tplc="1CE4DB1E">
      <w:start w:val="1"/>
      <w:numFmt w:val="lowerRoman"/>
      <w:lvlText w:val="%6."/>
      <w:lvlJc w:val="right"/>
      <w:pPr>
        <w:ind w:left="4320" w:hanging="180"/>
      </w:pPr>
    </w:lvl>
    <w:lvl w:ilvl="6" w:tplc="94F02D34">
      <w:start w:val="1"/>
      <w:numFmt w:val="decimal"/>
      <w:lvlText w:val="%7."/>
      <w:lvlJc w:val="left"/>
      <w:pPr>
        <w:ind w:left="5040" w:hanging="360"/>
      </w:pPr>
    </w:lvl>
    <w:lvl w:ilvl="7" w:tplc="7332BF5E">
      <w:start w:val="1"/>
      <w:numFmt w:val="lowerLetter"/>
      <w:lvlText w:val="%8."/>
      <w:lvlJc w:val="left"/>
      <w:pPr>
        <w:ind w:left="5760" w:hanging="360"/>
      </w:pPr>
    </w:lvl>
    <w:lvl w:ilvl="8" w:tplc="07162AB0">
      <w:start w:val="1"/>
      <w:numFmt w:val="lowerRoman"/>
      <w:lvlText w:val="%9."/>
      <w:lvlJc w:val="right"/>
      <w:pPr>
        <w:ind w:left="6480" w:hanging="180"/>
      </w:pPr>
    </w:lvl>
  </w:abstractNum>
  <w:abstractNum w:abstractNumId="12" w15:restartNumberingAfterBreak="0">
    <w:nsid w:val="2CC66A29"/>
    <w:multiLevelType w:val="hybridMultilevel"/>
    <w:tmpl w:val="369202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AB2E9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2FC84471"/>
    <w:multiLevelType w:val="multilevel"/>
    <w:tmpl w:val="ABC675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A4EAA"/>
    <w:multiLevelType w:val="hybridMultilevel"/>
    <w:tmpl w:val="3FE225DC"/>
    <w:lvl w:ilvl="0" w:tplc="4BD23C72">
      <w:start w:val="1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22501"/>
    <w:multiLevelType w:val="multilevel"/>
    <w:tmpl w:val="C742E3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41BEA"/>
    <w:multiLevelType w:val="hybridMultilevel"/>
    <w:tmpl w:val="F726F47E"/>
    <w:lvl w:ilvl="0" w:tplc="8828EC60">
      <w:start w:val="1"/>
      <w:numFmt w:val="upperRoman"/>
      <w:lvlText w:val="%1."/>
      <w:lvlJc w:val="left"/>
      <w:pPr>
        <w:ind w:left="1080" w:hanging="720"/>
      </w:pPr>
      <w:rPr>
        <w:rFonts w:ascii="Times New Roman" w:hAnsi="Times New Roman" w:cs="Times New Roman" w:hint="default"/>
        <w:b/>
        <w:sz w:val="24"/>
      </w:rPr>
    </w:lvl>
    <w:lvl w:ilvl="1" w:tplc="04090019">
      <w:start w:val="1"/>
      <w:numFmt w:val="lowerLetter"/>
      <w:lvlText w:val="%2."/>
      <w:lvlJc w:val="left"/>
      <w:pPr>
        <w:ind w:left="1440" w:hanging="360"/>
      </w:pPr>
    </w:lvl>
    <w:lvl w:ilvl="2" w:tplc="5014A78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E271C"/>
    <w:multiLevelType w:val="hybridMultilevel"/>
    <w:tmpl w:val="2138E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058C6"/>
    <w:multiLevelType w:val="multilevel"/>
    <w:tmpl w:val="F8F2D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4823E1"/>
    <w:multiLevelType w:val="multilevel"/>
    <w:tmpl w:val="35F8F0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161226"/>
    <w:multiLevelType w:val="multilevel"/>
    <w:tmpl w:val="B98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DAE62"/>
    <w:multiLevelType w:val="hybridMultilevel"/>
    <w:tmpl w:val="F466B36C"/>
    <w:lvl w:ilvl="0" w:tplc="CD6C43FA">
      <w:start w:val="1"/>
      <w:numFmt w:val="lowerRoman"/>
      <w:lvlText w:val="%1."/>
      <w:lvlJc w:val="left"/>
      <w:pPr>
        <w:ind w:left="720" w:hanging="360"/>
      </w:pPr>
    </w:lvl>
    <w:lvl w:ilvl="1" w:tplc="2146CD90">
      <w:start w:val="1"/>
      <w:numFmt w:val="lowerLetter"/>
      <w:lvlText w:val="%2."/>
      <w:lvlJc w:val="left"/>
      <w:pPr>
        <w:ind w:left="1440" w:hanging="360"/>
      </w:pPr>
    </w:lvl>
    <w:lvl w:ilvl="2" w:tplc="9B465F92">
      <w:start w:val="1"/>
      <w:numFmt w:val="lowerRoman"/>
      <w:lvlText w:val="%3."/>
      <w:lvlJc w:val="right"/>
      <w:pPr>
        <w:ind w:left="2160" w:hanging="180"/>
      </w:pPr>
    </w:lvl>
    <w:lvl w:ilvl="3" w:tplc="BEB23856">
      <w:start w:val="1"/>
      <w:numFmt w:val="decimal"/>
      <w:lvlText w:val="%4."/>
      <w:lvlJc w:val="left"/>
      <w:pPr>
        <w:ind w:left="2880" w:hanging="360"/>
      </w:pPr>
    </w:lvl>
    <w:lvl w:ilvl="4" w:tplc="C8DAE9B8">
      <w:start w:val="1"/>
      <w:numFmt w:val="lowerLetter"/>
      <w:lvlText w:val="%5."/>
      <w:lvlJc w:val="left"/>
      <w:pPr>
        <w:ind w:left="3600" w:hanging="360"/>
      </w:pPr>
    </w:lvl>
    <w:lvl w:ilvl="5" w:tplc="E666706C">
      <w:start w:val="1"/>
      <w:numFmt w:val="lowerRoman"/>
      <w:lvlText w:val="%6."/>
      <w:lvlJc w:val="right"/>
      <w:pPr>
        <w:ind w:left="4320" w:hanging="180"/>
      </w:pPr>
    </w:lvl>
    <w:lvl w:ilvl="6" w:tplc="4DAAFD34">
      <w:start w:val="1"/>
      <w:numFmt w:val="decimal"/>
      <w:lvlText w:val="%7."/>
      <w:lvlJc w:val="left"/>
      <w:pPr>
        <w:ind w:left="5040" w:hanging="360"/>
      </w:pPr>
    </w:lvl>
    <w:lvl w:ilvl="7" w:tplc="39B898B6">
      <w:start w:val="1"/>
      <w:numFmt w:val="lowerLetter"/>
      <w:lvlText w:val="%8."/>
      <w:lvlJc w:val="left"/>
      <w:pPr>
        <w:ind w:left="5760" w:hanging="360"/>
      </w:pPr>
    </w:lvl>
    <w:lvl w:ilvl="8" w:tplc="EC2011C0">
      <w:start w:val="1"/>
      <w:numFmt w:val="lowerRoman"/>
      <w:lvlText w:val="%9."/>
      <w:lvlJc w:val="right"/>
      <w:pPr>
        <w:ind w:left="6480" w:hanging="180"/>
      </w:pPr>
    </w:lvl>
  </w:abstractNum>
  <w:abstractNum w:abstractNumId="23" w15:restartNumberingAfterBreak="0">
    <w:nsid w:val="669F340A"/>
    <w:multiLevelType w:val="multilevel"/>
    <w:tmpl w:val="2FE49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9D2AA1"/>
    <w:multiLevelType w:val="hybridMultilevel"/>
    <w:tmpl w:val="3138A2D8"/>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CA4248"/>
    <w:multiLevelType w:val="multilevel"/>
    <w:tmpl w:val="E6A028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E55451"/>
    <w:multiLevelType w:val="multilevel"/>
    <w:tmpl w:val="DDAC8F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FEEAA"/>
    <w:multiLevelType w:val="hybridMultilevel"/>
    <w:tmpl w:val="C3369E20"/>
    <w:lvl w:ilvl="0" w:tplc="D2EEA5FE">
      <w:start w:val="1"/>
      <w:numFmt w:val="lowerLetter"/>
      <w:lvlText w:val="%1."/>
      <w:lvlJc w:val="left"/>
      <w:pPr>
        <w:ind w:left="720" w:hanging="360"/>
      </w:pPr>
    </w:lvl>
    <w:lvl w:ilvl="1" w:tplc="959E33E4">
      <w:start w:val="1"/>
      <w:numFmt w:val="lowerLetter"/>
      <w:lvlText w:val="%2."/>
      <w:lvlJc w:val="left"/>
      <w:pPr>
        <w:ind w:left="1440" w:hanging="360"/>
      </w:pPr>
    </w:lvl>
    <w:lvl w:ilvl="2" w:tplc="3D7C27FA">
      <w:start w:val="1"/>
      <w:numFmt w:val="lowerRoman"/>
      <w:lvlText w:val="%3."/>
      <w:lvlJc w:val="right"/>
      <w:pPr>
        <w:ind w:left="2160" w:hanging="180"/>
      </w:pPr>
    </w:lvl>
    <w:lvl w:ilvl="3" w:tplc="2A2C6720">
      <w:start w:val="1"/>
      <w:numFmt w:val="decimal"/>
      <w:lvlText w:val="%4."/>
      <w:lvlJc w:val="left"/>
      <w:pPr>
        <w:ind w:left="2880" w:hanging="360"/>
      </w:pPr>
    </w:lvl>
    <w:lvl w:ilvl="4" w:tplc="C31CC40C">
      <w:start w:val="1"/>
      <w:numFmt w:val="lowerLetter"/>
      <w:lvlText w:val="%5."/>
      <w:lvlJc w:val="left"/>
      <w:pPr>
        <w:ind w:left="3600" w:hanging="360"/>
      </w:pPr>
    </w:lvl>
    <w:lvl w:ilvl="5" w:tplc="7382CABA">
      <w:start w:val="1"/>
      <w:numFmt w:val="lowerRoman"/>
      <w:lvlText w:val="%6."/>
      <w:lvlJc w:val="right"/>
      <w:pPr>
        <w:ind w:left="4320" w:hanging="180"/>
      </w:pPr>
    </w:lvl>
    <w:lvl w:ilvl="6" w:tplc="CAA83BEC">
      <w:start w:val="1"/>
      <w:numFmt w:val="decimal"/>
      <w:lvlText w:val="%7."/>
      <w:lvlJc w:val="left"/>
      <w:pPr>
        <w:ind w:left="5040" w:hanging="360"/>
      </w:pPr>
    </w:lvl>
    <w:lvl w:ilvl="7" w:tplc="22EE74A4">
      <w:start w:val="1"/>
      <w:numFmt w:val="lowerLetter"/>
      <w:lvlText w:val="%8."/>
      <w:lvlJc w:val="left"/>
      <w:pPr>
        <w:ind w:left="5760" w:hanging="360"/>
      </w:pPr>
    </w:lvl>
    <w:lvl w:ilvl="8" w:tplc="20E43D46">
      <w:start w:val="1"/>
      <w:numFmt w:val="lowerRoman"/>
      <w:lvlText w:val="%9."/>
      <w:lvlJc w:val="right"/>
      <w:pPr>
        <w:ind w:left="6480" w:hanging="180"/>
      </w:pPr>
    </w:lvl>
  </w:abstractNum>
  <w:abstractNum w:abstractNumId="28" w15:restartNumberingAfterBreak="0">
    <w:nsid w:val="6FFAC805"/>
    <w:multiLevelType w:val="hybridMultilevel"/>
    <w:tmpl w:val="FB129E3C"/>
    <w:lvl w:ilvl="0" w:tplc="DAE06906">
      <w:start w:val="1"/>
      <w:numFmt w:val="lowerLetter"/>
      <w:lvlText w:val="%1."/>
      <w:lvlJc w:val="left"/>
      <w:pPr>
        <w:ind w:left="720" w:hanging="360"/>
      </w:pPr>
    </w:lvl>
    <w:lvl w:ilvl="1" w:tplc="A134F658">
      <w:start w:val="1"/>
      <w:numFmt w:val="lowerLetter"/>
      <w:lvlText w:val="%2."/>
      <w:lvlJc w:val="left"/>
      <w:pPr>
        <w:ind w:left="1440" w:hanging="360"/>
      </w:pPr>
    </w:lvl>
    <w:lvl w:ilvl="2" w:tplc="1B2482D4">
      <w:start w:val="1"/>
      <w:numFmt w:val="lowerRoman"/>
      <w:lvlText w:val="%3."/>
      <w:lvlJc w:val="right"/>
      <w:pPr>
        <w:ind w:left="2160" w:hanging="180"/>
      </w:pPr>
    </w:lvl>
    <w:lvl w:ilvl="3" w:tplc="6270FEAA">
      <w:start w:val="1"/>
      <w:numFmt w:val="decimal"/>
      <w:lvlText w:val="%4."/>
      <w:lvlJc w:val="left"/>
      <w:pPr>
        <w:ind w:left="2880" w:hanging="360"/>
      </w:pPr>
    </w:lvl>
    <w:lvl w:ilvl="4" w:tplc="781069FE">
      <w:start w:val="1"/>
      <w:numFmt w:val="lowerLetter"/>
      <w:lvlText w:val="%5."/>
      <w:lvlJc w:val="left"/>
      <w:pPr>
        <w:ind w:left="3600" w:hanging="360"/>
      </w:pPr>
    </w:lvl>
    <w:lvl w:ilvl="5" w:tplc="982C40D0">
      <w:start w:val="1"/>
      <w:numFmt w:val="lowerRoman"/>
      <w:lvlText w:val="%6."/>
      <w:lvlJc w:val="right"/>
      <w:pPr>
        <w:ind w:left="4320" w:hanging="180"/>
      </w:pPr>
    </w:lvl>
    <w:lvl w:ilvl="6" w:tplc="CC96469A">
      <w:start w:val="1"/>
      <w:numFmt w:val="decimal"/>
      <w:lvlText w:val="%7."/>
      <w:lvlJc w:val="left"/>
      <w:pPr>
        <w:ind w:left="5040" w:hanging="360"/>
      </w:pPr>
    </w:lvl>
    <w:lvl w:ilvl="7" w:tplc="0E58B9A4">
      <w:start w:val="1"/>
      <w:numFmt w:val="lowerLetter"/>
      <w:lvlText w:val="%8."/>
      <w:lvlJc w:val="left"/>
      <w:pPr>
        <w:ind w:left="5760" w:hanging="360"/>
      </w:pPr>
    </w:lvl>
    <w:lvl w:ilvl="8" w:tplc="7266447E">
      <w:start w:val="1"/>
      <w:numFmt w:val="lowerRoman"/>
      <w:lvlText w:val="%9."/>
      <w:lvlJc w:val="right"/>
      <w:pPr>
        <w:ind w:left="6480" w:hanging="180"/>
      </w:pPr>
    </w:lvl>
  </w:abstractNum>
  <w:abstractNum w:abstractNumId="29" w15:restartNumberingAfterBreak="0">
    <w:nsid w:val="71497DCD"/>
    <w:multiLevelType w:val="hybridMultilevel"/>
    <w:tmpl w:val="1E341A98"/>
    <w:lvl w:ilvl="0" w:tplc="BAE8063C">
      <w:start w:val="1"/>
      <w:numFmt w:val="lowerLetter"/>
      <w:lvlText w:val="%1."/>
      <w:lvlJc w:val="left"/>
      <w:pPr>
        <w:ind w:left="720" w:hanging="360"/>
      </w:pPr>
    </w:lvl>
    <w:lvl w:ilvl="1" w:tplc="A468CAB8">
      <w:start w:val="1"/>
      <w:numFmt w:val="lowerLetter"/>
      <w:lvlText w:val="%2."/>
      <w:lvlJc w:val="left"/>
      <w:pPr>
        <w:ind w:left="1440" w:hanging="360"/>
      </w:pPr>
    </w:lvl>
    <w:lvl w:ilvl="2" w:tplc="A2B80E26">
      <w:start w:val="1"/>
      <w:numFmt w:val="lowerRoman"/>
      <w:lvlText w:val="%3."/>
      <w:lvlJc w:val="right"/>
      <w:pPr>
        <w:ind w:left="2160" w:hanging="180"/>
      </w:pPr>
    </w:lvl>
    <w:lvl w:ilvl="3" w:tplc="04F801F0">
      <w:start w:val="1"/>
      <w:numFmt w:val="decimal"/>
      <w:lvlText w:val="%4."/>
      <w:lvlJc w:val="left"/>
      <w:pPr>
        <w:ind w:left="2880" w:hanging="360"/>
      </w:pPr>
    </w:lvl>
    <w:lvl w:ilvl="4" w:tplc="967EC6A4">
      <w:start w:val="1"/>
      <w:numFmt w:val="lowerLetter"/>
      <w:lvlText w:val="%5."/>
      <w:lvlJc w:val="left"/>
      <w:pPr>
        <w:ind w:left="3600" w:hanging="360"/>
      </w:pPr>
    </w:lvl>
    <w:lvl w:ilvl="5" w:tplc="15BA023A">
      <w:start w:val="1"/>
      <w:numFmt w:val="lowerRoman"/>
      <w:lvlText w:val="%6."/>
      <w:lvlJc w:val="right"/>
      <w:pPr>
        <w:ind w:left="4320" w:hanging="180"/>
      </w:pPr>
    </w:lvl>
    <w:lvl w:ilvl="6" w:tplc="DB3412EC">
      <w:start w:val="1"/>
      <w:numFmt w:val="decimal"/>
      <w:lvlText w:val="%7."/>
      <w:lvlJc w:val="left"/>
      <w:pPr>
        <w:ind w:left="5040" w:hanging="360"/>
      </w:pPr>
    </w:lvl>
    <w:lvl w:ilvl="7" w:tplc="2574452E">
      <w:start w:val="1"/>
      <w:numFmt w:val="lowerLetter"/>
      <w:lvlText w:val="%8."/>
      <w:lvlJc w:val="left"/>
      <w:pPr>
        <w:ind w:left="5760" w:hanging="360"/>
      </w:pPr>
    </w:lvl>
    <w:lvl w:ilvl="8" w:tplc="7250021C">
      <w:start w:val="1"/>
      <w:numFmt w:val="lowerRoman"/>
      <w:lvlText w:val="%9."/>
      <w:lvlJc w:val="right"/>
      <w:pPr>
        <w:ind w:left="6480" w:hanging="180"/>
      </w:pPr>
    </w:lvl>
  </w:abstractNum>
  <w:abstractNum w:abstractNumId="30" w15:restartNumberingAfterBreak="0">
    <w:nsid w:val="73C68CC0"/>
    <w:multiLevelType w:val="hybridMultilevel"/>
    <w:tmpl w:val="12409DEA"/>
    <w:lvl w:ilvl="0" w:tplc="A1444B2C">
      <w:start w:val="1"/>
      <w:numFmt w:val="bullet"/>
      <w:lvlText w:val="▫"/>
      <w:lvlJc w:val="left"/>
      <w:pPr>
        <w:ind w:left="720" w:hanging="360"/>
      </w:pPr>
      <w:rPr>
        <w:rFonts w:ascii="Courier New" w:hAnsi="Courier New" w:hint="default"/>
      </w:rPr>
    </w:lvl>
    <w:lvl w:ilvl="1" w:tplc="5B94A8CC">
      <w:start w:val="1"/>
      <w:numFmt w:val="bullet"/>
      <w:lvlText w:val="o"/>
      <w:lvlJc w:val="left"/>
      <w:pPr>
        <w:ind w:left="1440" w:hanging="360"/>
      </w:pPr>
      <w:rPr>
        <w:rFonts w:ascii="Courier New" w:hAnsi="Courier New" w:hint="default"/>
      </w:rPr>
    </w:lvl>
    <w:lvl w:ilvl="2" w:tplc="3F6C86E4">
      <w:start w:val="1"/>
      <w:numFmt w:val="bullet"/>
      <w:lvlText w:val=""/>
      <w:lvlJc w:val="left"/>
      <w:pPr>
        <w:ind w:left="2160" w:hanging="360"/>
      </w:pPr>
      <w:rPr>
        <w:rFonts w:ascii="Wingdings" w:hAnsi="Wingdings" w:hint="default"/>
      </w:rPr>
    </w:lvl>
    <w:lvl w:ilvl="3" w:tplc="38267116">
      <w:start w:val="1"/>
      <w:numFmt w:val="bullet"/>
      <w:lvlText w:val=""/>
      <w:lvlJc w:val="left"/>
      <w:pPr>
        <w:ind w:left="2880" w:hanging="360"/>
      </w:pPr>
      <w:rPr>
        <w:rFonts w:ascii="Symbol" w:hAnsi="Symbol" w:hint="default"/>
      </w:rPr>
    </w:lvl>
    <w:lvl w:ilvl="4" w:tplc="CAF21F36">
      <w:start w:val="1"/>
      <w:numFmt w:val="bullet"/>
      <w:lvlText w:val="o"/>
      <w:lvlJc w:val="left"/>
      <w:pPr>
        <w:ind w:left="3600" w:hanging="360"/>
      </w:pPr>
      <w:rPr>
        <w:rFonts w:ascii="Courier New" w:hAnsi="Courier New" w:hint="default"/>
      </w:rPr>
    </w:lvl>
    <w:lvl w:ilvl="5" w:tplc="C0BEF520">
      <w:start w:val="1"/>
      <w:numFmt w:val="bullet"/>
      <w:lvlText w:val=""/>
      <w:lvlJc w:val="left"/>
      <w:pPr>
        <w:ind w:left="4320" w:hanging="360"/>
      </w:pPr>
      <w:rPr>
        <w:rFonts w:ascii="Wingdings" w:hAnsi="Wingdings" w:hint="default"/>
      </w:rPr>
    </w:lvl>
    <w:lvl w:ilvl="6" w:tplc="51C2F3F6">
      <w:start w:val="1"/>
      <w:numFmt w:val="bullet"/>
      <w:lvlText w:val=""/>
      <w:lvlJc w:val="left"/>
      <w:pPr>
        <w:ind w:left="5040" w:hanging="360"/>
      </w:pPr>
      <w:rPr>
        <w:rFonts w:ascii="Symbol" w:hAnsi="Symbol" w:hint="default"/>
      </w:rPr>
    </w:lvl>
    <w:lvl w:ilvl="7" w:tplc="ED707676">
      <w:start w:val="1"/>
      <w:numFmt w:val="bullet"/>
      <w:lvlText w:val="o"/>
      <w:lvlJc w:val="left"/>
      <w:pPr>
        <w:ind w:left="5760" w:hanging="360"/>
      </w:pPr>
      <w:rPr>
        <w:rFonts w:ascii="Courier New" w:hAnsi="Courier New" w:hint="default"/>
      </w:rPr>
    </w:lvl>
    <w:lvl w:ilvl="8" w:tplc="F78084E0">
      <w:start w:val="1"/>
      <w:numFmt w:val="bullet"/>
      <w:lvlText w:val=""/>
      <w:lvlJc w:val="left"/>
      <w:pPr>
        <w:ind w:left="6480" w:hanging="360"/>
      </w:pPr>
      <w:rPr>
        <w:rFonts w:ascii="Wingdings" w:hAnsi="Wingdings" w:hint="default"/>
      </w:rPr>
    </w:lvl>
  </w:abstractNum>
  <w:abstractNum w:abstractNumId="31" w15:restartNumberingAfterBreak="0">
    <w:nsid w:val="75F61FD5"/>
    <w:multiLevelType w:val="multilevel"/>
    <w:tmpl w:val="D47C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8A6FF4"/>
    <w:multiLevelType w:val="hybridMultilevel"/>
    <w:tmpl w:val="6F90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02777"/>
    <w:multiLevelType w:val="hybridMultilevel"/>
    <w:tmpl w:val="5AFE4A46"/>
    <w:lvl w:ilvl="0" w:tplc="5014A782">
      <w:start w:val="1"/>
      <w:numFmt w:val="lowerRoman"/>
      <w:lvlText w:val="%1."/>
      <w:lvlJc w:val="right"/>
      <w:pPr>
        <w:ind w:left="3600" w:hanging="180"/>
      </w:pPr>
      <w:rPr>
        <w:b w:val="0"/>
        <w:i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28"/>
  </w:num>
  <w:num w:numId="3">
    <w:abstractNumId w:val="30"/>
  </w:num>
  <w:num w:numId="4">
    <w:abstractNumId w:val="22"/>
  </w:num>
  <w:num w:numId="5">
    <w:abstractNumId w:val="2"/>
  </w:num>
  <w:num w:numId="6">
    <w:abstractNumId w:val="27"/>
  </w:num>
  <w:num w:numId="7">
    <w:abstractNumId w:val="29"/>
  </w:num>
  <w:num w:numId="8">
    <w:abstractNumId w:val="17"/>
  </w:num>
  <w:num w:numId="9">
    <w:abstractNumId w:val="1"/>
  </w:num>
  <w:num w:numId="10">
    <w:abstractNumId w:val="7"/>
  </w:num>
  <w:num w:numId="11">
    <w:abstractNumId w:val="25"/>
  </w:num>
  <w:num w:numId="12">
    <w:abstractNumId w:val="16"/>
  </w:num>
  <w:num w:numId="13">
    <w:abstractNumId w:val="14"/>
  </w:num>
  <w:num w:numId="14">
    <w:abstractNumId w:val="20"/>
  </w:num>
  <w:num w:numId="15">
    <w:abstractNumId w:val="26"/>
  </w:num>
  <w:num w:numId="16">
    <w:abstractNumId w:val="3"/>
  </w:num>
  <w:num w:numId="17">
    <w:abstractNumId w:val="6"/>
  </w:num>
  <w:num w:numId="18">
    <w:abstractNumId w:val="23"/>
  </w:num>
  <w:num w:numId="19">
    <w:abstractNumId w:val="8"/>
  </w:num>
  <w:num w:numId="20">
    <w:abstractNumId w:val="19"/>
  </w:num>
  <w:num w:numId="21">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0"/>
  </w:num>
  <w:num w:numId="24">
    <w:abstractNumId w:val="9"/>
  </w:num>
  <w:num w:numId="25">
    <w:abstractNumId w:val="15"/>
  </w:num>
  <w:num w:numId="26">
    <w:abstractNumId w:val="32"/>
  </w:num>
  <w:num w:numId="27">
    <w:abstractNumId w:val="4"/>
  </w:num>
  <w:num w:numId="28">
    <w:abstractNumId w:val="5"/>
  </w:num>
  <w:num w:numId="29">
    <w:abstractNumId w:val="33"/>
  </w:num>
  <w:num w:numId="30">
    <w:abstractNumId w:val="13"/>
  </w:num>
  <w:num w:numId="31">
    <w:abstractNumId w:val="10"/>
  </w:num>
  <w:num w:numId="32">
    <w:abstractNumId w:val="18"/>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A5"/>
    <w:rsid w:val="000006C5"/>
    <w:rsid w:val="00000950"/>
    <w:rsid w:val="00010C6B"/>
    <w:rsid w:val="000139B4"/>
    <w:rsid w:val="000148D2"/>
    <w:rsid w:val="00015D92"/>
    <w:rsid w:val="00025B93"/>
    <w:rsid w:val="000302A2"/>
    <w:rsid w:val="0003366A"/>
    <w:rsid w:val="00036AEE"/>
    <w:rsid w:val="00036ECE"/>
    <w:rsid w:val="00037ED5"/>
    <w:rsid w:val="00042B83"/>
    <w:rsid w:val="00044E3A"/>
    <w:rsid w:val="00050A1C"/>
    <w:rsid w:val="0005273C"/>
    <w:rsid w:val="00053E07"/>
    <w:rsid w:val="000558FB"/>
    <w:rsid w:val="000603E9"/>
    <w:rsid w:val="0006317D"/>
    <w:rsid w:val="0006386E"/>
    <w:rsid w:val="00070141"/>
    <w:rsid w:val="000711A5"/>
    <w:rsid w:val="00076F43"/>
    <w:rsid w:val="00077E23"/>
    <w:rsid w:val="000809C5"/>
    <w:rsid w:val="00087874"/>
    <w:rsid w:val="00093845"/>
    <w:rsid w:val="00094AAC"/>
    <w:rsid w:val="00095B8A"/>
    <w:rsid w:val="00097199"/>
    <w:rsid w:val="000A0C8C"/>
    <w:rsid w:val="000A18A4"/>
    <w:rsid w:val="000A4CA9"/>
    <w:rsid w:val="000A7BBD"/>
    <w:rsid w:val="000A7C1C"/>
    <w:rsid w:val="000B23BA"/>
    <w:rsid w:val="000B750D"/>
    <w:rsid w:val="000B7609"/>
    <w:rsid w:val="000C45F0"/>
    <w:rsid w:val="000C54A7"/>
    <w:rsid w:val="000D089D"/>
    <w:rsid w:val="000D1E03"/>
    <w:rsid w:val="000E1235"/>
    <w:rsid w:val="000E557D"/>
    <w:rsid w:val="000E6623"/>
    <w:rsid w:val="000F11B3"/>
    <w:rsid w:val="000F1F80"/>
    <w:rsid w:val="000F2F89"/>
    <w:rsid w:val="000F3781"/>
    <w:rsid w:val="000F59AE"/>
    <w:rsid w:val="001000E0"/>
    <w:rsid w:val="00100777"/>
    <w:rsid w:val="00110555"/>
    <w:rsid w:val="001161AF"/>
    <w:rsid w:val="001163DC"/>
    <w:rsid w:val="00117756"/>
    <w:rsid w:val="001179B3"/>
    <w:rsid w:val="00120C0C"/>
    <w:rsid w:val="001227AD"/>
    <w:rsid w:val="001252E2"/>
    <w:rsid w:val="00130931"/>
    <w:rsid w:val="00131844"/>
    <w:rsid w:val="00134A6A"/>
    <w:rsid w:val="00135F32"/>
    <w:rsid w:val="001402DF"/>
    <w:rsid w:val="001472D8"/>
    <w:rsid w:val="00151345"/>
    <w:rsid w:val="001539DF"/>
    <w:rsid w:val="00156F73"/>
    <w:rsid w:val="00162EF8"/>
    <w:rsid w:val="00167418"/>
    <w:rsid w:val="00167F32"/>
    <w:rsid w:val="00171C73"/>
    <w:rsid w:val="001727C8"/>
    <w:rsid w:val="001758DA"/>
    <w:rsid w:val="0017704E"/>
    <w:rsid w:val="00177E81"/>
    <w:rsid w:val="00183145"/>
    <w:rsid w:val="001840E9"/>
    <w:rsid w:val="0018443A"/>
    <w:rsid w:val="00186A79"/>
    <w:rsid w:val="00190175"/>
    <w:rsid w:val="001956BB"/>
    <w:rsid w:val="001A2887"/>
    <w:rsid w:val="001A2E4F"/>
    <w:rsid w:val="001A2E88"/>
    <w:rsid w:val="001A595C"/>
    <w:rsid w:val="001B13CA"/>
    <w:rsid w:val="001B34AE"/>
    <w:rsid w:val="001C03CB"/>
    <w:rsid w:val="001C35D9"/>
    <w:rsid w:val="001C3DA6"/>
    <w:rsid w:val="001C4882"/>
    <w:rsid w:val="001C7C88"/>
    <w:rsid w:val="001D0ABA"/>
    <w:rsid w:val="001D54DF"/>
    <w:rsid w:val="001E05A5"/>
    <w:rsid w:val="001E1A2D"/>
    <w:rsid w:val="001E2B59"/>
    <w:rsid w:val="001E71B1"/>
    <w:rsid w:val="001F02D0"/>
    <w:rsid w:val="001F0CA0"/>
    <w:rsid w:val="001F1E16"/>
    <w:rsid w:val="001F2626"/>
    <w:rsid w:val="00200FB9"/>
    <w:rsid w:val="00206817"/>
    <w:rsid w:val="0021051A"/>
    <w:rsid w:val="002112EC"/>
    <w:rsid w:val="00214A9E"/>
    <w:rsid w:val="00216821"/>
    <w:rsid w:val="00223485"/>
    <w:rsid w:val="00224604"/>
    <w:rsid w:val="002304BC"/>
    <w:rsid w:val="0023277A"/>
    <w:rsid w:val="00232D32"/>
    <w:rsid w:val="00233D23"/>
    <w:rsid w:val="0023464F"/>
    <w:rsid w:val="00235AD1"/>
    <w:rsid w:val="00236979"/>
    <w:rsid w:val="00242F4E"/>
    <w:rsid w:val="002460D4"/>
    <w:rsid w:val="00253E22"/>
    <w:rsid w:val="0025552C"/>
    <w:rsid w:val="00257D72"/>
    <w:rsid w:val="00264C7D"/>
    <w:rsid w:val="00271B7B"/>
    <w:rsid w:val="002732F9"/>
    <w:rsid w:val="00273630"/>
    <w:rsid w:val="00274B5C"/>
    <w:rsid w:val="002808D3"/>
    <w:rsid w:val="002819D5"/>
    <w:rsid w:val="00284E25"/>
    <w:rsid w:val="0029276E"/>
    <w:rsid w:val="002927BC"/>
    <w:rsid w:val="0029297F"/>
    <w:rsid w:val="00296BA2"/>
    <w:rsid w:val="00297D56"/>
    <w:rsid w:val="002A03AD"/>
    <w:rsid w:val="002A3844"/>
    <w:rsid w:val="002A53BD"/>
    <w:rsid w:val="002A5E6A"/>
    <w:rsid w:val="002A64D2"/>
    <w:rsid w:val="002B36F5"/>
    <w:rsid w:val="002D0121"/>
    <w:rsid w:val="002D2B21"/>
    <w:rsid w:val="002D3457"/>
    <w:rsid w:val="002D384F"/>
    <w:rsid w:val="002D45FD"/>
    <w:rsid w:val="002D6330"/>
    <w:rsid w:val="002E2EAA"/>
    <w:rsid w:val="002E317D"/>
    <w:rsid w:val="002E5CF7"/>
    <w:rsid w:val="002E7056"/>
    <w:rsid w:val="002F0560"/>
    <w:rsid w:val="002F19E8"/>
    <w:rsid w:val="002F30FD"/>
    <w:rsid w:val="002F4D81"/>
    <w:rsid w:val="002F5320"/>
    <w:rsid w:val="00300074"/>
    <w:rsid w:val="00305177"/>
    <w:rsid w:val="003068C0"/>
    <w:rsid w:val="00311420"/>
    <w:rsid w:val="003165CA"/>
    <w:rsid w:val="003207B7"/>
    <w:rsid w:val="00332C36"/>
    <w:rsid w:val="003332C3"/>
    <w:rsid w:val="00335C57"/>
    <w:rsid w:val="00337EA4"/>
    <w:rsid w:val="00340DC8"/>
    <w:rsid w:val="00342AE7"/>
    <w:rsid w:val="00352171"/>
    <w:rsid w:val="00352F8C"/>
    <w:rsid w:val="00355B2E"/>
    <w:rsid w:val="003565C8"/>
    <w:rsid w:val="00357B3E"/>
    <w:rsid w:val="0036007B"/>
    <w:rsid w:val="00360E33"/>
    <w:rsid w:val="00365BAA"/>
    <w:rsid w:val="00373488"/>
    <w:rsid w:val="003737BC"/>
    <w:rsid w:val="00376303"/>
    <w:rsid w:val="003807BE"/>
    <w:rsid w:val="0038313D"/>
    <w:rsid w:val="00384421"/>
    <w:rsid w:val="003922DA"/>
    <w:rsid w:val="00397551"/>
    <w:rsid w:val="003A0CFB"/>
    <w:rsid w:val="003A2734"/>
    <w:rsid w:val="003A4395"/>
    <w:rsid w:val="003A7F2A"/>
    <w:rsid w:val="003B0FD7"/>
    <w:rsid w:val="003B24DE"/>
    <w:rsid w:val="003B6A5B"/>
    <w:rsid w:val="003C4F23"/>
    <w:rsid w:val="003C5062"/>
    <w:rsid w:val="003D2AD8"/>
    <w:rsid w:val="003D3F3E"/>
    <w:rsid w:val="003D5BC5"/>
    <w:rsid w:val="003D644C"/>
    <w:rsid w:val="003D65D7"/>
    <w:rsid w:val="003F1425"/>
    <w:rsid w:val="00404522"/>
    <w:rsid w:val="0040480E"/>
    <w:rsid w:val="00404818"/>
    <w:rsid w:val="00406DD6"/>
    <w:rsid w:val="004104E5"/>
    <w:rsid w:val="004104FE"/>
    <w:rsid w:val="0041785C"/>
    <w:rsid w:val="004242F5"/>
    <w:rsid w:val="00430B03"/>
    <w:rsid w:val="0043113C"/>
    <w:rsid w:val="0043299C"/>
    <w:rsid w:val="00432FDB"/>
    <w:rsid w:val="0043385F"/>
    <w:rsid w:val="004374F8"/>
    <w:rsid w:val="0044603B"/>
    <w:rsid w:val="00446503"/>
    <w:rsid w:val="00451F78"/>
    <w:rsid w:val="0045417A"/>
    <w:rsid w:val="00455FFB"/>
    <w:rsid w:val="0047081C"/>
    <w:rsid w:val="00470AB3"/>
    <w:rsid w:val="00475F5D"/>
    <w:rsid w:val="00477786"/>
    <w:rsid w:val="00481E11"/>
    <w:rsid w:val="00482A8D"/>
    <w:rsid w:val="00487966"/>
    <w:rsid w:val="00490F86"/>
    <w:rsid w:val="00497A27"/>
    <w:rsid w:val="004A3C5D"/>
    <w:rsid w:val="004A5EDA"/>
    <w:rsid w:val="004A6FA3"/>
    <w:rsid w:val="004B2737"/>
    <w:rsid w:val="004B30E1"/>
    <w:rsid w:val="004B5596"/>
    <w:rsid w:val="004B5FC1"/>
    <w:rsid w:val="004C4597"/>
    <w:rsid w:val="004C6653"/>
    <w:rsid w:val="004D2593"/>
    <w:rsid w:val="004D3F4C"/>
    <w:rsid w:val="004D49FB"/>
    <w:rsid w:val="004D6951"/>
    <w:rsid w:val="004D79C7"/>
    <w:rsid w:val="004E08D5"/>
    <w:rsid w:val="004E1FEA"/>
    <w:rsid w:val="004F0B0F"/>
    <w:rsid w:val="004F41E8"/>
    <w:rsid w:val="005012BF"/>
    <w:rsid w:val="00502748"/>
    <w:rsid w:val="00503FBA"/>
    <w:rsid w:val="00510526"/>
    <w:rsid w:val="005141A4"/>
    <w:rsid w:val="005318E6"/>
    <w:rsid w:val="00531C2C"/>
    <w:rsid w:val="00531F9A"/>
    <w:rsid w:val="00537F00"/>
    <w:rsid w:val="0054152E"/>
    <w:rsid w:val="00542D34"/>
    <w:rsid w:val="00550D28"/>
    <w:rsid w:val="005510AC"/>
    <w:rsid w:val="005573B5"/>
    <w:rsid w:val="00563AD0"/>
    <w:rsid w:val="00565493"/>
    <w:rsid w:val="00565A06"/>
    <w:rsid w:val="00566492"/>
    <w:rsid w:val="00567A0D"/>
    <w:rsid w:val="00571B72"/>
    <w:rsid w:val="0057397B"/>
    <w:rsid w:val="00582629"/>
    <w:rsid w:val="00584AE9"/>
    <w:rsid w:val="00587A16"/>
    <w:rsid w:val="00587B91"/>
    <w:rsid w:val="005911B4"/>
    <w:rsid w:val="00591715"/>
    <w:rsid w:val="005951C4"/>
    <w:rsid w:val="005A4F5F"/>
    <w:rsid w:val="005B071C"/>
    <w:rsid w:val="005B269A"/>
    <w:rsid w:val="005B4526"/>
    <w:rsid w:val="005C30F1"/>
    <w:rsid w:val="005C4AEF"/>
    <w:rsid w:val="005C558C"/>
    <w:rsid w:val="005D0E11"/>
    <w:rsid w:val="005D2C74"/>
    <w:rsid w:val="005E0D17"/>
    <w:rsid w:val="005E1E37"/>
    <w:rsid w:val="005E2991"/>
    <w:rsid w:val="005E4B34"/>
    <w:rsid w:val="005F1303"/>
    <w:rsid w:val="005F3A21"/>
    <w:rsid w:val="005F551D"/>
    <w:rsid w:val="005F6041"/>
    <w:rsid w:val="005F62C1"/>
    <w:rsid w:val="0060072C"/>
    <w:rsid w:val="0060183F"/>
    <w:rsid w:val="0060745D"/>
    <w:rsid w:val="0060768F"/>
    <w:rsid w:val="0061260A"/>
    <w:rsid w:val="00613B37"/>
    <w:rsid w:val="0062242E"/>
    <w:rsid w:val="00623E32"/>
    <w:rsid w:val="0062444A"/>
    <w:rsid w:val="00627E11"/>
    <w:rsid w:val="00630E8C"/>
    <w:rsid w:val="00632456"/>
    <w:rsid w:val="006332FE"/>
    <w:rsid w:val="00637D1A"/>
    <w:rsid w:val="00646CCB"/>
    <w:rsid w:val="00654506"/>
    <w:rsid w:val="00655138"/>
    <w:rsid w:val="00655CCB"/>
    <w:rsid w:val="00655E00"/>
    <w:rsid w:val="00660B51"/>
    <w:rsid w:val="006651F3"/>
    <w:rsid w:val="00672B18"/>
    <w:rsid w:val="006733A5"/>
    <w:rsid w:val="0067340C"/>
    <w:rsid w:val="00680494"/>
    <w:rsid w:val="00681A82"/>
    <w:rsid w:val="00685A11"/>
    <w:rsid w:val="00690B3D"/>
    <w:rsid w:val="00691B06"/>
    <w:rsid w:val="00692E12"/>
    <w:rsid w:val="00694DBC"/>
    <w:rsid w:val="006A4BA8"/>
    <w:rsid w:val="006A4DCD"/>
    <w:rsid w:val="006A7145"/>
    <w:rsid w:val="006B3F34"/>
    <w:rsid w:val="006B5E73"/>
    <w:rsid w:val="006C053F"/>
    <w:rsid w:val="006C1B86"/>
    <w:rsid w:val="006D0C98"/>
    <w:rsid w:val="006D2CBA"/>
    <w:rsid w:val="006D355F"/>
    <w:rsid w:val="006D6C4E"/>
    <w:rsid w:val="006E022F"/>
    <w:rsid w:val="006E0378"/>
    <w:rsid w:val="006E3EB3"/>
    <w:rsid w:val="006E4316"/>
    <w:rsid w:val="006E49B4"/>
    <w:rsid w:val="006E5AD4"/>
    <w:rsid w:val="006E60D6"/>
    <w:rsid w:val="006F3DB3"/>
    <w:rsid w:val="00704DB9"/>
    <w:rsid w:val="00706247"/>
    <w:rsid w:val="00710A23"/>
    <w:rsid w:val="007113B8"/>
    <w:rsid w:val="0071250F"/>
    <w:rsid w:val="00712B03"/>
    <w:rsid w:val="00714040"/>
    <w:rsid w:val="007210E2"/>
    <w:rsid w:val="00727A28"/>
    <w:rsid w:val="00727DED"/>
    <w:rsid w:val="00733341"/>
    <w:rsid w:val="00741143"/>
    <w:rsid w:val="0074333D"/>
    <w:rsid w:val="00744F08"/>
    <w:rsid w:val="00745AE2"/>
    <w:rsid w:val="00760D6E"/>
    <w:rsid w:val="00762B09"/>
    <w:rsid w:val="00764395"/>
    <w:rsid w:val="007677F3"/>
    <w:rsid w:val="00767B5B"/>
    <w:rsid w:val="0077011A"/>
    <w:rsid w:val="007718BD"/>
    <w:rsid w:val="00771E86"/>
    <w:rsid w:val="007778AF"/>
    <w:rsid w:val="007871C4"/>
    <w:rsid w:val="00791EEB"/>
    <w:rsid w:val="0079545D"/>
    <w:rsid w:val="0079772E"/>
    <w:rsid w:val="007A009F"/>
    <w:rsid w:val="007A0A0B"/>
    <w:rsid w:val="007A680C"/>
    <w:rsid w:val="007A6C31"/>
    <w:rsid w:val="007B1BC6"/>
    <w:rsid w:val="007C06A2"/>
    <w:rsid w:val="007C1679"/>
    <w:rsid w:val="007C183F"/>
    <w:rsid w:val="007C1BE6"/>
    <w:rsid w:val="007C5C5A"/>
    <w:rsid w:val="007D0BFD"/>
    <w:rsid w:val="007D23E7"/>
    <w:rsid w:val="007D2794"/>
    <w:rsid w:val="007D5FD6"/>
    <w:rsid w:val="007D63AB"/>
    <w:rsid w:val="007E08E4"/>
    <w:rsid w:val="007E0FAE"/>
    <w:rsid w:val="007F0C8A"/>
    <w:rsid w:val="007F22B7"/>
    <w:rsid w:val="0080457D"/>
    <w:rsid w:val="00805D27"/>
    <w:rsid w:val="00813004"/>
    <w:rsid w:val="008148DD"/>
    <w:rsid w:val="008157F6"/>
    <w:rsid w:val="00817394"/>
    <w:rsid w:val="00817D2E"/>
    <w:rsid w:val="00821251"/>
    <w:rsid w:val="00824F51"/>
    <w:rsid w:val="00834D87"/>
    <w:rsid w:val="00835352"/>
    <w:rsid w:val="00836884"/>
    <w:rsid w:val="00842051"/>
    <w:rsid w:val="008503EC"/>
    <w:rsid w:val="00852536"/>
    <w:rsid w:val="00860ACD"/>
    <w:rsid w:val="00863978"/>
    <w:rsid w:val="00863C4D"/>
    <w:rsid w:val="00863D6F"/>
    <w:rsid w:val="00864F34"/>
    <w:rsid w:val="00865142"/>
    <w:rsid w:val="008651C8"/>
    <w:rsid w:val="00866497"/>
    <w:rsid w:val="00867F14"/>
    <w:rsid w:val="00874A6C"/>
    <w:rsid w:val="008806CC"/>
    <w:rsid w:val="00886D5E"/>
    <w:rsid w:val="008877B3"/>
    <w:rsid w:val="00890585"/>
    <w:rsid w:val="00890D56"/>
    <w:rsid w:val="00891389"/>
    <w:rsid w:val="00891A2E"/>
    <w:rsid w:val="008A30F6"/>
    <w:rsid w:val="008A5701"/>
    <w:rsid w:val="008B0926"/>
    <w:rsid w:val="008B0979"/>
    <w:rsid w:val="008B0CAD"/>
    <w:rsid w:val="008B2089"/>
    <w:rsid w:val="008B5328"/>
    <w:rsid w:val="008C427D"/>
    <w:rsid w:val="008C56B2"/>
    <w:rsid w:val="008C695B"/>
    <w:rsid w:val="008D6250"/>
    <w:rsid w:val="008E00C1"/>
    <w:rsid w:val="008E1F7D"/>
    <w:rsid w:val="008E3BFA"/>
    <w:rsid w:val="008E63CE"/>
    <w:rsid w:val="008E6C72"/>
    <w:rsid w:val="008E6EF1"/>
    <w:rsid w:val="008F4D47"/>
    <w:rsid w:val="008F6C03"/>
    <w:rsid w:val="008F7200"/>
    <w:rsid w:val="0090138E"/>
    <w:rsid w:val="009054A5"/>
    <w:rsid w:val="00910D15"/>
    <w:rsid w:val="009130C0"/>
    <w:rsid w:val="0092189D"/>
    <w:rsid w:val="00921F5F"/>
    <w:rsid w:val="00922853"/>
    <w:rsid w:val="009259EA"/>
    <w:rsid w:val="009329D0"/>
    <w:rsid w:val="00936A31"/>
    <w:rsid w:val="009421DF"/>
    <w:rsid w:val="00943006"/>
    <w:rsid w:val="00957B8F"/>
    <w:rsid w:val="009600D6"/>
    <w:rsid w:val="00961ABE"/>
    <w:rsid w:val="0096214D"/>
    <w:rsid w:val="00962DE2"/>
    <w:rsid w:val="00964D33"/>
    <w:rsid w:val="00965701"/>
    <w:rsid w:val="009661CF"/>
    <w:rsid w:val="0097131E"/>
    <w:rsid w:val="00972CCF"/>
    <w:rsid w:val="00973A85"/>
    <w:rsid w:val="0098240B"/>
    <w:rsid w:val="00982CC5"/>
    <w:rsid w:val="00983895"/>
    <w:rsid w:val="00984266"/>
    <w:rsid w:val="00984AD0"/>
    <w:rsid w:val="009940ED"/>
    <w:rsid w:val="0099462C"/>
    <w:rsid w:val="009A0465"/>
    <w:rsid w:val="009A1059"/>
    <w:rsid w:val="009A6B41"/>
    <w:rsid w:val="009A6BCC"/>
    <w:rsid w:val="009A74E7"/>
    <w:rsid w:val="009B0036"/>
    <w:rsid w:val="009B07CE"/>
    <w:rsid w:val="009B0A0F"/>
    <w:rsid w:val="009B21A4"/>
    <w:rsid w:val="009B4170"/>
    <w:rsid w:val="009B635B"/>
    <w:rsid w:val="009C2155"/>
    <w:rsid w:val="009C2C36"/>
    <w:rsid w:val="009C5C2E"/>
    <w:rsid w:val="009D06AA"/>
    <w:rsid w:val="009D08D6"/>
    <w:rsid w:val="009D1A4D"/>
    <w:rsid w:val="009D42D8"/>
    <w:rsid w:val="009E2A61"/>
    <w:rsid w:val="009E6578"/>
    <w:rsid w:val="009F24AD"/>
    <w:rsid w:val="009F266D"/>
    <w:rsid w:val="009F36B0"/>
    <w:rsid w:val="009F7FA0"/>
    <w:rsid w:val="00A00072"/>
    <w:rsid w:val="00A00852"/>
    <w:rsid w:val="00A03168"/>
    <w:rsid w:val="00A10576"/>
    <w:rsid w:val="00A13925"/>
    <w:rsid w:val="00A13DE2"/>
    <w:rsid w:val="00A15665"/>
    <w:rsid w:val="00A16CCE"/>
    <w:rsid w:val="00A179F7"/>
    <w:rsid w:val="00A17ECF"/>
    <w:rsid w:val="00A20CD1"/>
    <w:rsid w:val="00A23671"/>
    <w:rsid w:val="00A27E96"/>
    <w:rsid w:val="00A3339C"/>
    <w:rsid w:val="00A33B18"/>
    <w:rsid w:val="00A359C0"/>
    <w:rsid w:val="00A35B4C"/>
    <w:rsid w:val="00A3726B"/>
    <w:rsid w:val="00A37A0F"/>
    <w:rsid w:val="00A40902"/>
    <w:rsid w:val="00A42030"/>
    <w:rsid w:val="00A422A9"/>
    <w:rsid w:val="00A4236B"/>
    <w:rsid w:val="00A43113"/>
    <w:rsid w:val="00A467AF"/>
    <w:rsid w:val="00A468B5"/>
    <w:rsid w:val="00A4718C"/>
    <w:rsid w:val="00A550F2"/>
    <w:rsid w:val="00A568E0"/>
    <w:rsid w:val="00A6138D"/>
    <w:rsid w:val="00A64D8E"/>
    <w:rsid w:val="00A7265D"/>
    <w:rsid w:val="00A764DB"/>
    <w:rsid w:val="00A83542"/>
    <w:rsid w:val="00A86F9A"/>
    <w:rsid w:val="00A9003A"/>
    <w:rsid w:val="00A90E96"/>
    <w:rsid w:val="00AA1C42"/>
    <w:rsid w:val="00AA27E0"/>
    <w:rsid w:val="00AA6B66"/>
    <w:rsid w:val="00AA7683"/>
    <w:rsid w:val="00AA7C7C"/>
    <w:rsid w:val="00AB7EC4"/>
    <w:rsid w:val="00AC2451"/>
    <w:rsid w:val="00AC53F0"/>
    <w:rsid w:val="00AC6999"/>
    <w:rsid w:val="00AC6DC0"/>
    <w:rsid w:val="00AC6ED3"/>
    <w:rsid w:val="00AD105A"/>
    <w:rsid w:val="00AD467E"/>
    <w:rsid w:val="00AE4FC9"/>
    <w:rsid w:val="00AE50F0"/>
    <w:rsid w:val="00AE5B59"/>
    <w:rsid w:val="00AF1E29"/>
    <w:rsid w:val="00AF3263"/>
    <w:rsid w:val="00AF32E9"/>
    <w:rsid w:val="00AF3706"/>
    <w:rsid w:val="00B018A5"/>
    <w:rsid w:val="00B026A9"/>
    <w:rsid w:val="00B109A4"/>
    <w:rsid w:val="00B12C65"/>
    <w:rsid w:val="00B14B79"/>
    <w:rsid w:val="00B16E0E"/>
    <w:rsid w:val="00B24FAC"/>
    <w:rsid w:val="00B2522C"/>
    <w:rsid w:val="00B34389"/>
    <w:rsid w:val="00B42FE3"/>
    <w:rsid w:val="00B62D72"/>
    <w:rsid w:val="00B70FCF"/>
    <w:rsid w:val="00B7450C"/>
    <w:rsid w:val="00B7454F"/>
    <w:rsid w:val="00B7788E"/>
    <w:rsid w:val="00B81F34"/>
    <w:rsid w:val="00B8286D"/>
    <w:rsid w:val="00B83E4D"/>
    <w:rsid w:val="00B84FCF"/>
    <w:rsid w:val="00B86C79"/>
    <w:rsid w:val="00B86DF5"/>
    <w:rsid w:val="00B87F50"/>
    <w:rsid w:val="00B91C1F"/>
    <w:rsid w:val="00B942FE"/>
    <w:rsid w:val="00B943DE"/>
    <w:rsid w:val="00B9500F"/>
    <w:rsid w:val="00B95CB2"/>
    <w:rsid w:val="00BA32B9"/>
    <w:rsid w:val="00BA4CC4"/>
    <w:rsid w:val="00BB7F22"/>
    <w:rsid w:val="00BC0A9D"/>
    <w:rsid w:val="00BC2C90"/>
    <w:rsid w:val="00BD76C7"/>
    <w:rsid w:val="00BE0883"/>
    <w:rsid w:val="00BE1738"/>
    <w:rsid w:val="00BE205F"/>
    <w:rsid w:val="00BE25A1"/>
    <w:rsid w:val="00BE6CD8"/>
    <w:rsid w:val="00C045E9"/>
    <w:rsid w:val="00C053EA"/>
    <w:rsid w:val="00C10A65"/>
    <w:rsid w:val="00C20ED1"/>
    <w:rsid w:val="00C21283"/>
    <w:rsid w:val="00C27CBF"/>
    <w:rsid w:val="00C306A7"/>
    <w:rsid w:val="00C347DE"/>
    <w:rsid w:val="00C41A5A"/>
    <w:rsid w:val="00C43638"/>
    <w:rsid w:val="00C43EC7"/>
    <w:rsid w:val="00C4622D"/>
    <w:rsid w:val="00C47A3A"/>
    <w:rsid w:val="00C51387"/>
    <w:rsid w:val="00C640E1"/>
    <w:rsid w:val="00C70231"/>
    <w:rsid w:val="00C70529"/>
    <w:rsid w:val="00C74B62"/>
    <w:rsid w:val="00C80A19"/>
    <w:rsid w:val="00C86764"/>
    <w:rsid w:val="00C91427"/>
    <w:rsid w:val="00C9413C"/>
    <w:rsid w:val="00CA043F"/>
    <w:rsid w:val="00CA0E56"/>
    <w:rsid w:val="00CA2D07"/>
    <w:rsid w:val="00CA3246"/>
    <w:rsid w:val="00CA3C21"/>
    <w:rsid w:val="00CA736F"/>
    <w:rsid w:val="00CB198B"/>
    <w:rsid w:val="00CC122F"/>
    <w:rsid w:val="00CC2EDA"/>
    <w:rsid w:val="00CC4393"/>
    <w:rsid w:val="00CC65E7"/>
    <w:rsid w:val="00CD1B9C"/>
    <w:rsid w:val="00CD3EAD"/>
    <w:rsid w:val="00CE5EAF"/>
    <w:rsid w:val="00CF263E"/>
    <w:rsid w:val="00CF6077"/>
    <w:rsid w:val="00D00D21"/>
    <w:rsid w:val="00D01F40"/>
    <w:rsid w:val="00D02EDE"/>
    <w:rsid w:val="00D05AAE"/>
    <w:rsid w:val="00D05DE7"/>
    <w:rsid w:val="00D12084"/>
    <w:rsid w:val="00D20168"/>
    <w:rsid w:val="00D24701"/>
    <w:rsid w:val="00D3511B"/>
    <w:rsid w:val="00D407E8"/>
    <w:rsid w:val="00D418E8"/>
    <w:rsid w:val="00D432C8"/>
    <w:rsid w:val="00D43486"/>
    <w:rsid w:val="00D44C82"/>
    <w:rsid w:val="00D52E91"/>
    <w:rsid w:val="00D53ECF"/>
    <w:rsid w:val="00D54B26"/>
    <w:rsid w:val="00D57905"/>
    <w:rsid w:val="00D60D35"/>
    <w:rsid w:val="00D615E7"/>
    <w:rsid w:val="00D62CBC"/>
    <w:rsid w:val="00D62F9D"/>
    <w:rsid w:val="00D637E1"/>
    <w:rsid w:val="00D658BF"/>
    <w:rsid w:val="00D66CC3"/>
    <w:rsid w:val="00D70D08"/>
    <w:rsid w:val="00D71D0B"/>
    <w:rsid w:val="00D729B2"/>
    <w:rsid w:val="00D73987"/>
    <w:rsid w:val="00D84638"/>
    <w:rsid w:val="00D9143B"/>
    <w:rsid w:val="00D93365"/>
    <w:rsid w:val="00D97642"/>
    <w:rsid w:val="00DA189D"/>
    <w:rsid w:val="00DA34C7"/>
    <w:rsid w:val="00DA5908"/>
    <w:rsid w:val="00DB0077"/>
    <w:rsid w:val="00DB5231"/>
    <w:rsid w:val="00DB6562"/>
    <w:rsid w:val="00DC1F89"/>
    <w:rsid w:val="00DC40B9"/>
    <w:rsid w:val="00DD4B7F"/>
    <w:rsid w:val="00DD4C0D"/>
    <w:rsid w:val="00DD78FE"/>
    <w:rsid w:val="00DE7885"/>
    <w:rsid w:val="00DF1D54"/>
    <w:rsid w:val="00DF67AD"/>
    <w:rsid w:val="00E03705"/>
    <w:rsid w:val="00E063AF"/>
    <w:rsid w:val="00E11F5A"/>
    <w:rsid w:val="00E166CF"/>
    <w:rsid w:val="00E16A11"/>
    <w:rsid w:val="00E17548"/>
    <w:rsid w:val="00E20FEA"/>
    <w:rsid w:val="00E24CC8"/>
    <w:rsid w:val="00E2679C"/>
    <w:rsid w:val="00E41A82"/>
    <w:rsid w:val="00E426ED"/>
    <w:rsid w:val="00E47CC8"/>
    <w:rsid w:val="00E533AA"/>
    <w:rsid w:val="00E54762"/>
    <w:rsid w:val="00E602F1"/>
    <w:rsid w:val="00E65CA0"/>
    <w:rsid w:val="00E6642D"/>
    <w:rsid w:val="00E72CDA"/>
    <w:rsid w:val="00E73031"/>
    <w:rsid w:val="00E75F8F"/>
    <w:rsid w:val="00E80443"/>
    <w:rsid w:val="00E8110D"/>
    <w:rsid w:val="00E81A76"/>
    <w:rsid w:val="00E81A9C"/>
    <w:rsid w:val="00E83EB7"/>
    <w:rsid w:val="00E90C8F"/>
    <w:rsid w:val="00EA097B"/>
    <w:rsid w:val="00EA1F8E"/>
    <w:rsid w:val="00EA302E"/>
    <w:rsid w:val="00EA52DB"/>
    <w:rsid w:val="00EA7716"/>
    <w:rsid w:val="00EB0EBE"/>
    <w:rsid w:val="00EC00B8"/>
    <w:rsid w:val="00EC0CCA"/>
    <w:rsid w:val="00EC66A0"/>
    <w:rsid w:val="00EC6720"/>
    <w:rsid w:val="00ED01DD"/>
    <w:rsid w:val="00ED5752"/>
    <w:rsid w:val="00ED7D66"/>
    <w:rsid w:val="00EE0FAC"/>
    <w:rsid w:val="00EE4749"/>
    <w:rsid w:val="00EE4D23"/>
    <w:rsid w:val="00EE5599"/>
    <w:rsid w:val="00EF124F"/>
    <w:rsid w:val="00EF36EF"/>
    <w:rsid w:val="00EF76C0"/>
    <w:rsid w:val="00EF77DD"/>
    <w:rsid w:val="00F012D3"/>
    <w:rsid w:val="00F03D46"/>
    <w:rsid w:val="00F04791"/>
    <w:rsid w:val="00F071B7"/>
    <w:rsid w:val="00F10FA6"/>
    <w:rsid w:val="00F12BAA"/>
    <w:rsid w:val="00F14A28"/>
    <w:rsid w:val="00F165A0"/>
    <w:rsid w:val="00F16FF3"/>
    <w:rsid w:val="00F1769E"/>
    <w:rsid w:val="00F2295F"/>
    <w:rsid w:val="00F3151E"/>
    <w:rsid w:val="00F34F6F"/>
    <w:rsid w:val="00F37A3A"/>
    <w:rsid w:val="00F40CF4"/>
    <w:rsid w:val="00F420A1"/>
    <w:rsid w:val="00F42D44"/>
    <w:rsid w:val="00F44646"/>
    <w:rsid w:val="00F55019"/>
    <w:rsid w:val="00F57AA3"/>
    <w:rsid w:val="00F612C0"/>
    <w:rsid w:val="00F6290A"/>
    <w:rsid w:val="00F63696"/>
    <w:rsid w:val="00F64CF7"/>
    <w:rsid w:val="00F700F9"/>
    <w:rsid w:val="00F73F67"/>
    <w:rsid w:val="00F75F5F"/>
    <w:rsid w:val="00F8345E"/>
    <w:rsid w:val="00F93D31"/>
    <w:rsid w:val="00F976C2"/>
    <w:rsid w:val="00F97C29"/>
    <w:rsid w:val="00FA1AC4"/>
    <w:rsid w:val="00FB3E7F"/>
    <w:rsid w:val="00FB4FF3"/>
    <w:rsid w:val="00FB7156"/>
    <w:rsid w:val="00FB74BB"/>
    <w:rsid w:val="00FC0CFA"/>
    <w:rsid w:val="00FC0D85"/>
    <w:rsid w:val="00FC2E75"/>
    <w:rsid w:val="00FC7752"/>
    <w:rsid w:val="00FD107D"/>
    <w:rsid w:val="00FD2B4E"/>
    <w:rsid w:val="00FD490F"/>
    <w:rsid w:val="00FD5BE6"/>
    <w:rsid w:val="00FD742D"/>
    <w:rsid w:val="00FE20EA"/>
    <w:rsid w:val="00FE628D"/>
    <w:rsid w:val="07754D00"/>
    <w:rsid w:val="07ACA3D5"/>
    <w:rsid w:val="0871332A"/>
    <w:rsid w:val="0BA8D3EC"/>
    <w:rsid w:val="223626C0"/>
    <w:rsid w:val="2EB43C8D"/>
    <w:rsid w:val="3532FCC6"/>
    <w:rsid w:val="43DE61F0"/>
    <w:rsid w:val="44F23E16"/>
    <w:rsid w:val="55F23477"/>
    <w:rsid w:val="5EB35DD5"/>
    <w:rsid w:val="65859C87"/>
    <w:rsid w:val="6E5F8EEA"/>
    <w:rsid w:val="70351304"/>
    <w:rsid w:val="7E9F9752"/>
    <w:rsid w:val="7FA4E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10C77"/>
  <w15:chartTrackingRefBased/>
  <w15:docId w15:val="{8D26A236-CC55-2047-B393-8FD19E45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9E"/>
    <w:rPr>
      <w:rFonts w:ascii="Times New Roman" w:eastAsia="Times New Roman" w:hAnsi="Times New Roman" w:cs="Times New Roman"/>
    </w:rPr>
  </w:style>
  <w:style w:type="paragraph" w:styleId="Heading1">
    <w:name w:val="heading 1"/>
    <w:basedOn w:val="Normal"/>
    <w:next w:val="Normal"/>
    <w:link w:val="Heading1Char"/>
    <w:uiPriority w:val="99"/>
    <w:qFormat/>
    <w:rsid w:val="000711A5"/>
    <w:pPr>
      <w:keepNext/>
      <w:keepLines/>
      <w:numPr>
        <w:numId w:val="30"/>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711A5"/>
    <w:pPr>
      <w:keepNext/>
      <w:numPr>
        <w:ilvl w:val="1"/>
        <w:numId w:val="30"/>
      </w:numPr>
      <w:jc w:val="center"/>
      <w:outlineLvl w:val="1"/>
    </w:pPr>
    <w:rPr>
      <w:b/>
      <w:bCs/>
      <w:u w:val="single"/>
    </w:rPr>
  </w:style>
  <w:style w:type="paragraph" w:styleId="Heading3">
    <w:name w:val="heading 3"/>
    <w:basedOn w:val="Normal"/>
    <w:next w:val="Normal"/>
    <w:link w:val="Heading3Char"/>
    <w:uiPriority w:val="9"/>
    <w:semiHidden/>
    <w:unhideWhenUsed/>
    <w:qFormat/>
    <w:rsid w:val="008F4D47"/>
    <w:pPr>
      <w:keepNext/>
      <w:keepLines/>
      <w:numPr>
        <w:ilvl w:val="2"/>
        <w:numId w:val="30"/>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0711A5"/>
    <w:pPr>
      <w:keepNext/>
      <w:numPr>
        <w:ilvl w:val="3"/>
        <w:numId w:val="30"/>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8F4D47"/>
    <w:pPr>
      <w:keepNext/>
      <w:keepLines/>
      <w:numPr>
        <w:ilvl w:val="4"/>
        <w:numId w:val="3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4D47"/>
    <w:pPr>
      <w:keepNext/>
      <w:keepLines/>
      <w:numPr>
        <w:ilvl w:val="5"/>
        <w:numId w:val="3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F4D47"/>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4D4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4D4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11A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0711A5"/>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0711A5"/>
    <w:rPr>
      <w:rFonts w:ascii="Calibri" w:eastAsia="Times New Roman" w:hAnsi="Calibri" w:cs="Times New Roman"/>
      <w:b/>
      <w:bCs/>
      <w:sz w:val="28"/>
      <w:szCs w:val="28"/>
    </w:rPr>
  </w:style>
  <w:style w:type="character" w:styleId="Hyperlink">
    <w:name w:val="Hyperlink"/>
    <w:uiPriority w:val="99"/>
    <w:rsid w:val="000711A5"/>
    <w:rPr>
      <w:rFonts w:cs="Times New Roman"/>
      <w:color w:val="0000FF"/>
      <w:u w:val="single"/>
    </w:rPr>
  </w:style>
  <w:style w:type="paragraph" w:styleId="FootnoteText">
    <w:name w:val="footnote text"/>
    <w:aliases w:val="FT"/>
    <w:basedOn w:val="Normal"/>
    <w:link w:val="FootnoteTextChar"/>
    <w:uiPriority w:val="99"/>
    <w:qFormat/>
    <w:rsid w:val="000711A5"/>
    <w:rPr>
      <w:sz w:val="20"/>
      <w:szCs w:val="20"/>
    </w:rPr>
  </w:style>
  <w:style w:type="character" w:customStyle="1" w:styleId="FootnoteTextChar">
    <w:name w:val="Footnote Text Char"/>
    <w:aliases w:val="FT Char"/>
    <w:basedOn w:val="DefaultParagraphFont"/>
    <w:link w:val="FootnoteText"/>
    <w:uiPriority w:val="99"/>
    <w:rsid w:val="000711A5"/>
    <w:rPr>
      <w:rFonts w:ascii="Times New Roman" w:eastAsia="Times New Roman" w:hAnsi="Times New Roman" w:cs="Times New Roman"/>
      <w:sz w:val="20"/>
      <w:szCs w:val="20"/>
    </w:rPr>
  </w:style>
  <w:style w:type="character" w:styleId="FootnoteReference">
    <w:name w:val="footnote reference"/>
    <w:qFormat/>
    <w:rsid w:val="000711A5"/>
    <w:rPr>
      <w:rFonts w:cs="Times New Roman"/>
      <w:vertAlign w:val="superscript"/>
    </w:rPr>
  </w:style>
  <w:style w:type="paragraph" w:styleId="Header">
    <w:name w:val="header"/>
    <w:basedOn w:val="Normal"/>
    <w:link w:val="HeaderChar"/>
    <w:uiPriority w:val="99"/>
    <w:rsid w:val="000711A5"/>
    <w:pPr>
      <w:tabs>
        <w:tab w:val="center" w:pos="4680"/>
        <w:tab w:val="right" w:pos="9360"/>
      </w:tabs>
    </w:pPr>
  </w:style>
  <w:style w:type="character" w:customStyle="1" w:styleId="HeaderChar">
    <w:name w:val="Header Char"/>
    <w:basedOn w:val="DefaultParagraphFont"/>
    <w:link w:val="Header"/>
    <w:uiPriority w:val="99"/>
    <w:rsid w:val="000711A5"/>
    <w:rPr>
      <w:rFonts w:ascii="Times New Roman" w:eastAsia="Times New Roman" w:hAnsi="Times New Roman" w:cs="Times New Roman"/>
    </w:rPr>
  </w:style>
  <w:style w:type="paragraph" w:styleId="Footer">
    <w:name w:val="footer"/>
    <w:basedOn w:val="Normal"/>
    <w:link w:val="FooterChar"/>
    <w:uiPriority w:val="99"/>
    <w:rsid w:val="000711A5"/>
    <w:pPr>
      <w:tabs>
        <w:tab w:val="center" w:pos="4680"/>
        <w:tab w:val="right" w:pos="9360"/>
      </w:tabs>
    </w:pPr>
  </w:style>
  <w:style w:type="character" w:customStyle="1" w:styleId="FooterChar">
    <w:name w:val="Footer Char"/>
    <w:basedOn w:val="DefaultParagraphFont"/>
    <w:link w:val="Footer"/>
    <w:uiPriority w:val="99"/>
    <w:rsid w:val="000711A5"/>
    <w:rPr>
      <w:rFonts w:ascii="Times New Roman" w:eastAsia="Times New Roman" w:hAnsi="Times New Roman" w:cs="Times New Roman"/>
    </w:rPr>
  </w:style>
  <w:style w:type="paragraph" w:customStyle="1" w:styleId="paragraph">
    <w:name w:val="paragraph"/>
    <w:basedOn w:val="Normal"/>
    <w:rsid w:val="000711A5"/>
    <w:pPr>
      <w:spacing w:before="100" w:beforeAutospacing="1" w:after="100" w:afterAutospacing="1"/>
    </w:pPr>
  </w:style>
  <w:style w:type="paragraph" w:styleId="ListParagraph">
    <w:name w:val="List Paragraph"/>
    <w:basedOn w:val="Normal"/>
    <w:uiPriority w:val="34"/>
    <w:qFormat/>
    <w:rsid w:val="000711A5"/>
    <w:pPr>
      <w:ind w:left="720"/>
      <w:contextualSpacing/>
    </w:pPr>
  </w:style>
  <w:style w:type="character" w:customStyle="1" w:styleId="eop">
    <w:name w:val="eop"/>
    <w:basedOn w:val="DefaultParagraphFont"/>
    <w:rsid w:val="000711A5"/>
  </w:style>
  <w:style w:type="paragraph" w:styleId="BodyText">
    <w:name w:val="Body Text"/>
    <w:basedOn w:val="Normal"/>
    <w:link w:val="BodyTextChar"/>
    <w:uiPriority w:val="99"/>
    <w:rsid w:val="000711A5"/>
    <w:pPr>
      <w:spacing w:line="480" w:lineRule="auto"/>
      <w:ind w:firstLine="720"/>
      <w:jc w:val="both"/>
    </w:pPr>
  </w:style>
  <w:style w:type="character" w:customStyle="1" w:styleId="BodyTextChar">
    <w:name w:val="Body Text Char"/>
    <w:basedOn w:val="DefaultParagraphFont"/>
    <w:link w:val="BodyText"/>
    <w:uiPriority w:val="99"/>
    <w:rsid w:val="000711A5"/>
    <w:rPr>
      <w:rFonts w:ascii="Times New Roman" w:eastAsia="Times New Roman" w:hAnsi="Times New Roman" w:cs="Times New Roman"/>
    </w:rPr>
  </w:style>
  <w:style w:type="character" w:customStyle="1" w:styleId="normaltextrun">
    <w:name w:val="normaltextrun"/>
    <w:basedOn w:val="DefaultParagraphFont"/>
    <w:rsid w:val="000711A5"/>
  </w:style>
  <w:style w:type="character" w:customStyle="1" w:styleId="tabchar">
    <w:name w:val="tabchar"/>
    <w:basedOn w:val="DefaultParagraphFont"/>
    <w:rsid w:val="000711A5"/>
  </w:style>
  <w:style w:type="character" w:styleId="PageNumber">
    <w:name w:val="page number"/>
    <w:basedOn w:val="DefaultParagraphFont"/>
    <w:uiPriority w:val="99"/>
    <w:semiHidden/>
    <w:unhideWhenUsed/>
    <w:rsid w:val="000711A5"/>
  </w:style>
  <w:style w:type="character" w:styleId="FollowedHyperlink">
    <w:name w:val="FollowedHyperlink"/>
    <w:basedOn w:val="DefaultParagraphFont"/>
    <w:uiPriority w:val="99"/>
    <w:semiHidden/>
    <w:unhideWhenUsed/>
    <w:rsid w:val="00F10FA6"/>
    <w:rPr>
      <w:color w:val="954F72" w:themeColor="followedHyperlink"/>
      <w:u w:val="single"/>
    </w:rPr>
  </w:style>
  <w:style w:type="character" w:styleId="CommentReference">
    <w:name w:val="annotation reference"/>
    <w:basedOn w:val="DefaultParagraphFont"/>
    <w:uiPriority w:val="99"/>
    <w:semiHidden/>
    <w:unhideWhenUsed/>
    <w:rsid w:val="007778AF"/>
    <w:rPr>
      <w:sz w:val="16"/>
      <w:szCs w:val="16"/>
    </w:rPr>
  </w:style>
  <w:style w:type="paragraph" w:styleId="CommentText">
    <w:name w:val="annotation text"/>
    <w:basedOn w:val="Normal"/>
    <w:link w:val="CommentTextChar"/>
    <w:uiPriority w:val="99"/>
    <w:semiHidden/>
    <w:unhideWhenUsed/>
    <w:rsid w:val="007778AF"/>
    <w:rPr>
      <w:sz w:val="20"/>
      <w:szCs w:val="20"/>
    </w:rPr>
  </w:style>
  <w:style w:type="character" w:customStyle="1" w:styleId="CommentTextChar">
    <w:name w:val="Comment Text Char"/>
    <w:basedOn w:val="DefaultParagraphFont"/>
    <w:link w:val="CommentText"/>
    <w:uiPriority w:val="99"/>
    <w:semiHidden/>
    <w:rsid w:val="007778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8AF"/>
    <w:rPr>
      <w:b/>
      <w:bCs/>
    </w:rPr>
  </w:style>
  <w:style w:type="character" w:customStyle="1" w:styleId="CommentSubjectChar">
    <w:name w:val="Comment Subject Char"/>
    <w:basedOn w:val="CommentTextChar"/>
    <w:link w:val="CommentSubject"/>
    <w:uiPriority w:val="99"/>
    <w:semiHidden/>
    <w:rsid w:val="007778A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D0E11"/>
    <w:pPr>
      <w:spacing w:before="100" w:beforeAutospacing="1" w:after="100" w:afterAutospacing="1"/>
    </w:pPr>
  </w:style>
  <w:style w:type="paragraph" w:styleId="BalloonText">
    <w:name w:val="Balloon Text"/>
    <w:basedOn w:val="Normal"/>
    <w:link w:val="BalloonTextChar"/>
    <w:uiPriority w:val="99"/>
    <w:semiHidden/>
    <w:unhideWhenUsed/>
    <w:rsid w:val="00B10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A4"/>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CA3C21"/>
    <w:rPr>
      <w:color w:val="605E5C"/>
      <w:shd w:val="clear" w:color="auto" w:fill="E1DFDD"/>
    </w:rPr>
  </w:style>
  <w:style w:type="paragraph" w:styleId="Revision">
    <w:name w:val="Revision"/>
    <w:hidden/>
    <w:uiPriority w:val="99"/>
    <w:semiHidden/>
    <w:rsid w:val="0060768F"/>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273630"/>
    <w:rPr>
      <w:color w:val="605E5C"/>
      <w:shd w:val="clear" w:color="auto" w:fill="E1DFDD"/>
    </w:rPr>
  </w:style>
  <w:style w:type="character" w:customStyle="1" w:styleId="UnresolvedMention">
    <w:name w:val="Unresolved Mention"/>
    <w:basedOn w:val="DefaultParagraphFont"/>
    <w:uiPriority w:val="99"/>
    <w:semiHidden/>
    <w:unhideWhenUsed/>
    <w:rsid w:val="00F6290A"/>
    <w:rPr>
      <w:color w:val="605E5C"/>
      <w:shd w:val="clear" w:color="auto" w:fill="E1DFDD"/>
    </w:rPr>
  </w:style>
  <w:style w:type="character" w:styleId="Strong">
    <w:name w:val="Strong"/>
    <w:basedOn w:val="DefaultParagraphFont"/>
    <w:uiPriority w:val="22"/>
    <w:qFormat/>
    <w:rsid w:val="00630E8C"/>
    <w:rPr>
      <w:b/>
      <w:bCs/>
    </w:rPr>
  </w:style>
  <w:style w:type="character" w:customStyle="1" w:styleId="metrics-cell">
    <w:name w:val="metrics-cell"/>
    <w:basedOn w:val="DefaultParagraphFont"/>
    <w:rsid w:val="00630E8C"/>
  </w:style>
  <w:style w:type="character" w:customStyle="1" w:styleId="percent-span">
    <w:name w:val="percent-span"/>
    <w:basedOn w:val="DefaultParagraphFont"/>
    <w:rsid w:val="00630E8C"/>
  </w:style>
  <w:style w:type="character" w:customStyle="1" w:styleId="content">
    <w:name w:val="content"/>
    <w:basedOn w:val="DefaultParagraphFont"/>
    <w:rsid w:val="00681A82"/>
  </w:style>
  <w:style w:type="character" w:customStyle="1" w:styleId="sort-arrow">
    <w:name w:val="sort-arrow"/>
    <w:basedOn w:val="DefaultParagraphFont"/>
    <w:rsid w:val="00681A82"/>
  </w:style>
  <w:style w:type="table" w:styleId="TableGrid">
    <w:name w:val="Table Grid"/>
    <w:basedOn w:val="TableNormal"/>
    <w:uiPriority w:val="39"/>
    <w:rsid w:val="004D2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F4D47"/>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8F4D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F4D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F4D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F4D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4D47"/>
    <w:rPr>
      <w:rFonts w:asciiTheme="majorHAnsi" w:eastAsiaTheme="majorEastAsia" w:hAnsiTheme="majorHAnsi" w:cstheme="majorBidi"/>
      <w:i/>
      <w:iCs/>
      <w:color w:val="272727" w:themeColor="text1" w:themeTint="D8"/>
      <w:sz w:val="21"/>
      <w:szCs w:val="21"/>
    </w:rPr>
  </w:style>
  <w:style w:type="character" w:customStyle="1" w:styleId="ui-provider">
    <w:name w:val="ui-provider"/>
    <w:basedOn w:val="DefaultParagraphFont"/>
    <w:rsid w:val="00E11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3779">
      <w:bodyDiv w:val="1"/>
      <w:marLeft w:val="0"/>
      <w:marRight w:val="0"/>
      <w:marTop w:val="0"/>
      <w:marBottom w:val="0"/>
      <w:divBdr>
        <w:top w:val="none" w:sz="0" w:space="0" w:color="auto"/>
        <w:left w:val="none" w:sz="0" w:space="0" w:color="auto"/>
        <w:bottom w:val="none" w:sz="0" w:space="0" w:color="auto"/>
        <w:right w:val="none" w:sz="0" w:space="0" w:color="auto"/>
      </w:divBdr>
    </w:div>
    <w:div w:id="144057724">
      <w:bodyDiv w:val="1"/>
      <w:marLeft w:val="0"/>
      <w:marRight w:val="0"/>
      <w:marTop w:val="0"/>
      <w:marBottom w:val="0"/>
      <w:divBdr>
        <w:top w:val="none" w:sz="0" w:space="0" w:color="auto"/>
        <w:left w:val="none" w:sz="0" w:space="0" w:color="auto"/>
        <w:bottom w:val="none" w:sz="0" w:space="0" w:color="auto"/>
        <w:right w:val="none" w:sz="0" w:space="0" w:color="auto"/>
      </w:divBdr>
    </w:div>
    <w:div w:id="172644597">
      <w:bodyDiv w:val="1"/>
      <w:marLeft w:val="0"/>
      <w:marRight w:val="0"/>
      <w:marTop w:val="0"/>
      <w:marBottom w:val="0"/>
      <w:divBdr>
        <w:top w:val="none" w:sz="0" w:space="0" w:color="auto"/>
        <w:left w:val="none" w:sz="0" w:space="0" w:color="auto"/>
        <w:bottom w:val="none" w:sz="0" w:space="0" w:color="auto"/>
        <w:right w:val="none" w:sz="0" w:space="0" w:color="auto"/>
      </w:divBdr>
    </w:div>
    <w:div w:id="194776927">
      <w:bodyDiv w:val="1"/>
      <w:marLeft w:val="0"/>
      <w:marRight w:val="0"/>
      <w:marTop w:val="0"/>
      <w:marBottom w:val="0"/>
      <w:divBdr>
        <w:top w:val="none" w:sz="0" w:space="0" w:color="auto"/>
        <w:left w:val="none" w:sz="0" w:space="0" w:color="auto"/>
        <w:bottom w:val="none" w:sz="0" w:space="0" w:color="auto"/>
        <w:right w:val="none" w:sz="0" w:space="0" w:color="auto"/>
      </w:divBdr>
    </w:div>
    <w:div w:id="318315645">
      <w:bodyDiv w:val="1"/>
      <w:marLeft w:val="0"/>
      <w:marRight w:val="0"/>
      <w:marTop w:val="0"/>
      <w:marBottom w:val="0"/>
      <w:divBdr>
        <w:top w:val="none" w:sz="0" w:space="0" w:color="auto"/>
        <w:left w:val="none" w:sz="0" w:space="0" w:color="auto"/>
        <w:bottom w:val="none" w:sz="0" w:space="0" w:color="auto"/>
        <w:right w:val="none" w:sz="0" w:space="0" w:color="auto"/>
      </w:divBdr>
    </w:div>
    <w:div w:id="355347213">
      <w:bodyDiv w:val="1"/>
      <w:marLeft w:val="0"/>
      <w:marRight w:val="0"/>
      <w:marTop w:val="0"/>
      <w:marBottom w:val="0"/>
      <w:divBdr>
        <w:top w:val="none" w:sz="0" w:space="0" w:color="auto"/>
        <w:left w:val="none" w:sz="0" w:space="0" w:color="auto"/>
        <w:bottom w:val="none" w:sz="0" w:space="0" w:color="auto"/>
        <w:right w:val="none" w:sz="0" w:space="0" w:color="auto"/>
      </w:divBdr>
    </w:div>
    <w:div w:id="416101807">
      <w:bodyDiv w:val="1"/>
      <w:marLeft w:val="0"/>
      <w:marRight w:val="0"/>
      <w:marTop w:val="0"/>
      <w:marBottom w:val="0"/>
      <w:divBdr>
        <w:top w:val="none" w:sz="0" w:space="0" w:color="auto"/>
        <w:left w:val="none" w:sz="0" w:space="0" w:color="auto"/>
        <w:bottom w:val="none" w:sz="0" w:space="0" w:color="auto"/>
        <w:right w:val="none" w:sz="0" w:space="0" w:color="auto"/>
      </w:divBdr>
    </w:div>
    <w:div w:id="455611929">
      <w:bodyDiv w:val="1"/>
      <w:marLeft w:val="0"/>
      <w:marRight w:val="0"/>
      <w:marTop w:val="0"/>
      <w:marBottom w:val="0"/>
      <w:divBdr>
        <w:top w:val="none" w:sz="0" w:space="0" w:color="auto"/>
        <w:left w:val="none" w:sz="0" w:space="0" w:color="auto"/>
        <w:bottom w:val="none" w:sz="0" w:space="0" w:color="auto"/>
        <w:right w:val="none" w:sz="0" w:space="0" w:color="auto"/>
      </w:divBdr>
    </w:div>
    <w:div w:id="521169244">
      <w:bodyDiv w:val="1"/>
      <w:marLeft w:val="0"/>
      <w:marRight w:val="0"/>
      <w:marTop w:val="0"/>
      <w:marBottom w:val="0"/>
      <w:divBdr>
        <w:top w:val="none" w:sz="0" w:space="0" w:color="auto"/>
        <w:left w:val="none" w:sz="0" w:space="0" w:color="auto"/>
        <w:bottom w:val="none" w:sz="0" w:space="0" w:color="auto"/>
        <w:right w:val="none" w:sz="0" w:space="0" w:color="auto"/>
      </w:divBdr>
    </w:div>
    <w:div w:id="529996335">
      <w:bodyDiv w:val="1"/>
      <w:marLeft w:val="0"/>
      <w:marRight w:val="0"/>
      <w:marTop w:val="0"/>
      <w:marBottom w:val="0"/>
      <w:divBdr>
        <w:top w:val="none" w:sz="0" w:space="0" w:color="auto"/>
        <w:left w:val="none" w:sz="0" w:space="0" w:color="auto"/>
        <w:bottom w:val="none" w:sz="0" w:space="0" w:color="auto"/>
        <w:right w:val="none" w:sz="0" w:space="0" w:color="auto"/>
      </w:divBdr>
    </w:div>
    <w:div w:id="543907531">
      <w:bodyDiv w:val="1"/>
      <w:marLeft w:val="0"/>
      <w:marRight w:val="0"/>
      <w:marTop w:val="0"/>
      <w:marBottom w:val="0"/>
      <w:divBdr>
        <w:top w:val="none" w:sz="0" w:space="0" w:color="auto"/>
        <w:left w:val="none" w:sz="0" w:space="0" w:color="auto"/>
        <w:bottom w:val="none" w:sz="0" w:space="0" w:color="auto"/>
        <w:right w:val="none" w:sz="0" w:space="0" w:color="auto"/>
      </w:divBdr>
    </w:div>
    <w:div w:id="568999564">
      <w:bodyDiv w:val="1"/>
      <w:marLeft w:val="0"/>
      <w:marRight w:val="0"/>
      <w:marTop w:val="0"/>
      <w:marBottom w:val="0"/>
      <w:divBdr>
        <w:top w:val="none" w:sz="0" w:space="0" w:color="auto"/>
        <w:left w:val="none" w:sz="0" w:space="0" w:color="auto"/>
        <w:bottom w:val="none" w:sz="0" w:space="0" w:color="auto"/>
        <w:right w:val="none" w:sz="0" w:space="0" w:color="auto"/>
      </w:divBdr>
    </w:div>
    <w:div w:id="671879807">
      <w:bodyDiv w:val="1"/>
      <w:marLeft w:val="0"/>
      <w:marRight w:val="0"/>
      <w:marTop w:val="0"/>
      <w:marBottom w:val="0"/>
      <w:divBdr>
        <w:top w:val="none" w:sz="0" w:space="0" w:color="auto"/>
        <w:left w:val="none" w:sz="0" w:space="0" w:color="auto"/>
        <w:bottom w:val="none" w:sz="0" w:space="0" w:color="auto"/>
        <w:right w:val="none" w:sz="0" w:space="0" w:color="auto"/>
      </w:divBdr>
    </w:div>
    <w:div w:id="815612735">
      <w:bodyDiv w:val="1"/>
      <w:marLeft w:val="0"/>
      <w:marRight w:val="0"/>
      <w:marTop w:val="0"/>
      <w:marBottom w:val="0"/>
      <w:divBdr>
        <w:top w:val="none" w:sz="0" w:space="0" w:color="auto"/>
        <w:left w:val="none" w:sz="0" w:space="0" w:color="auto"/>
        <w:bottom w:val="none" w:sz="0" w:space="0" w:color="auto"/>
        <w:right w:val="none" w:sz="0" w:space="0" w:color="auto"/>
      </w:divBdr>
    </w:div>
    <w:div w:id="825436917">
      <w:bodyDiv w:val="1"/>
      <w:marLeft w:val="0"/>
      <w:marRight w:val="0"/>
      <w:marTop w:val="0"/>
      <w:marBottom w:val="0"/>
      <w:divBdr>
        <w:top w:val="none" w:sz="0" w:space="0" w:color="auto"/>
        <w:left w:val="none" w:sz="0" w:space="0" w:color="auto"/>
        <w:bottom w:val="none" w:sz="0" w:space="0" w:color="auto"/>
        <w:right w:val="none" w:sz="0" w:space="0" w:color="auto"/>
      </w:divBdr>
    </w:div>
    <w:div w:id="915358908">
      <w:bodyDiv w:val="1"/>
      <w:marLeft w:val="0"/>
      <w:marRight w:val="0"/>
      <w:marTop w:val="0"/>
      <w:marBottom w:val="0"/>
      <w:divBdr>
        <w:top w:val="none" w:sz="0" w:space="0" w:color="auto"/>
        <w:left w:val="none" w:sz="0" w:space="0" w:color="auto"/>
        <w:bottom w:val="none" w:sz="0" w:space="0" w:color="auto"/>
        <w:right w:val="none" w:sz="0" w:space="0" w:color="auto"/>
      </w:divBdr>
      <w:divsChild>
        <w:div w:id="463891769">
          <w:marLeft w:val="0"/>
          <w:marRight w:val="0"/>
          <w:marTop w:val="0"/>
          <w:marBottom w:val="0"/>
          <w:divBdr>
            <w:top w:val="none" w:sz="0" w:space="0" w:color="auto"/>
            <w:left w:val="none" w:sz="0" w:space="0" w:color="auto"/>
            <w:bottom w:val="none" w:sz="0" w:space="0" w:color="auto"/>
            <w:right w:val="none" w:sz="0" w:space="0" w:color="auto"/>
          </w:divBdr>
          <w:divsChild>
            <w:div w:id="1369530565">
              <w:marLeft w:val="0"/>
              <w:marRight w:val="0"/>
              <w:marTop w:val="0"/>
              <w:marBottom w:val="0"/>
              <w:divBdr>
                <w:top w:val="none" w:sz="0" w:space="0" w:color="auto"/>
                <w:left w:val="none" w:sz="0" w:space="0" w:color="auto"/>
                <w:bottom w:val="none" w:sz="0" w:space="0" w:color="auto"/>
                <w:right w:val="none" w:sz="0" w:space="0" w:color="auto"/>
              </w:divBdr>
              <w:divsChild>
                <w:div w:id="2053767784">
                  <w:marLeft w:val="0"/>
                  <w:marRight w:val="0"/>
                  <w:marTop w:val="0"/>
                  <w:marBottom w:val="0"/>
                  <w:divBdr>
                    <w:top w:val="none" w:sz="0" w:space="0" w:color="auto"/>
                    <w:left w:val="none" w:sz="0" w:space="0" w:color="auto"/>
                    <w:bottom w:val="none" w:sz="0" w:space="0" w:color="auto"/>
                    <w:right w:val="none" w:sz="0" w:space="0" w:color="auto"/>
                  </w:divBdr>
                  <w:divsChild>
                    <w:div w:id="9676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07495">
      <w:bodyDiv w:val="1"/>
      <w:marLeft w:val="0"/>
      <w:marRight w:val="0"/>
      <w:marTop w:val="0"/>
      <w:marBottom w:val="0"/>
      <w:divBdr>
        <w:top w:val="none" w:sz="0" w:space="0" w:color="auto"/>
        <w:left w:val="none" w:sz="0" w:space="0" w:color="auto"/>
        <w:bottom w:val="none" w:sz="0" w:space="0" w:color="auto"/>
        <w:right w:val="none" w:sz="0" w:space="0" w:color="auto"/>
      </w:divBdr>
    </w:div>
    <w:div w:id="1189488059">
      <w:bodyDiv w:val="1"/>
      <w:marLeft w:val="0"/>
      <w:marRight w:val="0"/>
      <w:marTop w:val="0"/>
      <w:marBottom w:val="0"/>
      <w:divBdr>
        <w:top w:val="none" w:sz="0" w:space="0" w:color="auto"/>
        <w:left w:val="none" w:sz="0" w:space="0" w:color="auto"/>
        <w:bottom w:val="none" w:sz="0" w:space="0" w:color="auto"/>
        <w:right w:val="none" w:sz="0" w:space="0" w:color="auto"/>
      </w:divBdr>
    </w:div>
    <w:div w:id="1201015109">
      <w:bodyDiv w:val="1"/>
      <w:marLeft w:val="0"/>
      <w:marRight w:val="0"/>
      <w:marTop w:val="0"/>
      <w:marBottom w:val="0"/>
      <w:divBdr>
        <w:top w:val="none" w:sz="0" w:space="0" w:color="auto"/>
        <w:left w:val="none" w:sz="0" w:space="0" w:color="auto"/>
        <w:bottom w:val="none" w:sz="0" w:space="0" w:color="auto"/>
        <w:right w:val="none" w:sz="0" w:space="0" w:color="auto"/>
      </w:divBdr>
    </w:div>
    <w:div w:id="1395347222">
      <w:bodyDiv w:val="1"/>
      <w:marLeft w:val="0"/>
      <w:marRight w:val="0"/>
      <w:marTop w:val="0"/>
      <w:marBottom w:val="0"/>
      <w:divBdr>
        <w:top w:val="none" w:sz="0" w:space="0" w:color="auto"/>
        <w:left w:val="none" w:sz="0" w:space="0" w:color="auto"/>
        <w:bottom w:val="none" w:sz="0" w:space="0" w:color="auto"/>
        <w:right w:val="none" w:sz="0" w:space="0" w:color="auto"/>
      </w:divBdr>
    </w:div>
    <w:div w:id="1395811445">
      <w:bodyDiv w:val="1"/>
      <w:marLeft w:val="0"/>
      <w:marRight w:val="0"/>
      <w:marTop w:val="0"/>
      <w:marBottom w:val="0"/>
      <w:divBdr>
        <w:top w:val="none" w:sz="0" w:space="0" w:color="auto"/>
        <w:left w:val="none" w:sz="0" w:space="0" w:color="auto"/>
        <w:bottom w:val="none" w:sz="0" w:space="0" w:color="auto"/>
        <w:right w:val="none" w:sz="0" w:space="0" w:color="auto"/>
      </w:divBdr>
    </w:div>
    <w:div w:id="1460220401">
      <w:bodyDiv w:val="1"/>
      <w:marLeft w:val="0"/>
      <w:marRight w:val="0"/>
      <w:marTop w:val="0"/>
      <w:marBottom w:val="0"/>
      <w:divBdr>
        <w:top w:val="none" w:sz="0" w:space="0" w:color="auto"/>
        <w:left w:val="none" w:sz="0" w:space="0" w:color="auto"/>
        <w:bottom w:val="none" w:sz="0" w:space="0" w:color="auto"/>
        <w:right w:val="none" w:sz="0" w:space="0" w:color="auto"/>
      </w:divBdr>
    </w:div>
    <w:div w:id="1466853509">
      <w:bodyDiv w:val="1"/>
      <w:marLeft w:val="0"/>
      <w:marRight w:val="0"/>
      <w:marTop w:val="0"/>
      <w:marBottom w:val="0"/>
      <w:divBdr>
        <w:top w:val="none" w:sz="0" w:space="0" w:color="auto"/>
        <w:left w:val="none" w:sz="0" w:space="0" w:color="auto"/>
        <w:bottom w:val="none" w:sz="0" w:space="0" w:color="auto"/>
        <w:right w:val="none" w:sz="0" w:space="0" w:color="auto"/>
      </w:divBdr>
    </w:div>
    <w:div w:id="1516111766">
      <w:bodyDiv w:val="1"/>
      <w:marLeft w:val="0"/>
      <w:marRight w:val="0"/>
      <w:marTop w:val="0"/>
      <w:marBottom w:val="0"/>
      <w:divBdr>
        <w:top w:val="none" w:sz="0" w:space="0" w:color="auto"/>
        <w:left w:val="none" w:sz="0" w:space="0" w:color="auto"/>
        <w:bottom w:val="none" w:sz="0" w:space="0" w:color="auto"/>
        <w:right w:val="none" w:sz="0" w:space="0" w:color="auto"/>
      </w:divBdr>
    </w:div>
    <w:div w:id="1524048602">
      <w:bodyDiv w:val="1"/>
      <w:marLeft w:val="0"/>
      <w:marRight w:val="0"/>
      <w:marTop w:val="0"/>
      <w:marBottom w:val="0"/>
      <w:divBdr>
        <w:top w:val="none" w:sz="0" w:space="0" w:color="auto"/>
        <w:left w:val="none" w:sz="0" w:space="0" w:color="auto"/>
        <w:bottom w:val="none" w:sz="0" w:space="0" w:color="auto"/>
        <w:right w:val="none" w:sz="0" w:space="0" w:color="auto"/>
      </w:divBdr>
    </w:div>
    <w:div w:id="1594240437">
      <w:bodyDiv w:val="1"/>
      <w:marLeft w:val="0"/>
      <w:marRight w:val="0"/>
      <w:marTop w:val="0"/>
      <w:marBottom w:val="0"/>
      <w:divBdr>
        <w:top w:val="none" w:sz="0" w:space="0" w:color="auto"/>
        <w:left w:val="none" w:sz="0" w:space="0" w:color="auto"/>
        <w:bottom w:val="none" w:sz="0" w:space="0" w:color="auto"/>
        <w:right w:val="none" w:sz="0" w:space="0" w:color="auto"/>
      </w:divBdr>
    </w:div>
    <w:div w:id="1619799422">
      <w:bodyDiv w:val="1"/>
      <w:marLeft w:val="0"/>
      <w:marRight w:val="0"/>
      <w:marTop w:val="0"/>
      <w:marBottom w:val="0"/>
      <w:divBdr>
        <w:top w:val="none" w:sz="0" w:space="0" w:color="auto"/>
        <w:left w:val="none" w:sz="0" w:space="0" w:color="auto"/>
        <w:bottom w:val="none" w:sz="0" w:space="0" w:color="auto"/>
        <w:right w:val="none" w:sz="0" w:space="0" w:color="auto"/>
      </w:divBdr>
    </w:div>
    <w:div w:id="1633558635">
      <w:bodyDiv w:val="1"/>
      <w:marLeft w:val="0"/>
      <w:marRight w:val="0"/>
      <w:marTop w:val="0"/>
      <w:marBottom w:val="0"/>
      <w:divBdr>
        <w:top w:val="none" w:sz="0" w:space="0" w:color="auto"/>
        <w:left w:val="none" w:sz="0" w:space="0" w:color="auto"/>
        <w:bottom w:val="none" w:sz="0" w:space="0" w:color="auto"/>
        <w:right w:val="none" w:sz="0" w:space="0" w:color="auto"/>
      </w:divBdr>
    </w:div>
    <w:div w:id="1643731838">
      <w:bodyDiv w:val="1"/>
      <w:marLeft w:val="0"/>
      <w:marRight w:val="0"/>
      <w:marTop w:val="0"/>
      <w:marBottom w:val="0"/>
      <w:divBdr>
        <w:top w:val="none" w:sz="0" w:space="0" w:color="auto"/>
        <w:left w:val="none" w:sz="0" w:space="0" w:color="auto"/>
        <w:bottom w:val="none" w:sz="0" w:space="0" w:color="auto"/>
        <w:right w:val="none" w:sz="0" w:space="0" w:color="auto"/>
      </w:divBdr>
    </w:div>
    <w:div w:id="1746759840">
      <w:bodyDiv w:val="1"/>
      <w:marLeft w:val="0"/>
      <w:marRight w:val="0"/>
      <w:marTop w:val="0"/>
      <w:marBottom w:val="0"/>
      <w:divBdr>
        <w:top w:val="none" w:sz="0" w:space="0" w:color="auto"/>
        <w:left w:val="none" w:sz="0" w:space="0" w:color="auto"/>
        <w:bottom w:val="none" w:sz="0" w:space="0" w:color="auto"/>
        <w:right w:val="none" w:sz="0" w:space="0" w:color="auto"/>
      </w:divBdr>
    </w:div>
    <w:div w:id="1752039953">
      <w:bodyDiv w:val="1"/>
      <w:marLeft w:val="0"/>
      <w:marRight w:val="0"/>
      <w:marTop w:val="0"/>
      <w:marBottom w:val="0"/>
      <w:divBdr>
        <w:top w:val="none" w:sz="0" w:space="0" w:color="auto"/>
        <w:left w:val="none" w:sz="0" w:space="0" w:color="auto"/>
        <w:bottom w:val="none" w:sz="0" w:space="0" w:color="auto"/>
        <w:right w:val="none" w:sz="0" w:space="0" w:color="auto"/>
      </w:divBdr>
    </w:div>
    <w:div w:id="1769691472">
      <w:bodyDiv w:val="1"/>
      <w:marLeft w:val="0"/>
      <w:marRight w:val="0"/>
      <w:marTop w:val="0"/>
      <w:marBottom w:val="0"/>
      <w:divBdr>
        <w:top w:val="none" w:sz="0" w:space="0" w:color="auto"/>
        <w:left w:val="none" w:sz="0" w:space="0" w:color="auto"/>
        <w:bottom w:val="none" w:sz="0" w:space="0" w:color="auto"/>
        <w:right w:val="none" w:sz="0" w:space="0" w:color="auto"/>
      </w:divBdr>
    </w:div>
    <w:div w:id="1821993172">
      <w:bodyDiv w:val="1"/>
      <w:marLeft w:val="0"/>
      <w:marRight w:val="0"/>
      <w:marTop w:val="0"/>
      <w:marBottom w:val="0"/>
      <w:divBdr>
        <w:top w:val="none" w:sz="0" w:space="0" w:color="auto"/>
        <w:left w:val="none" w:sz="0" w:space="0" w:color="auto"/>
        <w:bottom w:val="none" w:sz="0" w:space="0" w:color="auto"/>
        <w:right w:val="none" w:sz="0" w:space="0" w:color="auto"/>
      </w:divBdr>
    </w:div>
    <w:div w:id="1932084830">
      <w:bodyDiv w:val="1"/>
      <w:marLeft w:val="0"/>
      <w:marRight w:val="0"/>
      <w:marTop w:val="0"/>
      <w:marBottom w:val="0"/>
      <w:divBdr>
        <w:top w:val="none" w:sz="0" w:space="0" w:color="auto"/>
        <w:left w:val="none" w:sz="0" w:space="0" w:color="auto"/>
        <w:bottom w:val="none" w:sz="0" w:space="0" w:color="auto"/>
        <w:right w:val="none" w:sz="0" w:space="0" w:color="auto"/>
      </w:divBdr>
    </w:div>
    <w:div w:id="1952785215">
      <w:bodyDiv w:val="1"/>
      <w:marLeft w:val="0"/>
      <w:marRight w:val="0"/>
      <w:marTop w:val="0"/>
      <w:marBottom w:val="0"/>
      <w:divBdr>
        <w:top w:val="none" w:sz="0" w:space="0" w:color="auto"/>
        <w:left w:val="none" w:sz="0" w:space="0" w:color="auto"/>
        <w:bottom w:val="none" w:sz="0" w:space="0" w:color="auto"/>
        <w:right w:val="none" w:sz="0" w:space="0" w:color="auto"/>
      </w:divBdr>
    </w:div>
    <w:div w:id="1997689390">
      <w:bodyDiv w:val="1"/>
      <w:marLeft w:val="0"/>
      <w:marRight w:val="0"/>
      <w:marTop w:val="0"/>
      <w:marBottom w:val="0"/>
      <w:divBdr>
        <w:top w:val="none" w:sz="0" w:space="0" w:color="auto"/>
        <w:left w:val="none" w:sz="0" w:space="0" w:color="auto"/>
        <w:bottom w:val="none" w:sz="0" w:space="0" w:color="auto"/>
        <w:right w:val="none" w:sz="0" w:space="0" w:color="auto"/>
      </w:divBdr>
    </w:div>
    <w:div w:id="2028603886">
      <w:bodyDiv w:val="1"/>
      <w:marLeft w:val="0"/>
      <w:marRight w:val="0"/>
      <w:marTop w:val="0"/>
      <w:marBottom w:val="0"/>
      <w:divBdr>
        <w:top w:val="none" w:sz="0" w:space="0" w:color="auto"/>
        <w:left w:val="none" w:sz="0" w:space="0" w:color="auto"/>
        <w:bottom w:val="none" w:sz="0" w:space="0" w:color="auto"/>
        <w:right w:val="none" w:sz="0" w:space="0" w:color="auto"/>
      </w:divBdr>
    </w:div>
    <w:div w:id="2033995809">
      <w:bodyDiv w:val="1"/>
      <w:marLeft w:val="0"/>
      <w:marRight w:val="0"/>
      <w:marTop w:val="0"/>
      <w:marBottom w:val="0"/>
      <w:divBdr>
        <w:top w:val="none" w:sz="0" w:space="0" w:color="auto"/>
        <w:left w:val="none" w:sz="0" w:space="0" w:color="auto"/>
        <w:bottom w:val="none" w:sz="0" w:space="0" w:color="auto"/>
        <w:right w:val="none" w:sz="0" w:space="0" w:color="auto"/>
      </w:divBdr>
    </w:div>
    <w:div w:id="20849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8" Type="http://schemas.microsoft.com/office/2016/09/relationships/commentsIds" Target="commentsId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3" Type="http://schemas.openxmlformats.org/officeDocument/2006/relationships/hyperlink" Target="https://covid.cdc.gov/covid-data-tracker/" TargetMode="External"/><Relationship Id="rId18" Type="http://schemas.openxmlformats.org/officeDocument/2006/relationships/hyperlink" Target="https://www1.nyc.gov/site/doh/covid/covid-19-data.page" TargetMode="External"/><Relationship Id="rId26" Type="http://schemas.openxmlformats.org/officeDocument/2006/relationships/hyperlink" Target="https://www.nytimes.com/2023/02/06/nyregion/vaccine-mandate-nyc-adams.html" TargetMode="External"/><Relationship Id="rId21" Type="http://schemas.openxmlformats.org/officeDocument/2006/relationships/hyperlink" Target="https://www.nytimes.com/interactive/2021/us/new-york-city-new-york-covid-cases.html" TargetMode="External"/><Relationship Id="rId34" Type="http://schemas.openxmlformats.org/officeDocument/2006/relationships/hyperlink" Target="https://nypost.com/2022/10/25/judge-tosses-nyc-vaccine-mandate-orders-workers-backpay" TargetMode="External"/><Relationship Id="rId7" Type="http://schemas.openxmlformats.org/officeDocument/2006/relationships/hyperlink" Target="https://www.cdc.gov/coronavirus/2019-ncov/covid-data/covidview/index.html" TargetMode="External"/><Relationship Id="rId12" Type="http://schemas.openxmlformats.org/officeDocument/2006/relationships/hyperlink" Target="https://www.cdc.gov/coronavirus/2019-ncov/covid-data/covidview/index.html" TargetMode="External"/><Relationship Id="rId17" Type="http://schemas.openxmlformats.org/officeDocument/2006/relationships/hyperlink" Target="https://www.cdc.gov/coronavirus/2019-ncov/prevent-getting-sick/Improving-Ventilation-Home.html" TargetMode="External"/><Relationship Id="rId25" Type="http://schemas.openxmlformats.org/officeDocument/2006/relationships/hyperlink" Target="https://www.nyc.gov/assets/doh/downloads/pdf/covid/covid-19-winter-plan.pdf" TargetMode="External"/><Relationship Id="rId33" Type="http://schemas.openxmlformats.org/officeDocument/2006/relationships/hyperlink" Target="https://www.amny.com/politics/adams-lifts-city-employee-vaccine-mandate-february-2023" TargetMode="External"/><Relationship Id="rId38" Type="http://schemas.openxmlformats.org/officeDocument/2006/relationships/hyperlink" Target="https://telehealth.hhs.gov/providers/policy-changes-during-the-covid-19-public-health-emergency/policy-changes-after-the-covid-19-public-health-emergency/" TargetMode="External"/><Relationship Id="rId2" Type="http://schemas.openxmlformats.org/officeDocument/2006/relationships/hyperlink" Target="https://covid.cdc.gov/covid-data-tracker/" TargetMode="External"/><Relationship Id="rId16" Type="http://schemas.openxmlformats.org/officeDocument/2006/relationships/hyperlink" Target="https://covid.cdc.gov/covid-data-tracker/" TargetMode="External"/><Relationship Id="rId20" Type="http://schemas.openxmlformats.org/officeDocument/2006/relationships/hyperlink" Target="https://www.nytimes.com/interactive/2021/us/new-york-city-new-york-covid-cases.html" TargetMode="External"/><Relationship Id="rId29" Type="http://schemas.openxmlformats.org/officeDocument/2006/relationships/hyperlink" Target="https://www.nytimes.com/2023/02/06/nyregion/vaccine-mandate-nyc-adams.html" TargetMode="External"/><Relationship Id="rId1" Type="http://schemas.openxmlformats.org/officeDocument/2006/relationships/hyperlink" Target="https://www.cdc.gov/coronavirus/2019-ncov/covid-data/covidview/index.html" TargetMode="External"/><Relationship Id="rId6" Type="http://schemas.openxmlformats.org/officeDocument/2006/relationships/hyperlink" Target="https://www.cdc.gov/media/releases/2022/s0901-covid-19-booster.html" TargetMode="External"/><Relationship Id="rId11" Type="http://schemas.openxmlformats.org/officeDocument/2006/relationships/hyperlink" Target="https://aspr.hhs.gov/COVID-19/Therapeutics/Products/Evusheld/Pages/default.aspx" TargetMode="External"/><Relationship Id="rId24" Type="http://schemas.openxmlformats.org/officeDocument/2006/relationships/hyperlink" Target="https://www.nyc.gov/assets/doh/downloads/pdf/covid/covid-19-winter-plan.pdf" TargetMode="External"/><Relationship Id="rId32" Type="http://schemas.openxmlformats.org/officeDocument/2006/relationships/hyperlink" Target="https://www.nytimes.com/2023/02/06/nyregion/vaccine-mandate-nyc-adams.html" TargetMode="External"/><Relationship Id="rId37" Type="http://schemas.openxmlformats.org/officeDocument/2006/relationships/hyperlink" Target="https://www.cnn.com/2023/01/30/politics/may-11-end-of-covid-and-public-health-emergencies/index.html" TargetMode="External"/><Relationship Id="rId5" Type="http://schemas.openxmlformats.org/officeDocument/2006/relationships/hyperlink" Target="https://covid.cdc.gov/covid-data-tracker/" TargetMode="External"/><Relationship Id="rId15" Type="http://schemas.openxmlformats.org/officeDocument/2006/relationships/hyperlink" Target="https://covid.cdc.gov/covid-data-tracker/" TargetMode="External"/><Relationship Id="rId23" Type="http://schemas.openxmlformats.org/officeDocument/2006/relationships/hyperlink" Target="https://www.nychealthandhospitals.org/pressrelease/test-treat-corps-mobile-test-to-treat-program-provides-paxlovid-to-over-1000-new-yorkers" TargetMode="External"/><Relationship Id="rId28" Type="http://schemas.openxmlformats.org/officeDocument/2006/relationships/hyperlink" Target="https://www.nyc.gov/office-of-the-mayor/news/698-21/mayor-de-blasio-vaccine-mandate-new-york-city-workforce" TargetMode="External"/><Relationship Id="rId36" Type="http://schemas.openxmlformats.org/officeDocument/2006/relationships/hyperlink" Target="https://www.usnews.com/news/national-news/articles/2023-01-30/biden-administration-announces-plan-to-end-covid-19-emergency-declarations" TargetMode="External"/><Relationship Id="rId10" Type="http://schemas.openxmlformats.org/officeDocument/2006/relationships/hyperlink" Target="https://www.cdc.gov/coronavirus/2019-ncov/your-health/treatments-for-severe-illness.html" TargetMode="External"/><Relationship Id="rId19" Type="http://schemas.openxmlformats.org/officeDocument/2006/relationships/hyperlink" Target="https://www1.nyc.gov/site/doh/covid/covid-19-data.page" TargetMode="External"/><Relationship Id="rId31" Type="http://schemas.openxmlformats.org/officeDocument/2006/relationships/hyperlink" Target="https://nyc.gov/office-of-the-mayor/news/092-23/with-96-percent-city-workers-fully-vaccinated-mayor-adams-covid-19-vaccination" TargetMode="External"/><Relationship Id="rId4" Type="http://schemas.openxmlformats.org/officeDocument/2006/relationships/hyperlink" Target="https://covid.cdc.gov/covid-data-tracker/" TargetMode="External"/><Relationship Id="rId9" Type="http://schemas.openxmlformats.org/officeDocument/2006/relationships/hyperlink" Target="https://aspr.hhs.gov/COVID-19/Treatments/Pages/Possible-Treatment-Options-for-COVID19.aspx" TargetMode="External"/><Relationship Id="rId14" Type="http://schemas.openxmlformats.org/officeDocument/2006/relationships/hyperlink" Target="https://www.cdc.gov/coronavirus/2019-ncov/your-health/covid-by-county.html" TargetMode="External"/><Relationship Id="rId22" Type="http://schemas.openxmlformats.org/officeDocument/2006/relationships/hyperlink" Target="https://www.nyc.gov/assets/doh/downloads/pdf/covid/covid-19-winter-plan.pdf" TargetMode="External"/><Relationship Id="rId27" Type="http://schemas.openxmlformats.org/officeDocument/2006/relationships/hyperlink" Target="https://www.fda.gov/emergency-preparedness-and-response/coronavirus-disease-2019-covid-19/pfizer-biontech-covid-19-vaccines" TargetMode="External"/><Relationship Id="rId30" Type="http://schemas.openxmlformats.org/officeDocument/2006/relationships/hyperlink" Target="https://pubmed.ncbi.nlm.nih.gov/35881035" TargetMode="External"/><Relationship Id="rId35" Type="http://schemas.openxmlformats.org/officeDocument/2006/relationships/hyperlink" Target="https://www.amny.com/politics/adams-lifts-city-employee-vaccine-mandate-february-2023" TargetMode="External"/><Relationship Id="rId8" Type="http://schemas.openxmlformats.org/officeDocument/2006/relationships/hyperlink" Target="https://www.cdc.gov/coronavirus/2019-ncov/your-health/treatments-for-severe-illness.html" TargetMode="External"/><Relationship Id="rId3" Type="http://schemas.openxmlformats.org/officeDocument/2006/relationships/hyperlink" Target="https://www.ama-assn.org/delivering-care/public-health/xbb15-omicron-subvariant-questions-patients-may-h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6363-B418-444E-97C5-553B231F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2566</Words>
  <Characters>14630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cp:revision>
  <cp:lastPrinted>2022-04-15T16:51:00Z</cp:lastPrinted>
  <dcterms:created xsi:type="dcterms:W3CDTF">2023-02-14T01:24:00Z</dcterms:created>
  <dcterms:modified xsi:type="dcterms:W3CDTF">2023-02-14T01:24:00Z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783731cfcb5026719f7e263353e5fd03a86ca0af018748459e9e3e79df390248</vt:lpwstr>
  </property>
</Properties>
</file>