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D10E" w14:textId="42E5B7C5" w:rsidR="00522A1B" w:rsidRPr="006713BF" w:rsidRDefault="00522A1B" w:rsidP="00522A1B">
      <w:pPr>
        <w:suppressLineNumbers/>
        <w:jc w:val="right"/>
        <w:rPr>
          <w:sz w:val="22"/>
        </w:rPr>
      </w:pPr>
      <w:bookmarkStart w:id="0" w:name="_GoBack"/>
      <w:bookmarkEnd w:id="0"/>
      <w:r w:rsidRPr="006713BF">
        <w:rPr>
          <w:sz w:val="22"/>
          <w:u w:val="single"/>
        </w:rPr>
        <w:t>Committee on Criminal Justice</w:t>
      </w:r>
    </w:p>
    <w:p w14:paraId="304FE206" w14:textId="3EE7BD99" w:rsidR="00522A1B" w:rsidRPr="006713BF" w:rsidRDefault="00952662" w:rsidP="00522A1B">
      <w:pPr>
        <w:suppressLineNumbers/>
        <w:jc w:val="right"/>
        <w:rPr>
          <w:sz w:val="22"/>
        </w:rPr>
      </w:pPr>
      <w:r w:rsidRPr="006713BF">
        <w:rPr>
          <w:sz w:val="22"/>
        </w:rPr>
        <w:t>Jeremy Whiteman</w:t>
      </w:r>
      <w:r w:rsidR="00522A1B" w:rsidRPr="006713BF">
        <w:rPr>
          <w:sz w:val="22"/>
        </w:rPr>
        <w:t xml:space="preserve">, Legislative Counsel </w:t>
      </w:r>
    </w:p>
    <w:p w14:paraId="7F63EBE4" w14:textId="66C68C44" w:rsidR="00522A1B" w:rsidRPr="006713BF" w:rsidRDefault="00522A1B" w:rsidP="00522A1B">
      <w:pPr>
        <w:suppressLineNumbers/>
        <w:jc w:val="right"/>
        <w:rPr>
          <w:sz w:val="22"/>
        </w:rPr>
      </w:pPr>
      <w:r w:rsidRPr="006713BF">
        <w:rPr>
          <w:sz w:val="22"/>
        </w:rPr>
        <w:t xml:space="preserve">Jack Storey, </w:t>
      </w:r>
      <w:r w:rsidR="00952662" w:rsidRPr="006713BF">
        <w:rPr>
          <w:sz w:val="22"/>
        </w:rPr>
        <w:t xml:space="preserve">Senior </w:t>
      </w:r>
      <w:r w:rsidRPr="006713BF">
        <w:rPr>
          <w:sz w:val="22"/>
        </w:rPr>
        <w:t xml:space="preserve">Financial Analyst </w:t>
      </w:r>
    </w:p>
    <w:p w14:paraId="2C29E29F" w14:textId="3D841D32" w:rsidR="00522A1B" w:rsidRPr="006713BF" w:rsidRDefault="00522A1B" w:rsidP="00522A1B">
      <w:pPr>
        <w:tabs>
          <w:tab w:val="left" w:pos="7517"/>
        </w:tabs>
        <w:jc w:val="right"/>
        <w:rPr>
          <w:rFonts w:eastAsia="Arial Unicode MS"/>
          <w:color w:val="000000"/>
          <w:bdr w:val="nil"/>
        </w:rPr>
      </w:pPr>
    </w:p>
    <w:p w14:paraId="35985C80" w14:textId="66F514C4" w:rsidR="00522A1B" w:rsidRPr="006713BF" w:rsidRDefault="00522A1B" w:rsidP="5DEB2912">
      <w:pPr>
        <w:tabs>
          <w:tab w:val="left" w:pos="7517"/>
        </w:tabs>
        <w:jc w:val="right"/>
        <w:rPr>
          <w:color w:val="000000"/>
          <w:sz w:val="22"/>
          <w:szCs w:val="22"/>
          <w:u w:val="single"/>
          <w:bdr w:val="nil"/>
        </w:rPr>
      </w:pPr>
      <w:r w:rsidRPr="006713BF">
        <w:rPr>
          <w:color w:val="000000"/>
          <w:sz w:val="22"/>
          <w:szCs w:val="22"/>
          <w:u w:val="single"/>
          <w:bdr w:val="nil"/>
        </w:rPr>
        <w:t>Committee on Women and Gender Equity</w:t>
      </w:r>
    </w:p>
    <w:p w14:paraId="632A80DD" w14:textId="462DD95E" w:rsidR="00522A1B" w:rsidRPr="006713BF" w:rsidRDefault="00522A1B" w:rsidP="5DEB2912">
      <w:pPr>
        <w:tabs>
          <w:tab w:val="left" w:pos="7517"/>
        </w:tabs>
        <w:jc w:val="right"/>
        <w:rPr>
          <w:color w:val="000000"/>
          <w:sz w:val="22"/>
          <w:szCs w:val="22"/>
          <w:bdr w:val="nil"/>
        </w:rPr>
      </w:pPr>
      <w:r w:rsidRPr="006713BF">
        <w:rPr>
          <w:color w:val="000000"/>
          <w:sz w:val="22"/>
          <w:szCs w:val="22"/>
          <w:bdr w:val="nil"/>
        </w:rPr>
        <w:t xml:space="preserve">Brenda McKinney, </w:t>
      </w:r>
      <w:r w:rsidR="00952662" w:rsidRPr="006713BF">
        <w:rPr>
          <w:color w:val="000000"/>
          <w:sz w:val="22"/>
          <w:szCs w:val="22"/>
          <w:bdr w:val="nil"/>
        </w:rPr>
        <w:t xml:space="preserve">Senior </w:t>
      </w:r>
      <w:r w:rsidR="00952662" w:rsidRPr="006713BF">
        <w:rPr>
          <w:sz w:val="22"/>
        </w:rPr>
        <w:t>Legislative Counsel</w:t>
      </w:r>
    </w:p>
    <w:p w14:paraId="2FD2FF5C" w14:textId="37DE2C57" w:rsidR="00522A1B" w:rsidRPr="006713BF" w:rsidRDefault="00952662" w:rsidP="006A2122">
      <w:pPr>
        <w:tabs>
          <w:tab w:val="left" w:pos="7517"/>
        </w:tabs>
        <w:jc w:val="right"/>
        <w:rPr>
          <w:color w:val="000000"/>
          <w:sz w:val="22"/>
          <w:szCs w:val="22"/>
          <w:bdr w:val="nil"/>
        </w:rPr>
      </w:pPr>
      <w:r w:rsidRPr="006713BF">
        <w:rPr>
          <w:color w:val="000000"/>
          <w:sz w:val="22"/>
          <w:szCs w:val="22"/>
          <w:bdr w:val="nil"/>
        </w:rPr>
        <w:t>Eisha Wright</w:t>
      </w:r>
      <w:r w:rsidR="00522A1B" w:rsidRPr="006713BF">
        <w:rPr>
          <w:color w:val="000000"/>
          <w:sz w:val="22"/>
          <w:szCs w:val="22"/>
          <w:bdr w:val="nil"/>
        </w:rPr>
        <w:t xml:space="preserve">, </w:t>
      </w:r>
      <w:r w:rsidRPr="006713BF">
        <w:rPr>
          <w:color w:val="000000"/>
          <w:sz w:val="22"/>
          <w:szCs w:val="22"/>
          <w:bdr w:val="nil"/>
        </w:rPr>
        <w:t>Deputy Director, Finance</w:t>
      </w:r>
    </w:p>
    <w:p w14:paraId="6157D853" w14:textId="77777777" w:rsidR="009A5327" w:rsidRPr="006713BF" w:rsidRDefault="009A5327" w:rsidP="006A2122">
      <w:pPr>
        <w:tabs>
          <w:tab w:val="left" w:pos="7517"/>
        </w:tabs>
        <w:jc w:val="right"/>
        <w:rPr>
          <w:rFonts w:eastAsia="Arial Unicode MS"/>
          <w:color w:val="000000"/>
          <w:bdr w:val="nil"/>
        </w:rPr>
      </w:pPr>
    </w:p>
    <w:p w14:paraId="01426023" w14:textId="513FDB6A" w:rsidR="00CA2F13" w:rsidRPr="006713BF" w:rsidRDefault="337728BB" w:rsidP="006B2924">
      <w:pPr>
        <w:jc w:val="center"/>
      </w:pPr>
      <w:r w:rsidRPr="006713BF">
        <w:rPr>
          <w:noProof/>
        </w:rPr>
        <w:drawing>
          <wp:inline distT="0" distB="0" distL="0" distR="0" wp14:anchorId="1AE5663F" wp14:editId="09622F20">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6955875E" w14:textId="2FEC69AD" w:rsidR="002052FC" w:rsidRPr="006713BF" w:rsidRDefault="002052FC" w:rsidP="00C1639B">
      <w:pPr>
        <w:keepNext/>
        <w:jc w:val="center"/>
        <w:outlineLvl w:val="1"/>
        <w:rPr>
          <w:b/>
          <w:iCs/>
          <w:sz w:val="18"/>
        </w:rPr>
      </w:pPr>
    </w:p>
    <w:p w14:paraId="1B9ED908" w14:textId="77777777" w:rsidR="002052FC" w:rsidRPr="006713BF" w:rsidRDefault="002052FC" w:rsidP="00C1639B">
      <w:pPr>
        <w:keepNext/>
        <w:jc w:val="center"/>
        <w:outlineLvl w:val="1"/>
        <w:rPr>
          <w:b/>
          <w:iCs/>
          <w:sz w:val="18"/>
        </w:rPr>
      </w:pPr>
    </w:p>
    <w:p w14:paraId="088E69D8" w14:textId="77777777" w:rsidR="00522A1B" w:rsidRPr="006713BF" w:rsidRDefault="00522A1B" w:rsidP="00522A1B">
      <w:pPr>
        <w:keepNext/>
        <w:suppressLineNumbers/>
        <w:autoSpaceDE w:val="0"/>
        <w:autoSpaceDN w:val="0"/>
        <w:adjustRightInd w:val="0"/>
        <w:jc w:val="center"/>
        <w:outlineLvl w:val="4"/>
        <w:rPr>
          <w:b/>
          <w:sz w:val="28"/>
          <w:szCs w:val="30"/>
          <w:lang w:eastAsia="zh-CN"/>
        </w:rPr>
      </w:pPr>
      <w:r w:rsidRPr="006713BF">
        <w:rPr>
          <w:b/>
          <w:sz w:val="28"/>
          <w:szCs w:val="30"/>
          <w:lang w:eastAsia="zh-CN"/>
        </w:rPr>
        <w:t>THE COUNCIL OF THE CITY OF NEW YORK</w:t>
      </w:r>
    </w:p>
    <w:p w14:paraId="5A7F2FFA" w14:textId="77777777" w:rsidR="00522A1B" w:rsidRPr="006713BF" w:rsidRDefault="00522A1B" w:rsidP="00522A1B">
      <w:pPr>
        <w:suppressLineNumbers/>
        <w:rPr>
          <w:color w:val="000000" w:themeColor="text1"/>
        </w:rPr>
      </w:pPr>
    </w:p>
    <w:p w14:paraId="3D4B6672" w14:textId="774ED37C" w:rsidR="00C66726" w:rsidRDefault="00522A1B" w:rsidP="00522A1B">
      <w:pPr>
        <w:suppressLineNumbers/>
        <w:jc w:val="center"/>
        <w:rPr>
          <w:b/>
          <w:bCs/>
          <w:u w:val="single"/>
        </w:rPr>
      </w:pPr>
      <w:r w:rsidRPr="006713BF">
        <w:rPr>
          <w:b/>
          <w:bCs/>
          <w:u w:val="single"/>
        </w:rPr>
        <w:t xml:space="preserve">COMMITTEE REPORT </w:t>
      </w:r>
      <w:r w:rsidR="00CA56E4">
        <w:rPr>
          <w:b/>
          <w:bCs/>
          <w:u w:val="single"/>
        </w:rPr>
        <w:t xml:space="preserve">AND BRIEFING PAPER </w:t>
      </w:r>
      <w:r w:rsidRPr="006713BF">
        <w:rPr>
          <w:b/>
          <w:bCs/>
          <w:u w:val="single"/>
        </w:rPr>
        <w:t xml:space="preserve">OF </w:t>
      </w:r>
      <w:r w:rsidR="006B2924" w:rsidRPr="006713BF">
        <w:rPr>
          <w:b/>
          <w:bCs/>
          <w:u w:val="single"/>
        </w:rPr>
        <w:t xml:space="preserve">THE </w:t>
      </w:r>
      <w:r w:rsidR="00952662" w:rsidRPr="006713BF">
        <w:rPr>
          <w:b/>
          <w:bCs/>
          <w:u w:val="single"/>
        </w:rPr>
        <w:t xml:space="preserve">GOVERNMENTAL AFFAIRS </w:t>
      </w:r>
    </w:p>
    <w:p w14:paraId="5C605F9D" w14:textId="10A607AC" w:rsidR="00522A1B" w:rsidRPr="006713BF" w:rsidRDefault="006B2924" w:rsidP="00522A1B">
      <w:pPr>
        <w:suppressLineNumbers/>
        <w:jc w:val="center"/>
        <w:rPr>
          <w:b/>
          <w:bCs/>
          <w:u w:val="single"/>
        </w:rPr>
      </w:pPr>
      <w:r w:rsidRPr="006713BF">
        <w:rPr>
          <w:b/>
          <w:bCs/>
          <w:u w:val="single"/>
        </w:rPr>
        <w:t>AND HUMAN SERVICES</w:t>
      </w:r>
      <w:r w:rsidR="00522A1B" w:rsidRPr="006713BF">
        <w:rPr>
          <w:b/>
          <w:bCs/>
          <w:u w:val="single"/>
        </w:rPr>
        <w:t xml:space="preserve"> DIVISION</w:t>
      </w:r>
      <w:r w:rsidR="00C66726">
        <w:rPr>
          <w:b/>
          <w:bCs/>
          <w:u w:val="single"/>
        </w:rPr>
        <w:t>S</w:t>
      </w:r>
    </w:p>
    <w:p w14:paraId="7840E30C" w14:textId="27F23241" w:rsidR="00522A1B" w:rsidRPr="006713BF" w:rsidRDefault="00952662" w:rsidP="00522A1B">
      <w:pPr>
        <w:suppressLineNumbers/>
        <w:tabs>
          <w:tab w:val="center" w:pos="4680"/>
        </w:tabs>
        <w:jc w:val="center"/>
        <w:rPr>
          <w:color w:val="000000" w:themeColor="text1"/>
        </w:rPr>
      </w:pPr>
      <w:r w:rsidRPr="006713BF">
        <w:rPr>
          <w:color w:val="000000" w:themeColor="text1"/>
        </w:rPr>
        <w:t>Andrea Vazquez</w:t>
      </w:r>
      <w:r w:rsidR="00522A1B" w:rsidRPr="006713BF">
        <w:rPr>
          <w:color w:val="000000" w:themeColor="text1"/>
        </w:rPr>
        <w:t xml:space="preserve">, Director </w:t>
      </w:r>
    </w:p>
    <w:p w14:paraId="00BDF16B" w14:textId="42CE1EFB" w:rsidR="00522A1B" w:rsidRPr="006713BF" w:rsidRDefault="00952662" w:rsidP="00522A1B">
      <w:pPr>
        <w:suppressLineNumbers/>
        <w:tabs>
          <w:tab w:val="center" w:pos="4680"/>
        </w:tabs>
        <w:jc w:val="center"/>
        <w:rPr>
          <w:color w:val="000000" w:themeColor="text1"/>
        </w:rPr>
      </w:pPr>
      <w:r w:rsidRPr="006713BF">
        <w:rPr>
          <w:color w:val="000000" w:themeColor="text1"/>
        </w:rPr>
        <w:t>Rachel Cordero</w:t>
      </w:r>
      <w:r w:rsidR="00522A1B" w:rsidRPr="006713BF">
        <w:rPr>
          <w:color w:val="000000" w:themeColor="text1"/>
        </w:rPr>
        <w:t xml:space="preserve">, Deputy Director, </w:t>
      </w:r>
      <w:r w:rsidRPr="006713BF">
        <w:rPr>
          <w:color w:val="000000" w:themeColor="text1"/>
        </w:rPr>
        <w:t xml:space="preserve">Governmental Affairs </w:t>
      </w:r>
      <w:r w:rsidR="00522A1B" w:rsidRPr="006713BF">
        <w:rPr>
          <w:color w:val="000000" w:themeColor="text1"/>
        </w:rPr>
        <w:t>Division</w:t>
      </w:r>
    </w:p>
    <w:p w14:paraId="6C533B78" w14:textId="788769FB" w:rsidR="00522A1B" w:rsidRPr="006713BF" w:rsidRDefault="00952662" w:rsidP="00522A1B">
      <w:pPr>
        <w:suppressLineNumbers/>
        <w:tabs>
          <w:tab w:val="center" w:pos="4680"/>
        </w:tabs>
        <w:jc w:val="center"/>
        <w:rPr>
          <w:color w:val="000000" w:themeColor="text1"/>
        </w:rPr>
      </w:pPr>
      <w:r w:rsidRPr="006713BF">
        <w:rPr>
          <w:color w:val="000000" w:themeColor="text1"/>
        </w:rPr>
        <w:t>Smitha Deshmukh</w:t>
      </w:r>
      <w:r w:rsidR="00522A1B" w:rsidRPr="006713BF">
        <w:rPr>
          <w:color w:val="000000" w:themeColor="text1"/>
        </w:rPr>
        <w:t xml:space="preserve">, Deputy Director, Human Services Division </w:t>
      </w:r>
    </w:p>
    <w:p w14:paraId="2CFFF6FE" w14:textId="44609F4C" w:rsidR="00522A1B" w:rsidRPr="006713BF" w:rsidRDefault="00522A1B" w:rsidP="00522A1B">
      <w:pPr>
        <w:suppressLineNumbers/>
        <w:jc w:val="center"/>
        <w:rPr>
          <w:color w:val="000000" w:themeColor="text1"/>
        </w:rPr>
      </w:pPr>
      <w:r w:rsidRPr="006713BF">
        <w:rPr>
          <w:color w:val="000000" w:themeColor="text1"/>
        </w:rPr>
        <w:tab/>
      </w:r>
    </w:p>
    <w:p w14:paraId="72B348EF" w14:textId="77777777" w:rsidR="00522A1B" w:rsidRPr="006713BF" w:rsidRDefault="00522A1B" w:rsidP="00522A1B">
      <w:pPr>
        <w:suppressLineNumbers/>
        <w:jc w:val="center"/>
        <w:rPr>
          <w:b/>
          <w:u w:val="single"/>
        </w:rPr>
      </w:pPr>
      <w:r w:rsidRPr="006713BF">
        <w:rPr>
          <w:b/>
          <w:u w:val="single"/>
        </w:rPr>
        <w:t>COMMITTEE ON CRIMINAL JUSTICE</w:t>
      </w:r>
    </w:p>
    <w:p w14:paraId="6301F0C8" w14:textId="7DF9CA7A" w:rsidR="00522A1B" w:rsidRPr="006713BF" w:rsidRDefault="00522A1B" w:rsidP="00522A1B">
      <w:pPr>
        <w:suppressLineNumbers/>
        <w:jc w:val="center"/>
      </w:pPr>
      <w:r w:rsidRPr="006713BF">
        <w:t xml:space="preserve">Hon. </w:t>
      </w:r>
      <w:r w:rsidR="00952662" w:rsidRPr="006713BF">
        <w:t>Carlina Rivera</w:t>
      </w:r>
      <w:r w:rsidRPr="006713BF">
        <w:rPr>
          <w:i/>
        </w:rPr>
        <w:t xml:space="preserve">, </w:t>
      </w:r>
      <w:r w:rsidRPr="006713BF">
        <w:t>Chair</w:t>
      </w:r>
    </w:p>
    <w:p w14:paraId="1984AEA9" w14:textId="77777777" w:rsidR="00522A1B" w:rsidRPr="006713BF" w:rsidRDefault="00522A1B" w:rsidP="00522A1B">
      <w:pPr>
        <w:suppressLineNumbers/>
        <w:jc w:val="center"/>
        <w:rPr>
          <w:sz w:val="22"/>
        </w:rPr>
      </w:pPr>
    </w:p>
    <w:p w14:paraId="3DB13187" w14:textId="1F2CB1D2" w:rsidR="00522A1B" w:rsidRPr="006713BF" w:rsidRDefault="00522A1B" w:rsidP="00522A1B">
      <w:pPr>
        <w:suppressLineNumbers/>
        <w:jc w:val="center"/>
        <w:rPr>
          <w:b/>
          <w:color w:val="000000" w:themeColor="text1"/>
          <w:u w:val="single"/>
        </w:rPr>
      </w:pPr>
      <w:r w:rsidRPr="006713BF">
        <w:rPr>
          <w:b/>
          <w:color w:val="000000" w:themeColor="text1"/>
          <w:u w:val="single"/>
        </w:rPr>
        <w:t>COMMITTEE ON WOMEN AND GENDER EQUITY</w:t>
      </w:r>
    </w:p>
    <w:p w14:paraId="51C5DC09" w14:textId="19FF7F45" w:rsidR="00522A1B" w:rsidRPr="006713BF" w:rsidRDefault="00522A1B" w:rsidP="00522A1B">
      <w:pPr>
        <w:suppressLineNumbers/>
        <w:jc w:val="center"/>
        <w:rPr>
          <w:color w:val="000000" w:themeColor="text1"/>
        </w:rPr>
      </w:pPr>
      <w:r w:rsidRPr="006713BF">
        <w:rPr>
          <w:color w:val="000000" w:themeColor="text1"/>
        </w:rPr>
        <w:t xml:space="preserve">Hon. </w:t>
      </w:r>
      <w:r w:rsidR="00952662" w:rsidRPr="006713BF">
        <w:rPr>
          <w:color w:val="000000" w:themeColor="text1"/>
        </w:rPr>
        <w:t>Tiffany L. Cabán</w:t>
      </w:r>
      <w:r w:rsidRPr="006713BF">
        <w:rPr>
          <w:color w:val="000000" w:themeColor="text1"/>
        </w:rPr>
        <w:t>, Chair</w:t>
      </w:r>
    </w:p>
    <w:p w14:paraId="5C7F2184" w14:textId="77777777" w:rsidR="00522A1B" w:rsidRPr="006713BF" w:rsidRDefault="00522A1B" w:rsidP="00522A1B">
      <w:pPr>
        <w:suppressLineNumbers/>
        <w:tabs>
          <w:tab w:val="center" w:pos="4680"/>
        </w:tabs>
        <w:jc w:val="both"/>
        <w:rPr>
          <w:sz w:val="22"/>
        </w:rPr>
      </w:pPr>
    </w:p>
    <w:p w14:paraId="14359E45" w14:textId="07AAEF27" w:rsidR="00522A1B" w:rsidRPr="006713BF" w:rsidRDefault="00952662" w:rsidP="00522A1B">
      <w:pPr>
        <w:suppressLineNumbers/>
        <w:tabs>
          <w:tab w:val="center" w:pos="4680"/>
        </w:tabs>
        <w:jc w:val="center"/>
        <w:rPr>
          <w:b/>
          <w:sz w:val="28"/>
          <w:szCs w:val="28"/>
        </w:rPr>
      </w:pPr>
      <w:r w:rsidRPr="006713BF">
        <w:rPr>
          <w:b/>
          <w:sz w:val="28"/>
          <w:szCs w:val="28"/>
        </w:rPr>
        <w:t xml:space="preserve">January </w:t>
      </w:r>
      <w:r w:rsidR="00522A1B" w:rsidRPr="006713BF">
        <w:rPr>
          <w:b/>
          <w:sz w:val="28"/>
          <w:szCs w:val="28"/>
        </w:rPr>
        <w:t>2</w:t>
      </w:r>
      <w:r w:rsidRPr="006713BF">
        <w:rPr>
          <w:b/>
          <w:sz w:val="28"/>
          <w:szCs w:val="28"/>
        </w:rPr>
        <w:t>5</w:t>
      </w:r>
      <w:r w:rsidR="00522A1B" w:rsidRPr="006713BF">
        <w:rPr>
          <w:b/>
          <w:sz w:val="28"/>
          <w:szCs w:val="28"/>
        </w:rPr>
        <w:t>, 202</w:t>
      </w:r>
      <w:r w:rsidRPr="006713BF">
        <w:rPr>
          <w:b/>
          <w:sz w:val="28"/>
          <w:szCs w:val="28"/>
        </w:rPr>
        <w:t>3</w:t>
      </w:r>
    </w:p>
    <w:p w14:paraId="36B23407" w14:textId="67956EA0" w:rsidR="00522A1B" w:rsidRPr="006713BF" w:rsidRDefault="00522A1B" w:rsidP="00522A1B">
      <w:pPr>
        <w:suppressLineNumbers/>
        <w:ind w:left="2880" w:hanging="2880"/>
        <w:jc w:val="center"/>
        <w:rPr>
          <w:rFonts w:eastAsia="ヒラギノ角ゴ Pro W3"/>
          <w:b/>
          <w:color w:val="000000"/>
          <w:sz w:val="28"/>
        </w:rPr>
      </w:pPr>
    </w:p>
    <w:p w14:paraId="48B95A50" w14:textId="4160AA30" w:rsidR="00952662" w:rsidRPr="006713BF" w:rsidRDefault="00522A1B" w:rsidP="00522A1B">
      <w:pPr>
        <w:suppressLineNumbers/>
        <w:ind w:left="2880" w:hanging="2880"/>
        <w:jc w:val="center"/>
        <w:rPr>
          <w:rFonts w:eastAsia="ヒラギノ角ゴ Pro W3"/>
          <w:b/>
          <w:color w:val="000000"/>
          <w:sz w:val="28"/>
        </w:rPr>
      </w:pPr>
      <w:r w:rsidRPr="006713BF">
        <w:rPr>
          <w:rFonts w:eastAsia="ヒラギノ角ゴ Pro W3"/>
          <w:b/>
          <w:color w:val="000000"/>
          <w:sz w:val="28"/>
        </w:rPr>
        <w:t xml:space="preserve">Oversight: </w:t>
      </w:r>
      <w:r w:rsidR="00952662" w:rsidRPr="006713BF">
        <w:rPr>
          <w:rFonts w:eastAsia="ヒラギノ角ゴ Pro W3"/>
          <w:b/>
          <w:color w:val="000000"/>
          <w:sz w:val="28"/>
        </w:rPr>
        <w:t xml:space="preserve">The TGNCNBI </w:t>
      </w:r>
      <w:r w:rsidR="005C5164" w:rsidRPr="006713BF">
        <w:rPr>
          <w:rFonts w:eastAsia="ヒラギノ角ゴ Pro W3"/>
          <w:b/>
          <w:color w:val="000000"/>
          <w:sz w:val="28"/>
        </w:rPr>
        <w:t>Task Force</w:t>
      </w:r>
      <w:r w:rsidR="00952662" w:rsidRPr="006713BF">
        <w:rPr>
          <w:rFonts w:eastAsia="ヒラギノ角ゴ Pro W3"/>
          <w:b/>
          <w:color w:val="000000"/>
          <w:sz w:val="28"/>
        </w:rPr>
        <w:t xml:space="preserve"> Report Update </w:t>
      </w:r>
    </w:p>
    <w:p w14:paraId="6D82BC25" w14:textId="4C5755A8" w:rsidR="00522A1B" w:rsidRPr="00891778" w:rsidRDefault="00952662" w:rsidP="00522A1B">
      <w:pPr>
        <w:suppressLineNumbers/>
        <w:ind w:left="2880" w:hanging="2880"/>
        <w:jc w:val="center"/>
        <w:rPr>
          <w:rFonts w:eastAsia="ヒラギノ角ゴ Pro W3"/>
          <w:b/>
          <w:color w:val="000000"/>
          <w:sz w:val="28"/>
        </w:rPr>
      </w:pPr>
      <w:r w:rsidRPr="006713BF">
        <w:rPr>
          <w:rFonts w:eastAsia="ヒラギノ角ゴ Pro W3"/>
          <w:b/>
          <w:color w:val="000000"/>
          <w:sz w:val="28"/>
        </w:rPr>
        <w:t>and TGNC</w:t>
      </w:r>
      <w:r w:rsidR="000A3DD4" w:rsidRPr="006713BF">
        <w:rPr>
          <w:rFonts w:eastAsia="ヒラギノ角ゴ Pro W3"/>
          <w:b/>
          <w:color w:val="000000"/>
          <w:sz w:val="28"/>
        </w:rPr>
        <w:t>NBI</w:t>
      </w:r>
      <w:r w:rsidRPr="00E15714">
        <w:rPr>
          <w:rFonts w:eastAsia="ヒラギノ角ゴ Pro W3"/>
          <w:b/>
          <w:color w:val="000000"/>
          <w:sz w:val="28"/>
        </w:rPr>
        <w:t xml:space="preserve"> Individuals in Rikers</w:t>
      </w:r>
    </w:p>
    <w:p w14:paraId="4CDB6683" w14:textId="10046E6C" w:rsidR="00CA2F13" w:rsidRPr="00891778" w:rsidRDefault="00CA2F13" w:rsidP="00C1639B">
      <w:pPr>
        <w:jc w:val="center"/>
      </w:pPr>
    </w:p>
    <w:p w14:paraId="150CDA96" w14:textId="292A6C8F" w:rsidR="0049386A" w:rsidRPr="00891778" w:rsidRDefault="0049386A" w:rsidP="00C1639B">
      <w:pPr>
        <w:jc w:val="center"/>
      </w:pPr>
    </w:p>
    <w:p w14:paraId="5B93690A" w14:textId="41317C39" w:rsidR="0049386A" w:rsidRPr="00891778" w:rsidRDefault="0049386A" w:rsidP="00C1639B">
      <w:pPr>
        <w:jc w:val="center"/>
      </w:pPr>
    </w:p>
    <w:p w14:paraId="22777D83" w14:textId="5D16C628" w:rsidR="0049386A" w:rsidRPr="00891778" w:rsidRDefault="0049386A" w:rsidP="00C1639B">
      <w:pPr>
        <w:jc w:val="center"/>
      </w:pPr>
    </w:p>
    <w:p w14:paraId="3A28D39E" w14:textId="6F448C74" w:rsidR="0049386A" w:rsidRPr="00891778" w:rsidRDefault="0049386A" w:rsidP="0049386A"/>
    <w:p w14:paraId="33CD2F82" w14:textId="61A46152" w:rsidR="0049386A" w:rsidRPr="00891778" w:rsidRDefault="0049386A" w:rsidP="0049386A"/>
    <w:p w14:paraId="7A36717C" w14:textId="15AC9511" w:rsidR="0049386A" w:rsidRPr="00891778" w:rsidRDefault="0049386A" w:rsidP="0049386A"/>
    <w:p w14:paraId="18DF59C3" w14:textId="4B83443D" w:rsidR="0049386A" w:rsidRPr="00891778" w:rsidRDefault="0049386A" w:rsidP="0049386A"/>
    <w:p w14:paraId="05DDAD0F" w14:textId="2444C436" w:rsidR="0049386A" w:rsidRPr="00891778" w:rsidRDefault="0049386A" w:rsidP="0049386A"/>
    <w:p w14:paraId="7D280216" w14:textId="02E50839" w:rsidR="0049386A" w:rsidRPr="00891778" w:rsidRDefault="0049386A" w:rsidP="0049386A"/>
    <w:p w14:paraId="27791A7F" w14:textId="77777777" w:rsidR="0049386A" w:rsidRPr="00891778" w:rsidRDefault="0049386A" w:rsidP="0049386A"/>
    <w:p w14:paraId="095D12FA" w14:textId="7DCA980C" w:rsidR="00EE2A77" w:rsidRPr="006713BF" w:rsidRDefault="00EE2A77" w:rsidP="00EE2A77">
      <w:pPr>
        <w:suppressLineNumbers/>
        <w:ind w:left="3600" w:hanging="3600"/>
        <w:rPr>
          <w:szCs w:val="23"/>
        </w:rPr>
      </w:pPr>
      <w:r>
        <w:rPr>
          <w:b/>
          <w:szCs w:val="23"/>
          <w:u w:val="single"/>
        </w:rPr>
        <w:lastRenderedPageBreak/>
        <w:t>INT NO. 355</w:t>
      </w:r>
      <w:r w:rsidRPr="000E4CAF">
        <w:rPr>
          <w:b/>
          <w:szCs w:val="23"/>
          <w:u w:val="single"/>
        </w:rPr>
        <w:t xml:space="preserve">: </w:t>
      </w:r>
      <w:r w:rsidRPr="006713BF">
        <w:rPr>
          <w:b/>
          <w:szCs w:val="23"/>
        </w:rPr>
        <w:tab/>
      </w:r>
      <w:r w:rsidRPr="006713BF">
        <w:rPr>
          <w:szCs w:val="23"/>
        </w:rPr>
        <w:t xml:space="preserve">By Council Members </w:t>
      </w:r>
      <w:r w:rsidRPr="00EE2A77">
        <w:rPr>
          <w:szCs w:val="23"/>
        </w:rPr>
        <w:t>Rivera, Louis, Joseph, Narcisse, Avilés, Williams, Cabán, Ung, Ossé, Richardson Jordan, Riley, Gutiérrez, Abreu, Won, Barron, Hudson and Sanchez</w:t>
      </w:r>
    </w:p>
    <w:p w14:paraId="52ADAE9A" w14:textId="77777777" w:rsidR="00EE2A77" w:rsidRPr="000E4CAF" w:rsidRDefault="00EE2A77" w:rsidP="00EE2A77">
      <w:pPr>
        <w:suppressLineNumbers/>
        <w:rPr>
          <w:szCs w:val="23"/>
        </w:rPr>
      </w:pPr>
    </w:p>
    <w:p w14:paraId="6C10231C" w14:textId="2D7CA293" w:rsidR="00EE2A77" w:rsidRPr="006713BF" w:rsidRDefault="00EE2A77" w:rsidP="00EE2A77">
      <w:pPr>
        <w:suppressLineNumbers/>
        <w:ind w:left="3600" w:hanging="3600"/>
        <w:rPr>
          <w:b/>
          <w:szCs w:val="23"/>
          <w:u w:val="single"/>
        </w:rPr>
      </w:pPr>
      <w:r w:rsidRPr="000E4CAF">
        <w:rPr>
          <w:b/>
          <w:szCs w:val="23"/>
          <w:u w:val="single"/>
        </w:rPr>
        <w:t xml:space="preserve">TITLE: </w:t>
      </w:r>
      <w:r w:rsidRPr="006713BF">
        <w:rPr>
          <w:b/>
          <w:szCs w:val="23"/>
        </w:rPr>
        <w:tab/>
      </w:r>
      <w:r w:rsidRPr="00EE2A77">
        <w:rPr>
          <w:szCs w:val="23"/>
        </w:rPr>
        <w:t>A Local Law to amend the administrative code of the city of New York, in relation to permitting incarcerated individuals in city jails to choose the gender of their doctor.</w:t>
      </w:r>
    </w:p>
    <w:p w14:paraId="421FC8DB" w14:textId="77777777" w:rsidR="00EE2A77" w:rsidRPr="000E4CAF" w:rsidRDefault="00EE2A77" w:rsidP="00EE2A77">
      <w:pPr>
        <w:suppressLineNumbers/>
        <w:rPr>
          <w:b/>
          <w:szCs w:val="23"/>
        </w:rPr>
      </w:pPr>
    </w:p>
    <w:p w14:paraId="586951BF" w14:textId="77777777" w:rsidR="00EE2A77" w:rsidRPr="000E4CAF" w:rsidRDefault="00EE2A77" w:rsidP="00EE2A77">
      <w:pPr>
        <w:suppressLineNumbers/>
        <w:rPr>
          <w:szCs w:val="23"/>
        </w:rPr>
      </w:pPr>
      <w:r w:rsidRPr="000E4CAF">
        <w:rPr>
          <w:b/>
          <w:szCs w:val="23"/>
          <w:u w:val="single"/>
        </w:rPr>
        <w:t>ADMINISTRATIVE CODE:</w:t>
      </w:r>
      <w:r w:rsidRPr="000E4CAF">
        <w:rPr>
          <w:szCs w:val="23"/>
        </w:rPr>
        <w:tab/>
        <w:t>Adds Section 9-163</w:t>
      </w:r>
    </w:p>
    <w:p w14:paraId="5AA3791B" w14:textId="77777777" w:rsidR="00EE2A77" w:rsidRDefault="00EE2A77" w:rsidP="00CA56E4">
      <w:pPr>
        <w:suppressLineNumbers/>
        <w:ind w:left="3600" w:hanging="3600"/>
        <w:rPr>
          <w:b/>
          <w:szCs w:val="23"/>
          <w:u w:val="single"/>
        </w:rPr>
      </w:pPr>
    </w:p>
    <w:p w14:paraId="25716252" w14:textId="77777777" w:rsidR="00EE2A77" w:rsidRDefault="00EE2A77" w:rsidP="00CA56E4">
      <w:pPr>
        <w:suppressLineNumbers/>
        <w:ind w:left="3600" w:hanging="3600"/>
        <w:rPr>
          <w:b/>
          <w:szCs w:val="23"/>
          <w:u w:val="single"/>
        </w:rPr>
      </w:pPr>
    </w:p>
    <w:p w14:paraId="4BBBA719" w14:textId="2D86BF9B" w:rsidR="0049386A" w:rsidRPr="006713BF" w:rsidRDefault="0049386A" w:rsidP="00CA56E4">
      <w:pPr>
        <w:suppressLineNumbers/>
        <w:ind w:left="3600" w:hanging="3600"/>
        <w:rPr>
          <w:szCs w:val="23"/>
        </w:rPr>
      </w:pPr>
      <w:r w:rsidRPr="000E4CAF">
        <w:rPr>
          <w:b/>
          <w:szCs w:val="23"/>
          <w:u w:val="single"/>
        </w:rPr>
        <w:t xml:space="preserve">INT NO. 728: </w:t>
      </w:r>
      <w:r w:rsidRPr="006713BF">
        <w:rPr>
          <w:b/>
          <w:szCs w:val="23"/>
        </w:rPr>
        <w:tab/>
      </w:r>
      <w:r w:rsidRPr="006713BF">
        <w:rPr>
          <w:szCs w:val="23"/>
        </w:rPr>
        <w:t>By Council Members Powers, Cabán, Rivera, Hanif</w:t>
      </w:r>
      <w:r w:rsidRPr="000E4CAF">
        <w:rPr>
          <w:szCs w:val="23"/>
        </w:rPr>
        <w:t>, Brewer, Restler, Hudson, Ung, Joseph, Abreu</w:t>
      </w:r>
      <w:r w:rsidR="00986A94" w:rsidRPr="00514AAB">
        <w:rPr>
          <w:szCs w:val="23"/>
        </w:rPr>
        <w:t>,</w:t>
      </w:r>
      <w:r w:rsidRPr="00514AAB">
        <w:rPr>
          <w:szCs w:val="23"/>
        </w:rPr>
        <w:t xml:space="preserve"> Avilés</w:t>
      </w:r>
      <w:r w:rsidR="00986A94" w:rsidRPr="00514AAB">
        <w:rPr>
          <w:szCs w:val="23"/>
        </w:rPr>
        <w:t xml:space="preserve">, </w:t>
      </w:r>
      <w:r w:rsidR="00986A94" w:rsidRPr="006713BF">
        <w:rPr>
          <w:szCs w:val="23"/>
        </w:rPr>
        <w:t>Ossé</w:t>
      </w:r>
      <w:r w:rsidR="000F1D70" w:rsidRPr="006713BF">
        <w:rPr>
          <w:szCs w:val="23"/>
        </w:rPr>
        <w:t xml:space="preserve"> and Sanchez</w:t>
      </w:r>
    </w:p>
    <w:p w14:paraId="79063934" w14:textId="77777777" w:rsidR="0049386A" w:rsidRPr="000E4CAF" w:rsidRDefault="0049386A" w:rsidP="0049386A">
      <w:pPr>
        <w:suppressLineNumbers/>
        <w:rPr>
          <w:szCs w:val="23"/>
        </w:rPr>
      </w:pPr>
    </w:p>
    <w:p w14:paraId="7ECD78E5" w14:textId="400FC119" w:rsidR="0049386A" w:rsidRPr="006713BF" w:rsidRDefault="0049386A" w:rsidP="00CA56E4">
      <w:pPr>
        <w:suppressLineNumbers/>
        <w:ind w:left="3600" w:hanging="3600"/>
        <w:rPr>
          <w:b/>
          <w:szCs w:val="23"/>
          <w:u w:val="single"/>
        </w:rPr>
      </w:pPr>
      <w:r w:rsidRPr="000E4CAF">
        <w:rPr>
          <w:b/>
          <w:szCs w:val="23"/>
          <w:u w:val="single"/>
        </w:rPr>
        <w:t xml:space="preserve">TITLE: </w:t>
      </w:r>
      <w:r w:rsidRPr="006713BF">
        <w:rPr>
          <w:b/>
          <w:szCs w:val="23"/>
        </w:rPr>
        <w:tab/>
      </w:r>
      <w:r w:rsidRPr="006713BF">
        <w:rPr>
          <w:szCs w:val="23"/>
        </w:rPr>
        <w:t xml:space="preserve">A Local Law to amend the administrative code of the city of New York, in relation to </w:t>
      </w:r>
      <w:r w:rsidRPr="000E4CAF">
        <w:rPr>
          <w:szCs w:val="23"/>
        </w:rPr>
        <w:t>housing decisions for transgender, gender nonconforming and intersex individuals</w:t>
      </w:r>
    </w:p>
    <w:p w14:paraId="2BA3F6E2" w14:textId="77777777" w:rsidR="0049386A" w:rsidRPr="000E4CAF" w:rsidRDefault="0049386A" w:rsidP="0049386A">
      <w:pPr>
        <w:suppressLineNumbers/>
        <w:rPr>
          <w:b/>
          <w:szCs w:val="23"/>
        </w:rPr>
      </w:pPr>
    </w:p>
    <w:p w14:paraId="4C430229" w14:textId="77777777" w:rsidR="0049386A" w:rsidRPr="000E4CAF" w:rsidRDefault="0049386A" w:rsidP="0049386A">
      <w:pPr>
        <w:suppressLineNumbers/>
        <w:rPr>
          <w:szCs w:val="23"/>
        </w:rPr>
      </w:pPr>
      <w:r w:rsidRPr="000E4CAF">
        <w:rPr>
          <w:b/>
          <w:szCs w:val="23"/>
          <w:u w:val="single"/>
        </w:rPr>
        <w:t>ADMINISTRATIVE CODE:</w:t>
      </w:r>
      <w:r w:rsidRPr="000E4CAF">
        <w:rPr>
          <w:szCs w:val="23"/>
        </w:rPr>
        <w:tab/>
        <w:t>Adds Section 9-163</w:t>
      </w:r>
    </w:p>
    <w:p w14:paraId="41B6B25D" w14:textId="77777777" w:rsidR="0049386A" w:rsidRPr="000E4CAF" w:rsidRDefault="0049386A" w:rsidP="0049386A">
      <w:pPr>
        <w:suppressLineNumbers/>
        <w:rPr>
          <w:szCs w:val="23"/>
        </w:rPr>
      </w:pPr>
    </w:p>
    <w:p w14:paraId="18E580F7" w14:textId="77C89573" w:rsidR="0049386A" w:rsidRPr="006713BF" w:rsidRDefault="0049386A" w:rsidP="00CA56E4">
      <w:pPr>
        <w:suppressLineNumbers/>
        <w:ind w:left="3600" w:hanging="3600"/>
        <w:rPr>
          <w:szCs w:val="23"/>
        </w:rPr>
      </w:pPr>
      <w:r w:rsidRPr="000E4CAF">
        <w:rPr>
          <w:b/>
          <w:szCs w:val="23"/>
          <w:u w:val="single"/>
        </w:rPr>
        <w:t>INT NO. 831</w:t>
      </w:r>
      <w:r w:rsidRPr="00514AAB">
        <w:rPr>
          <w:b/>
          <w:szCs w:val="23"/>
          <w:u w:val="single"/>
        </w:rPr>
        <w:t xml:space="preserve">: </w:t>
      </w:r>
      <w:r w:rsidRPr="006713BF">
        <w:rPr>
          <w:b/>
          <w:szCs w:val="23"/>
        </w:rPr>
        <w:tab/>
      </w:r>
      <w:r w:rsidRPr="006713BF">
        <w:rPr>
          <w:szCs w:val="23"/>
        </w:rPr>
        <w:t>By Council Members Rivera, Cabán, Hanif, Stevens, Restler, Hudson, De La Rosa</w:t>
      </w:r>
      <w:r w:rsidR="000F1D70" w:rsidRPr="006713BF">
        <w:rPr>
          <w:szCs w:val="23"/>
        </w:rPr>
        <w:t xml:space="preserve">, </w:t>
      </w:r>
      <w:r w:rsidRPr="006713BF">
        <w:rPr>
          <w:szCs w:val="23"/>
        </w:rPr>
        <w:t>Abreu</w:t>
      </w:r>
      <w:r w:rsidR="000F1D70" w:rsidRPr="006713BF">
        <w:rPr>
          <w:szCs w:val="23"/>
        </w:rPr>
        <w:t xml:space="preserve"> and Sanchez</w:t>
      </w:r>
    </w:p>
    <w:p w14:paraId="37913BC7" w14:textId="77777777" w:rsidR="0049386A" w:rsidRPr="000E4CAF" w:rsidRDefault="0049386A" w:rsidP="0049386A">
      <w:pPr>
        <w:suppressLineNumbers/>
        <w:rPr>
          <w:szCs w:val="23"/>
        </w:rPr>
      </w:pPr>
    </w:p>
    <w:p w14:paraId="59AF1609" w14:textId="4513DF48" w:rsidR="0049386A" w:rsidRPr="006713BF" w:rsidRDefault="0049386A" w:rsidP="00CA56E4">
      <w:pPr>
        <w:suppressLineNumbers/>
        <w:ind w:left="3600" w:hanging="3600"/>
        <w:rPr>
          <w:b/>
          <w:szCs w:val="23"/>
          <w:u w:val="single"/>
        </w:rPr>
      </w:pPr>
      <w:r w:rsidRPr="000E4CAF">
        <w:rPr>
          <w:b/>
          <w:szCs w:val="23"/>
          <w:u w:val="single"/>
        </w:rPr>
        <w:t xml:space="preserve">TITLE: </w:t>
      </w:r>
      <w:r w:rsidRPr="006713BF">
        <w:rPr>
          <w:b/>
          <w:szCs w:val="23"/>
        </w:rPr>
        <w:tab/>
      </w:r>
      <w:r w:rsidRPr="006713BF">
        <w:rPr>
          <w:szCs w:val="23"/>
        </w:rPr>
        <w:t>A Local Law to amend the administrative code of the city of New York, in relation to establishing a citywide resource navigator for women and gender-expansive persons</w:t>
      </w:r>
    </w:p>
    <w:p w14:paraId="2CED41D2" w14:textId="77777777" w:rsidR="0049386A" w:rsidRPr="000E4CAF" w:rsidRDefault="0049386A" w:rsidP="0049386A">
      <w:pPr>
        <w:suppressLineNumbers/>
        <w:rPr>
          <w:b/>
          <w:szCs w:val="23"/>
        </w:rPr>
      </w:pPr>
    </w:p>
    <w:p w14:paraId="2502D402" w14:textId="77777777" w:rsidR="0049386A" w:rsidRPr="000E4CAF" w:rsidRDefault="0049386A" w:rsidP="0049386A">
      <w:pPr>
        <w:suppressLineNumbers/>
        <w:rPr>
          <w:szCs w:val="23"/>
        </w:rPr>
      </w:pPr>
      <w:r w:rsidRPr="000E4CAF">
        <w:rPr>
          <w:b/>
          <w:szCs w:val="23"/>
          <w:u w:val="single"/>
        </w:rPr>
        <w:t>ADMINISTRATIVE CODE:</w:t>
      </w:r>
      <w:r w:rsidRPr="000E4CAF">
        <w:rPr>
          <w:szCs w:val="23"/>
        </w:rPr>
        <w:tab/>
        <w:t>Adds Section 9-160</w:t>
      </w:r>
    </w:p>
    <w:p w14:paraId="788C0579" w14:textId="77777777" w:rsidR="0049386A" w:rsidRPr="000E4CAF" w:rsidRDefault="0049386A" w:rsidP="0049386A">
      <w:pPr>
        <w:suppressLineNumbers/>
        <w:rPr>
          <w:szCs w:val="23"/>
        </w:rPr>
      </w:pPr>
    </w:p>
    <w:p w14:paraId="2EBAEE5E" w14:textId="7714DC12" w:rsidR="0049386A" w:rsidRPr="006713BF" w:rsidRDefault="007A3DD9" w:rsidP="00CA56E4">
      <w:pPr>
        <w:suppressLineNumbers/>
        <w:ind w:left="3600" w:hanging="3600"/>
        <w:rPr>
          <w:szCs w:val="23"/>
        </w:rPr>
      </w:pPr>
      <w:r w:rsidRPr="00514AAB">
        <w:rPr>
          <w:b/>
          <w:szCs w:val="23"/>
          <w:u w:val="single"/>
        </w:rPr>
        <w:t>INT</w:t>
      </w:r>
      <w:r w:rsidR="0069520B" w:rsidRPr="00514AAB">
        <w:rPr>
          <w:b/>
          <w:szCs w:val="23"/>
          <w:u w:val="single"/>
        </w:rPr>
        <w:t xml:space="preserve"> NO. </w:t>
      </w:r>
      <w:r w:rsidR="009278B5">
        <w:rPr>
          <w:b/>
          <w:szCs w:val="23"/>
          <w:u w:val="single"/>
        </w:rPr>
        <w:t>887</w:t>
      </w:r>
      <w:r w:rsidR="0049386A" w:rsidRPr="00514AAB">
        <w:rPr>
          <w:b/>
          <w:szCs w:val="23"/>
          <w:u w:val="single"/>
        </w:rPr>
        <w:t xml:space="preserve">: </w:t>
      </w:r>
      <w:r w:rsidR="0049386A" w:rsidRPr="00514AAB">
        <w:rPr>
          <w:b/>
          <w:szCs w:val="23"/>
        </w:rPr>
        <w:tab/>
      </w:r>
      <w:r w:rsidR="00986A94" w:rsidRPr="00514AAB">
        <w:rPr>
          <w:szCs w:val="23"/>
        </w:rPr>
        <w:t xml:space="preserve">By </w:t>
      </w:r>
      <w:r w:rsidR="000F1D70" w:rsidRPr="006713BF">
        <w:rPr>
          <w:szCs w:val="23"/>
        </w:rPr>
        <w:t xml:space="preserve">the </w:t>
      </w:r>
      <w:r w:rsidR="00986A94" w:rsidRPr="006713BF">
        <w:rPr>
          <w:szCs w:val="23"/>
        </w:rPr>
        <w:t xml:space="preserve">Public Advocate </w:t>
      </w:r>
      <w:r w:rsidR="000F1D70" w:rsidRPr="006713BF">
        <w:rPr>
          <w:szCs w:val="23"/>
        </w:rPr>
        <w:t xml:space="preserve">(Mr. </w:t>
      </w:r>
      <w:r w:rsidR="00986A94" w:rsidRPr="006713BF">
        <w:rPr>
          <w:szCs w:val="23"/>
        </w:rPr>
        <w:t>Williams</w:t>
      </w:r>
      <w:r w:rsidR="000F1D70" w:rsidRPr="006713BF">
        <w:rPr>
          <w:szCs w:val="23"/>
        </w:rPr>
        <w:t>)</w:t>
      </w:r>
      <w:r w:rsidR="00986A94" w:rsidRPr="006713BF">
        <w:rPr>
          <w:szCs w:val="23"/>
        </w:rPr>
        <w:t xml:space="preserve"> and Council Members Rivera and Cabán</w:t>
      </w:r>
    </w:p>
    <w:p w14:paraId="545745EB" w14:textId="77777777" w:rsidR="0049386A" w:rsidRPr="000E4CAF" w:rsidRDefault="0049386A" w:rsidP="0049386A">
      <w:pPr>
        <w:suppressLineNumbers/>
        <w:rPr>
          <w:szCs w:val="23"/>
        </w:rPr>
      </w:pPr>
    </w:p>
    <w:p w14:paraId="332223EF" w14:textId="287C875D" w:rsidR="0049386A" w:rsidRPr="006713BF" w:rsidRDefault="0049386A" w:rsidP="00CA56E4">
      <w:pPr>
        <w:suppressLineNumbers/>
        <w:ind w:left="3600" w:hanging="3600"/>
        <w:rPr>
          <w:b/>
          <w:szCs w:val="23"/>
          <w:u w:val="single"/>
        </w:rPr>
      </w:pPr>
      <w:r w:rsidRPr="000E4CAF">
        <w:rPr>
          <w:b/>
          <w:szCs w:val="23"/>
          <w:u w:val="single"/>
        </w:rPr>
        <w:t xml:space="preserve">TITLE: </w:t>
      </w:r>
      <w:r w:rsidRPr="006713BF">
        <w:rPr>
          <w:b/>
          <w:szCs w:val="23"/>
        </w:rPr>
        <w:tab/>
      </w:r>
      <w:r w:rsidRPr="006713BF">
        <w:rPr>
          <w:szCs w:val="23"/>
        </w:rPr>
        <w:t>A Local Law to amend the administrative code of th</w:t>
      </w:r>
      <w:r w:rsidR="00986A94" w:rsidRPr="006713BF">
        <w:rPr>
          <w:szCs w:val="23"/>
        </w:rPr>
        <w:t xml:space="preserve">e city of New York, in relation </w:t>
      </w:r>
      <w:r w:rsidR="00986A94" w:rsidRPr="006713BF">
        <w:t xml:space="preserve">to reporting on gender identity of individuals in the custody of the </w:t>
      </w:r>
      <w:r w:rsidR="005C5164" w:rsidRPr="006713BF">
        <w:t>D</w:t>
      </w:r>
      <w:r w:rsidR="00986A94" w:rsidRPr="006713BF">
        <w:t>epartment of correction</w:t>
      </w:r>
    </w:p>
    <w:p w14:paraId="3FC96051" w14:textId="77777777" w:rsidR="0049386A" w:rsidRPr="000E4CAF" w:rsidRDefault="0049386A" w:rsidP="0049386A">
      <w:pPr>
        <w:suppressLineNumbers/>
        <w:rPr>
          <w:b/>
          <w:szCs w:val="23"/>
        </w:rPr>
      </w:pPr>
    </w:p>
    <w:p w14:paraId="29120245" w14:textId="763D1AB8" w:rsidR="00986A94" w:rsidRPr="000E4CAF" w:rsidRDefault="0049386A" w:rsidP="00986A94">
      <w:pPr>
        <w:suppressLineNumbers/>
        <w:rPr>
          <w:szCs w:val="23"/>
        </w:rPr>
      </w:pPr>
      <w:r w:rsidRPr="000E4CAF">
        <w:rPr>
          <w:b/>
          <w:szCs w:val="23"/>
          <w:u w:val="single"/>
        </w:rPr>
        <w:t>ADMINISTRATIVE CODE:</w:t>
      </w:r>
      <w:r w:rsidRPr="000E4CAF">
        <w:rPr>
          <w:szCs w:val="23"/>
        </w:rPr>
        <w:tab/>
        <w:t>Adds</w:t>
      </w:r>
      <w:r w:rsidR="00986A94" w:rsidRPr="000E4CAF">
        <w:rPr>
          <w:szCs w:val="23"/>
        </w:rPr>
        <w:t xml:space="preserve"> S</w:t>
      </w:r>
      <w:r w:rsidRPr="000E4CAF">
        <w:rPr>
          <w:szCs w:val="23"/>
        </w:rPr>
        <w:t xml:space="preserve">ection </w:t>
      </w:r>
      <w:r w:rsidR="00986A94" w:rsidRPr="000E4CAF">
        <w:rPr>
          <w:szCs w:val="23"/>
        </w:rPr>
        <w:t>9-163</w:t>
      </w:r>
      <w:r w:rsidR="000612D5">
        <w:rPr>
          <w:szCs w:val="23"/>
        </w:rPr>
        <w:t xml:space="preserve"> and a</w:t>
      </w:r>
      <w:r w:rsidR="00986A94" w:rsidRPr="000E4CAF">
        <w:rPr>
          <w:szCs w:val="23"/>
        </w:rPr>
        <w:t>mends Section 9-145</w:t>
      </w:r>
    </w:p>
    <w:p w14:paraId="27E235C8" w14:textId="11670E10" w:rsidR="00986A94" w:rsidRPr="000E4CAF" w:rsidRDefault="00986A94" w:rsidP="00986A94">
      <w:pPr>
        <w:suppressLineNumbers/>
        <w:rPr>
          <w:szCs w:val="23"/>
        </w:rPr>
      </w:pPr>
    </w:p>
    <w:p w14:paraId="4A7152F4" w14:textId="15087114" w:rsidR="00F26B19" w:rsidRPr="006713BF" w:rsidRDefault="00F26B19" w:rsidP="00F26B19">
      <w:pPr>
        <w:suppressLineNumbers/>
        <w:rPr>
          <w:b/>
          <w:szCs w:val="23"/>
          <w:highlight w:val="yellow"/>
          <w:u w:val="single"/>
        </w:rPr>
      </w:pPr>
    </w:p>
    <w:p w14:paraId="63A5DF14" w14:textId="3D7D0BC1" w:rsidR="00EE2A77" w:rsidRPr="006713BF" w:rsidRDefault="00EE2A77" w:rsidP="00EE2A77">
      <w:pPr>
        <w:suppressLineNumbers/>
        <w:ind w:left="3600" w:hanging="3600"/>
        <w:rPr>
          <w:szCs w:val="23"/>
        </w:rPr>
      </w:pPr>
      <w:r w:rsidRPr="006713BF">
        <w:rPr>
          <w:b/>
          <w:szCs w:val="23"/>
          <w:u w:val="single"/>
        </w:rPr>
        <w:t>RES NO.</w:t>
      </w:r>
      <w:r>
        <w:rPr>
          <w:b/>
          <w:szCs w:val="23"/>
          <w:u w:val="single"/>
        </w:rPr>
        <w:t>117</w:t>
      </w:r>
      <w:r w:rsidRPr="006713BF">
        <w:rPr>
          <w:b/>
          <w:szCs w:val="23"/>
          <w:u w:val="single"/>
        </w:rPr>
        <w:t xml:space="preserve">: </w:t>
      </w:r>
      <w:r w:rsidRPr="006713BF">
        <w:rPr>
          <w:b/>
          <w:szCs w:val="23"/>
        </w:rPr>
        <w:tab/>
      </w:r>
      <w:r w:rsidRPr="00EE2A77">
        <w:rPr>
          <w:szCs w:val="23"/>
        </w:rPr>
        <w:t>By The Public Advocate (Mr. Williams) and Council Members Hudson, Schulman, Bottcher, Cabán, Ossé, Richardson Jordan, Hanif, Brewer, Won, Restler, Krishnan and Nurse</w:t>
      </w:r>
    </w:p>
    <w:p w14:paraId="6D6BDE20" w14:textId="77777777" w:rsidR="00EE2A77" w:rsidRPr="006713BF" w:rsidRDefault="00EE2A77" w:rsidP="00EE2A77">
      <w:pPr>
        <w:suppressLineNumbers/>
        <w:rPr>
          <w:szCs w:val="23"/>
        </w:rPr>
      </w:pPr>
    </w:p>
    <w:p w14:paraId="5E3565FD" w14:textId="18FA9A8A" w:rsidR="00EE2A77" w:rsidRPr="006713BF" w:rsidRDefault="00EE2A77" w:rsidP="00EE2A77">
      <w:pPr>
        <w:suppressLineNumbers/>
        <w:ind w:left="3600" w:hanging="3600"/>
        <w:rPr>
          <w:szCs w:val="23"/>
        </w:rPr>
      </w:pPr>
      <w:r w:rsidRPr="006713BF">
        <w:rPr>
          <w:b/>
          <w:szCs w:val="23"/>
          <w:u w:val="single"/>
        </w:rPr>
        <w:t xml:space="preserve">TITLE: </w:t>
      </w:r>
      <w:r w:rsidRPr="006713BF">
        <w:rPr>
          <w:b/>
          <w:szCs w:val="23"/>
        </w:rPr>
        <w:tab/>
      </w:r>
      <w:r w:rsidRPr="00EE2A77">
        <w:rPr>
          <w:bCs/>
          <w:szCs w:val="23"/>
        </w:rPr>
        <w:t>Resolution</w:t>
      </w:r>
      <w:r w:rsidRPr="00EE2A77">
        <w:rPr>
          <w:szCs w:val="23"/>
        </w:rPr>
        <w:t xml:space="preserve"> calling on the New York State Legislature to pass, and the Governor to sign, a bill that would mandate the Office of Court Administration to update the securing order form to include a gender X option.</w:t>
      </w:r>
    </w:p>
    <w:p w14:paraId="5673CE53" w14:textId="2D4B86E3" w:rsidR="00EE2A77" w:rsidRDefault="00EE2A77" w:rsidP="00EE2A77">
      <w:pPr>
        <w:suppressLineNumbers/>
        <w:rPr>
          <w:b/>
          <w:szCs w:val="23"/>
          <w:u w:val="single"/>
        </w:rPr>
      </w:pPr>
    </w:p>
    <w:p w14:paraId="47B53C50" w14:textId="12DA1429" w:rsidR="00986A94" w:rsidRPr="006713BF" w:rsidRDefault="007A3DD9" w:rsidP="00986A94">
      <w:pPr>
        <w:suppressLineNumbers/>
        <w:ind w:left="2880" w:hanging="2880"/>
        <w:rPr>
          <w:szCs w:val="23"/>
        </w:rPr>
      </w:pPr>
      <w:r w:rsidRPr="006713BF">
        <w:rPr>
          <w:b/>
          <w:szCs w:val="23"/>
          <w:u w:val="single"/>
        </w:rPr>
        <w:t>RES</w:t>
      </w:r>
      <w:r w:rsidR="0069520B" w:rsidRPr="006713BF">
        <w:rPr>
          <w:b/>
          <w:szCs w:val="23"/>
          <w:u w:val="single"/>
        </w:rPr>
        <w:t xml:space="preserve"> NO.</w:t>
      </w:r>
      <w:r w:rsidR="009278B5">
        <w:rPr>
          <w:b/>
          <w:szCs w:val="23"/>
          <w:u w:val="single"/>
        </w:rPr>
        <w:t xml:space="preserve"> 458</w:t>
      </w:r>
      <w:r w:rsidR="00986A94" w:rsidRPr="006713BF">
        <w:rPr>
          <w:b/>
          <w:szCs w:val="23"/>
          <w:u w:val="single"/>
        </w:rPr>
        <w:t xml:space="preserve">: </w:t>
      </w:r>
      <w:r w:rsidR="00986A94" w:rsidRPr="006713BF">
        <w:rPr>
          <w:b/>
          <w:szCs w:val="23"/>
        </w:rPr>
        <w:tab/>
      </w:r>
      <w:r w:rsidR="000A3DD4" w:rsidRPr="006713BF">
        <w:rPr>
          <w:b/>
          <w:szCs w:val="23"/>
        </w:rPr>
        <w:tab/>
      </w:r>
      <w:r w:rsidR="00F26B19" w:rsidRPr="006713BF">
        <w:rPr>
          <w:szCs w:val="23"/>
        </w:rPr>
        <w:t>By Council Member</w:t>
      </w:r>
      <w:r w:rsidR="009278B5">
        <w:rPr>
          <w:szCs w:val="23"/>
        </w:rPr>
        <w:t>s</w:t>
      </w:r>
      <w:r w:rsidR="00F26B19" w:rsidRPr="006713BF">
        <w:rPr>
          <w:szCs w:val="23"/>
        </w:rPr>
        <w:t xml:space="preserve"> Bottcher</w:t>
      </w:r>
      <w:r w:rsidR="009278B5">
        <w:rPr>
          <w:szCs w:val="23"/>
        </w:rPr>
        <w:t xml:space="preserve">, Hudson and </w:t>
      </w:r>
      <w:r w:rsidR="009278B5" w:rsidRPr="006713BF">
        <w:rPr>
          <w:szCs w:val="23"/>
        </w:rPr>
        <w:t>Cabán</w:t>
      </w:r>
      <w:r w:rsidR="00F26B19" w:rsidRPr="006713BF">
        <w:rPr>
          <w:szCs w:val="23"/>
        </w:rPr>
        <w:t xml:space="preserve"> </w:t>
      </w:r>
    </w:p>
    <w:p w14:paraId="0ED79CFD" w14:textId="77777777" w:rsidR="00986A94" w:rsidRPr="006713BF" w:rsidRDefault="00986A94" w:rsidP="00986A94">
      <w:pPr>
        <w:suppressLineNumbers/>
        <w:rPr>
          <w:szCs w:val="23"/>
        </w:rPr>
      </w:pPr>
    </w:p>
    <w:p w14:paraId="49427C7C" w14:textId="18021FE4" w:rsidR="00F26B19" w:rsidRPr="006713BF" w:rsidRDefault="00986A94" w:rsidP="00CA56E4">
      <w:pPr>
        <w:suppressLineNumbers/>
        <w:ind w:left="3600" w:hanging="3600"/>
        <w:rPr>
          <w:szCs w:val="23"/>
        </w:rPr>
      </w:pPr>
      <w:r w:rsidRPr="006713BF">
        <w:rPr>
          <w:b/>
          <w:szCs w:val="23"/>
          <w:u w:val="single"/>
        </w:rPr>
        <w:t xml:space="preserve">TITLE: </w:t>
      </w:r>
      <w:r w:rsidRPr="006713BF">
        <w:rPr>
          <w:b/>
          <w:szCs w:val="23"/>
        </w:rPr>
        <w:tab/>
      </w:r>
      <w:r w:rsidR="00F26B19" w:rsidRPr="006713BF">
        <w:rPr>
          <w:szCs w:val="23"/>
        </w:rPr>
        <w:t>Resolution calling on the New York State Legislature to pass, and the Governor to sign, A.7001B/S.6677A to enact the Gender Identity Respect, Dignity and Safety Act, which would allow for appropriate treatment and placement of incarcerated people based upon their gender identity</w:t>
      </w:r>
    </w:p>
    <w:p w14:paraId="3F74187F" w14:textId="6220767D" w:rsidR="0049386A" w:rsidRPr="006713BF" w:rsidRDefault="0049386A" w:rsidP="0049386A"/>
    <w:p w14:paraId="30CB7C6F" w14:textId="77777777" w:rsidR="002052FC" w:rsidRPr="006713BF" w:rsidRDefault="002052FC" w:rsidP="00C1639B">
      <w:pPr>
        <w:rPr>
          <w:b/>
          <w:bCs/>
        </w:rPr>
      </w:pPr>
    </w:p>
    <w:p w14:paraId="3B98FB02" w14:textId="1BD60BAE" w:rsidR="00CA2F13" w:rsidRPr="006713BF" w:rsidRDefault="00CA2F13" w:rsidP="00C1639B">
      <w:pPr>
        <w:pStyle w:val="ListParagraph"/>
        <w:numPr>
          <w:ilvl w:val="0"/>
          <w:numId w:val="13"/>
        </w:numPr>
        <w:spacing w:after="240"/>
        <w:rPr>
          <w:rFonts w:ascii="Times New Roman" w:hAnsi="Times New Roman" w:cs="Times New Roman"/>
          <w:b/>
          <w:bCs/>
        </w:rPr>
      </w:pPr>
      <w:r w:rsidRPr="006713BF">
        <w:rPr>
          <w:rFonts w:ascii="Times New Roman" w:hAnsi="Times New Roman" w:cs="Times New Roman"/>
          <w:b/>
          <w:bCs/>
        </w:rPr>
        <w:t>Introduction</w:t>
      </w:r>
    </w:p>
    <w:p w14:paraId="50E38330" w14:textId="3EA9C83B" w:rsidR="008B5B7C" w:rsidRDefault="5E6B8AEA" w:rsidP="00EE2A77">
      <w:pPr>
        <w:pStyle w:val="NoSpacing"/>
        <w:spacing w:line="480" w:lineRule="auto"/>
        <w:ind w:firstLine="720"/>
        <w:jc w:val="both"/>
        <w:rPr>
          <w:rFonts w:ascii="Times New Roman" w:hAnsi="Times New Roman" w:cs="Times New Roman"/>
          <w:sz w:val="24"/>
          <w:szCs w:val="24"/>
        </w:rPr>
      </w:pPr>
      <w:r w:rsidRPr="006713BF">
        <w:rPr>
          <w:rFonts w:ascii="Times New Roman" w:hAnsi="Times New Roman" w:cs="Times New Roman"/>
          <w:sz w:val="24"/>
          <w:szCs w:val="24"/>
        </w:rPr>
        <w:t xml:space="preserve">On </w:t>
      </w:r>
      <w:r w:rsidR="000A3DD4" w:rsidRPr="006713BF">
        <w:rPr>
          <w:rFonts w:ascii="Times New Roman" w:hAnsi="Times New Roman" w:cs="Times New Roman"/>
          <w:sz w:val="24"/>
          <w:szCs w:val="24"/>
        </w:rPr>
        <w:t xml:space="preserve">Wednesday, </w:t>
      </w:r>
      <w:r w:rsidR="00952662" w:rsidRPr="006713BF">
        <w:rPr>
          <w:rFonts w:ascii="Times New Roman" w:hAnsi="Times New Roman" w:cs="Times New Roman"/>
          <w:sz w:val="24"/>
          <w:szCs w:val="24"/>
        </w:rPr>
        <w:t>January 25</w:t>
      </w:r>
      <w:r w:rsidRPr="006713BF">
        <w:rPr>
          <w:rFonts w:ascii="Times New Roman" w:hAnsi="Times New Roman" w:cs="Times New Roman"/>
          <w:sz w:val="24"/>
          <w:szCs w:val="24"/>
        </w:rPr>
        <w:t>, 202</w:t>
      </w:r>
      <w:r w:rsidR="00952662" w:rsidRPr="006713BF">
        <w:rPr>
          <w:rFonts w:ascii="Times New Roman" w:hAnsi="Times New Roman" w:cs="Times New Roman"/>
          <w:sz w:val="24"/>
          <w:szCs w:val="24"/>
        </w:rPr>
        <w:t>3</w:t>
      </w:r>
      <w:r w:rsidRPr="006713BF">
        <w:rPr>
          <w:rFonts w:ascii="Times New Roman" w:hAnsi="Times New Roman" w:cs="Times New Roman"/>
          <w:sz w:val="24"/>
          <w:szCs w:val="24"/>
        </w:rPr>
        <w:t xml:space="preserve">, the Committee on Criminal Justice, chaired by Council Member </w:t>
      </w:r>
      <w:r w:rsidR="00952662" w:rsidRPr="006713BF">
        <w:rPr>
          <w:rFonts w:ascii="Times New Roman" w:hAnsi="Times New Roman" w:cs="Times New Roman"/>
          <w:sz w:val="24"/>
          <w:szCs w:val="24"/>
        </w:rPr>
        <w:t>Carlina Rivera</w:t>
      </w:r>
      <w:r w:rsidRPr="006713BF">
        <w:rPr>
          <w:rFonts w:ascii="Times New Roman" w:hAnsi="Times New Roman" w:cs="Times New Roman"/>
          <w:sz w:val="24"/>
          <w:szCs w:val="24"/>
        </w:rPr>
        <w:t>, and the Committee on Women and Gender Equity</w:t>
      </w:r>
      <w:r w:rsidR="7328D1D4" w:rsidRPr="006713BF">
        <w:rPr>
          <w:rFonts w:ascii="Times New Roman" w:hAnsi="Times New Roman" w:cs="Times New Roman"/>
          <w:sz w:val="24"/>
          <w:szCs w:val="24"/>
        </w:rPr>
        <w:t xml:space="preserve">, chaired by Council Member </w:t>
      </w:r>
      <w:r w:rsidR="00952662" w:rsidRPr="006713BF">
        <w:rPr>
          <w:rFonts w:ascii="Times New Roman" w:hAnsi="Times New Roman" w:cs="Times New Roman"/>
          <w:sz w:val="24"/>
          <w:szCs w:val="24"/>
        </w:rPr>
        <w:t>Tiffany L. Cabán</w:t>
      </w:r>
      <w:r w:rsidRPr="006713BF">
        <w:rPr>
          <w:rFonts w:ascii="Times New Roman" w:hAnsi="Times New Roman" w:cs="Times New Roman"/>
          <w:sz w:val="24"/>
          <w:szCs w:val="24"/>
        </w:rPr>
        <w:t>, will hold a joint oversight hearing on</w:t>
      </w:r>
      <w:r w:rsidR="00952662" w:rsidRPr="00CA56E4">
        <w:rPr>
          <w:rFonts w:ascii="Times New Roman" w:hAnsi="Times New Roman" w:cs="Times New Roman"/>
        </w:rPr>
        <w:t xml:space="preserve"> </w:t>
      </w:r>
      <w:r w:rsidR="00952662" w:rsidRPr="00E15714">
        <w:rPr>
          <w:rFonts w:ascii="Times New Roman" w:hAnsi="Times New Roman" w:cs="Times New Roman"/>
          <w:i/>
          <w:iCs/>
          <w:sz w:val="24"/>
          <w:szCs w:val="24"/>
        </w:rPr>
        <w:t xml:space="preserve">The </w:t>
      </w:r>
      <w:r w:rsidR="00D36B49" w:rsidRPr="00E15714">
        <w:rPr>
          <w:rFonts w:ascii="Times New Roman" w:hAnsi="Times New Roman" w:cs="Times New Roman"/>
          <w:i/>
          <w:iCs/>
          <w:sz w:val="24"/>
          <w:szCs w:val="24"/>
        </w:rPr>
        <w:t>Transgender, Gender Non-Conforming, Non-Binary, and Intersex (</w:t>
      </w:r>
      <w:r w:rsidR="00952662" w:rsidRPr="006713BF">
        <w:rPr>
          <w:rFonts w:ascii="Times New Roman" w:hAnsi="Times New Roman" w:cs="Times New Roman"/>
          <w:i/>
          <w:iCs/>
          <w:sz w:val="24"/>
          <w:szCs w:val="24"/>
        </w:rPr>
        <w:t>TGNCNBI</w:t>
      </w:r>
      <w:r w:rsidR="00D36B49" w:rsidRPr="006713BF">
        <w:rPr>
          <w:rFonts w:ascii="Times New Roman" w:hAnsi="Times New Roman" w:cs="Times New Roman"/>
          <w:i/>
          <w:iCs/>
          <w:sz w:val="24"/>
          <w:szCs w:val="24"/>
        </w:rPr>
        <w:t>)</w:t>
      </w:r>
      <w:r w:rsidR="00952662" w:rsidRPr="006713BF">
        <w:rPr>
          <w:rFonts w:ascii="Times New Roman" w:hAnsi="Times New Roman" w:cs="Times New Roman"/>
          <w:i/>
          <w:iCs/>
          <w:sz w:val="24"/>
          <w:szCs w:val="24"/>
        </w:rPr>
        <w:t xml:space="preserve"> </w:t>
      </w:r>
      <w:r w:rsidR="005C5164" w:rsidRPr="006713BF">
        <w:rPr>
          <w:rFonts w:ascii="Times New Roman" w:hAnsi="Times New Roman" w:cs="Times New Roman"/>
          <w:i/>
          <w:iCs/>
          <w:sz w:val="24"/>
          <w:szCs w:val="24"/>
        </w:rPr>
        <w:t>Task Force</w:t>
      </w:r>
      <w:r w:rsidR="00952662" w:rsidRPr="006713BF">
        <w:rPr>
          <w:rFonts w:ascii="Times New Roman" w:hAnsi="Times New Roman" w:cs="Times New Roman"/>
          <w:i/>
          <w:iCs/>
          <w:sz w:val="24"/>
          <w:szCs w:val="24"/>
        </w:rPr>
        <w:t xml:space="preserve"> Report Update and TGNC</w:t>
      </w:r>
      <w:r w:rsidR="000A3DD4" w:rsidRPr="006713BF">
        <w:rPr>
          <w:rFonts w:ascii="Times New Roman" w:hAnsi="Times New Roman" w:cs="Times New Roman"/>
          <w:i/>
          <w:iCs/>
          <w:sz w:val="24"/>
          <w:szCs w:val="24"/>
        </w:rPr>
        <w:t>NBI</w:t>
      </w:r>
      <w:r w:rsidR="00952662" w:rsidRPr="006713BF">
        <w:rPr>
          <w:rFonts w:ascii="Times New Roman" w:hAnsi="Times New Roman" w:cs="Times New Roman"/>
          <w:i/>
          <w:iCs/>
          <w:sz w:val="24"/>
          <w:szCs w:val="24"/>
        </w:rPr>
        <w:t xml:space="preserve"> Individuals in Rikers</w:t>
      </w:r>
      <w:r w:rsidRPr="006713BF">
        <w:rPr>
          <w:rFonts w:ascii="Times New Roman" w:hAnsi="Times New Roman" w:cs="Times New Roman"/>
          <w:sz w:val="24"/>
          <w:szCs w:val="24"/>
        </w:rPr>
        <w:t xml:space="preserve">. </w:t>
      </w:r>
      <w:r w:rsidR="00D36B49" w:rsidRPr="006713BF">
        <w:rPr>
          <w:rFonts w:ascii="Times New Roman" w:hAnsi="Times New Roman" w:cs="Times New Roman"/>
          <w:sz w:val="24"/>
          <w:szCs w:val="24"/>
        </w:rPr>
        <w:t>Additionally</w:t>
      </w:r>
      <w:r w:rsidRPr="006713BF">
        <w:rPr>
          <w:rFonts w:ascii="Times New Roman" w:hAnsi="Times New Roman" w:cs="Times New Roman"/>
          <w:sz w:val="24"/>
          <w:szCs w:val="24"/>
        </w:rPr>
        <w:t>, the Committee</w:t>
      </w:r>
      <w:r w:rsidR="395BEE60" w:rsidRPr="006713BF">
        <w:rPr>
          <w:rFonts w:ascii="Times New Roman" w:hAnsi="Times New Roman" w:cs="Times New Roman"/>
          <w:sz w:val="24"/>
          <w:szCs w:val="24"/>
        </w:rPr>
        <w:t xml:space="preserve"> on Criminal Justice</w:t>
      </w:r>
      <w:r w:rsidRPr="006713BF">
        <w:rPr>
          <w:rFonts w:ascii="Times New Roman" w:hAnsi="Times New Roman" w:cs="Times New Roman"/>
          <w:sz w:val="24"/>
          <w:szCs w:val="24"/>
        </w:rPr>
        <w:t xml:space="preserve"> will hear</w:t>
      </w:r>
      <w:r w:rsidR="7328D1D4" w:rsidRPr="006713BF">
        <w:rPr>
          <w:rFonts w:ascii="Times New Roman" w:hAnsi="Times New Roman" w:cs="Times New Roman"/>
          <w:sz w:val="24"/>
          <w:szCs w:val="24"/>
        </w:rPr>
        <w:t>:</w:t>
      </w:r>
      <w:r w:rsidRPr="006713BF">
        <w:rPr>
          <w:rFonts w:ascii="Times New Roman" w:hAnsi="Times New Roman" w:cs="Times New Roman"/>
          <w:sz w:val="24"/>
          <w:szCs w:val="24"/>
        </w:rPr>
        <w:t xml:space="preserve"> </w:t>
      </w:r>
      <w:r w:rsidR="00EE2A77">
        <w:rPr>
          <w:rFonts w:ascii="Times New Roman" w:hAnsi="Times New Roman" w:cs="Times New Roman"/>
          <w:sz w:val="24"/>
          <w:szCs w:val="24"/>
        </w:rPr>
        <w:t>Introduction Number (Int. No</w:t>
      </w:r>
      <w:r w:rsidR="003B19A0">
        <w:rPr>
          <w:rFonts w:ascii="Times New Roman" w:hAnsi="Times New Roman" w:cs="Times New Roman"/>
          <w:sz w:val="24"/>
          <w:szCs w:val="24"/>
        </w:rPr>
        <w:t>.</w:t>
      </w:r>
      <w:r w:rsidR="00EE2A77">
        <w:rPr>
          <w:rFonts w:ascii="Times New Roman" w:hAnsi="Times New Roman" w:cs="Times New Roman"/>
          <w:sz w:val="24"/>
          <w:szCs w:val="24"/>
        </w:rPr>
        <w:t xml:space="preserve">) 355, sponsored by Council Members Rivera and Caban, in relation to permitting incarcerated individuals </w:t>
      </w:r>
      <w:r w:rsidR="003B19A0">
        <w:rPr>
          <w:rFonts w:ascii="Times New Roman" w:hAnsi="Times New Roman" w:cs="Times New Roman"/>
          <w:sz w:val="24"/>
          <w:szCs w:val="24"/>
        </w:rPr>
        <w:t>in</w:t>
      </w:r>
      <w:r w:rsidR="00EE2A77">
        <w:rPr>
          <w:rFonts w:ascii="Times New Roman" w:hAnsi="Times New Roman" w:cs="Times New Roman"/>
          <w:sz w:val="24"/>
          <w:szCs w:val="24"/>
        </w:rPr>
        <w:t xml:space="preserve"> city jails to choose the gender of their doctor, Int. No.</w:t>
      </w:r>
      <w:r w:rsidRPr="006713BF">
        <w:rPr>
          <w:rFonts w:ascii="Times New Roman" w:hAnsi="Times New Roman" w:cs="Times New Roman"/>
          <w:sz w:val="24"/>
          <w:szCs w:val="24"/>
        </w:rPr>
        <w:t xml:space="preserve"> </w:t>
      </w:r>
      <w:r w:rsidR="005B5331" w:rsidRPr="006713BF">
        <w:rPr>
          <w:rFonts w:ascii="Times New Roman" w:hAnsi="Times New Roman" w:cs="Times New Roman"/>
          <w:sz w:val="24"/>
          <w:szCs w:val="24"/>
        </w:rPr>
        <w:t>728,</w:t>
      </w:r>
      <w:r w:rsidR="00BE68DC">
        <w:rPr>
          <w:rFonts w:ascii="Times New Roman" w:hAnsi="Times New Roman" w:cs="Times New Roman"/>
          <w:sz w:val="24"/>
          <w:szCs w:val="24"/>
        </w:rPr>
        <w:t xml:space="preserve"> sponsored by Council Members Powers, </w:t>
      </w:r>
      <w:r w:rsidR="00BE68DC" w:rsidRPr="006713BF">
        <w:rPr>
          <w:rFonts w:ascii="Times New Roman" w:hAnsi="Times New Roman" w:cs="Times New Roman"/>
          <w:sz w:val="24"/>
          <w:szCs w:val="24"/>
        </w:rPr>
        <w:t>Cabán</w:t>
      </w:r>
      <w:r w:rsidR="00BE68DC">
        <w:rPr>
          <w:rFonts w:ascii="Times New Roman" w:hAnsi="Times New Roman" w:cs="Times New Roman"/>
          <w:sz w:val="24"/>
          <w:szCs w:val="24"/>
        </w:rPr>
        <w:t xml:space="preserve"> and Rivera</w:t>
      </w:r>
      <w:r w:rsidR="005B5331" w:rsidRPr="006713BF">
        <w:rPr>
          <w:rFonts w:ascii="Times New Roman" w:hAnsi="Times New Roman" w:cs="Times New Roman"/>
          <w:sz w:val="24"/>
          <w:szCs w:val="24"/>
        </w:rPr>
        <w:t xml:space="preserve">, </w:t>
      </w:r>
      <w:r w:rsidR="005B5331" w:rsidRPr="00C66726">
        <w:rPr>
          <w:rFonts w:ascii="Times New Roman" w:hAnsi="Times New Roman" w:cs="Times New Roman"/>
          <w:sz w:val="24"/>
          <w:szCs w:val="24"/>
        </w:rPr>
        <w:t>in relation to housing decisions for transgender, gender nonconforming and intersex individuals</w:t>
      </w:r>
      <w:r w:rsidR="00274DEB" w:rsidRPr="00C66726">
        <w:rPr>
          <w:rFonts w:ascii="Times New Roman" w:hAnsi="Times New Roman" w:cs="Times New Roman"/>
          <w:sz w:val="24"/>
          <w:szCs w:val="24"/>
        </w:rPr>
        <w:t xml:space="preserve">; </w:t>
      </w:r>
      <w:r w:rsidR="005B5331" w:rsidRPr="00CA56E4">
        <w:rPr>
          <w:rFonts w:ascii="Times New Roman" w:hAnsi="Times New Roman" w:cs="Times New Roman"/>
          <w:sz w:val="24"/>
          <w:szCs w:val="24"/>
        </w:rPr>
        <w:t>Int. No.</w:t>
      </w:r>
      <w:r w:rsidR="005B5331" w:rsidRPr="006713BF">
        <w:rPr>
          <w:rFonts w:ascii="Times New Roman" w:hAnsi="Times New Roman" w:cs="Times New Roman"/>
          <w:sz w:val="24"/>
          <w:szCs w:val="24"/>
        </w:rPr>
        <w:t xml:space="preserve"> </w:t>
      </w:r>
      <w:r w:rsidR="00952662" w:rsidRPr="006713BF">
        <w:rPr>
          <w:rFonts w:ascii="Times New Roman" w:hAnsi="Times New Roman" w:cs="Times New Roman"/>
          <w:sz w:val="24"/>
          <w:szCs w:val="24"/>
        </w:rPr>
        <w:t xml:space="preserve">831, </w:t>
      </w:r>
      <w:r w:rsidR="005B5331" w:rsidRPr="006713BF">
        <w:rPr>
          <w:rFonts w:ascii="Times New Roman" w:hAnsi="Times New Roman" w:cs="Times New Roman"/>
          <w:sz w:val="24"/>
          <w:szCs w:val="24"/>
        </w:rPr>
        <w:t xml:space="preserve">sponsored by Council Members </w:t>
      </w:r>
      <w:r w:rsidR="00952662" w:rsidRPr="006713BF">
        <w:rPr>
          <w:rFonts w:ascii="Times New Roman" w:hAnsi="Times New Roman" w:cs="Times New Roman"/>
          <w:sz w:val="24"/>
          <w:szCs w:val="24"/>
        </w:rPr>
        <w:t>Rivera and Cabán</w:t>
      </w:r>
      <w:r w:rsidR="0049386A" w:rsidRPr="006713BF">
        <w:rPr>
          <w:rFonts w:ascii="Times New Roman" w:hAnsi="Times New Roman" w:cs="Times New Roman"/>
          <w:sz w:val="24"/>
          <w:szCs w:val="24"/>
        </w:rPr>
        <w:t>,</w:t>
      </w:r>
      <w:r w:rsidR="00952662" w:rsidRPr="006713BF">
        <w:rPr>
          <w:rFonts w:ascii="Times New Roman" w:hAnsi="Times New Roman" w:cs="Times New Roman"/>
          <w:sz w:val="24"/>
          <w:szCs w:val="24"/>
        </w:rPr>
        <w:t xml:space="preserve"> in relation </w:t>
      </w:r>
      <w:r w:rsidR="00952662" w:rsidRPr="00C66726">
        <w:rPr>
          <w:rFonts w:ascii="Times New Roman" w:hAnsi="Times New Roman" w:cs="Times New Roman"/>
          <w:sz w:val="24"/>
          <w:szCs w:val="24"/>
        </w:rPr>
        <w:t xml:space="preserve">to establishing a citywide </w:t>
      </w:r>
      <w:r w:rsidR="00952662" w:rsidRPr="006713BF">
        <w:rPr>
          <w:rFonts w:ascii="Times New Roman" w:hAnsi="Times New Roman" w:cs="Times New Roman"/>
          <w:sz w:val="24"/>
          <w:szCs w:val="24"/>
        </w:rPr>
        <w:t>resource navigator for women and gender-expansive persons</w:t>
      </w:r>
      <w:r w:rsidR="00274DEB" w:rsidRPr="00E15714">
        <w:rPr>
          <w:rFonts w:ascii="Times New Roman" w:hAnsi="Times New Roman" w:cs="Times New Roman"/>
          <w:sz w:val="24"/>
          <w:szCs w:val="24"/>
        </w:rPr>
        <w:t xml:space="preserve">; </w:t>
      </w:r>
      <w:r w:rsidR="009278B5">
        <w:rPr>
          <w:rFonts w:ascii="Times New Roman" w:hAnsi="Times New Roman" w:cs="Times New Roman"/>
          <w:sz w:val="24"/>
          <w:szCs w:val="24"/>
        </w:rPr>
        <w:t>Int. No. 887</w:t>
      </w:r>
      <w:r w:rsidR="000A3DD4" w:rsidRPr="006713BF">
        <w:rPr>
          <w:rFonts w:ascii="Times New Roman" w:hAnsi="Times New Roman" w:cs="Times New Roman"/>
          <w:sz w:val="24"/>
          <w:szCs w:val="24"/>
        </w:rPr>
        <w:t xml:space="preserve">, sponsored by </w:t>
      </w:r>
      <w:r w:rsidR="000A3DD4" w:rsidRPr="00CA56E4">
        <w:rPr>
          <w:rFonts w:ascii="Times New Roman" w:hAnsi="Times New Roman" w:cs="Times New Roman"/>
          <w:sz w:val="24"/>
          <w:szCs w:val="24"/>
        </w:rPr>
        <w:t>the Public Advocate (Mr. Williams)</w:t>
      </w:r>
      <w:r w:rsidR="000612D5">
        <w:rPr>
          <w:rFonts w:ascii="Times New Roman" w:hAnsi="Times New Roman" w:cs="Times New Roman"/>
          <w:sz w:val="24"/>
          <w:szCs w:val="24"/>
        </w:rPr>
        <w:t xml:space="preserve"> and Council Members Rivera and </w:t>
      </w:r>
      <w:r w:rsidR="000612D5" w:rsidRPr="006713BF">
        <w:rPr>
          <w:rFonts w:ascii="Times New Roman" w:hAnsi="Times New Roman" w:cs="Times New Roman"/>
          <w:sz w:val="24"/>
          <w:szCs w:val="24"/>
        </w:rPr>
        <w:t>Cabán</w:t>
      </w:r>
      <w:r w:rsidR="000A3DD4" w:rsidRPr="00CA56E4">
        <w:rPr>
          <w:rFonts w:ascii="Times New Roman" w:hAnsi="Times New Roman" w:cs="Times New Roman"/>
          <w:sz w:val="24"/>
          <w:szCs w:val="24"/>
        </w:rPr>
        <w:t xml:space="preserve">, in relation to reporting on gender identity of individuals in the custody of the Department of </w:t>
      </w:r>
      <w:r w:rsidR="000612D5">
        <w:rPr>
          <w:rFonts w:ascii="Times New Roman" w:hAnsi="Times New Roman" w:cs="Times New Roman"/>
          <w:sz w:val="24"/>
          <w:szCs w:val="24"/>
        </w:rPr>
        <w:t>C</w:t>
      </w:r>
      <w:r w:rsidR="000A3DD4" w:rsidRPr="00CA56E4">
        <w:rPr>
          <w:rFonts w:ascii="Times New Roman" w:hAnsi="Times New Roman" w:cs="Times New Roman"/>
          <w:sz w:val="24"/>
          <w:szCs w:val="24"/>
        </w:rPr>
        <w:t>orrection</w:t>
      </w:r>
      <w:r w:rsidR="00EE2A77">
        <w:rPr>
          <w:rFonts w:ascii="Times New Roman" w:hAnsi="Times New Roman" w:cs="Times New Roman"/>
          <w:sz w:val="24"/>
          <w:szCs w:val="24"/>
        </w:rPr>
        <w:t xml:space="preserve">, Resolution Number (Res. No.) 117 sponsored by the Public Advocate (Mr. Williams) and Council Member </w:t>
      </w:r>
      <w:r w:rsidR="00EE2A77" w:rsidRPr="006713BF">
        <w:rPr>
          <w:rFonts w:ascii="Times New Roman" w:hAnsi="Times New Roman" w:cs="Times New Roman"/>
          <w:sz w:val="24"/>
          <w:szCs w:val="24"/>
        </w:rPr>
        <w:t>Cabán</w:t>
      </w:r>
      <w:r w:rsidR="00EE2A77">
        <w:rPr>
          <w:rFonts w:ascii="Times New Roman" w:hAnsi="Times New Roman" w:cs="Times New Roman"/>
          <w:sz w:val="24"/>
          <w:szCs w:val="24"/>
        </w:rPr>
        <w:t xml:space="preserve"> </w:t>
      </w:r>
      <w:r w:rsidR="00EE2A77" w:rsidRPr="00EE2A77">
        <w:rPr>
          <w:rFonts w:ascii="Times New Roman" w:hAnsi="Times New Roman" w:cs="Times New Roman"/>
          <w:sz w:val="24"/>
          <w:szCs w:val="24"/>
        </w:rPr>
        <w:t>calling on the New York State Legislature to pass, and the Governor to sign, a bill that would mandate the Office of Court Administration to update the securing order fo</w:t>
      </w:r>
      <w:r w:rsidR="00EE2A77">
        <w:rPr>
          <w:rFonts w:ascii="Times New Roman" w:hAnsi="Times New Roman" w:cs="Times New Roman"/>
          <w:sz w:val="24"/>
          <w:szCs w:val="24"/>
        </w:rPr>
        <w:t xml:space="preserve">rm to include a gender X option and, </w:t>
      </w:r>
      <w:r w:rsidR="00274DEB" w:rsidRPr="00CA56E4">
        <w:rPr>
          <w:rFonts w:ascii="Times New Roman" w:hAnsi="Times New Roman" w:cs="Times New Roman"/>
          <w:sz w:val="24"/>
          <w:szCs w:val="24"/>
        </w:rPr>
        <w:t>Resolution Number (Res. No</w:t>
      </w:r>
      <w:r w:rsidR="00274DEB" w:rsidRPr="009278B5">
        <w:rPr>
          <w:rFonts w:ascii="Times New Roman" w:hAnsi="Times New Roman" w:cs="Times New Roman"/>
          <w:sz w:val="24"/>
          <w:szCs w:val="24"/>
        </w:rPr>
        <w:t xml:space="preserve">.) </w:t>
      </w:r>
      <w:r w:rsidR="009278B5" w:rsidRPr="009278B5">
        <w:rPr>
          <w:rFonts w:ascii="Times New Roman" w:hAnsi="Times New Roman" w:cs="Times New Roman"/>
          <w:sz w:val="24"/>
          <w:szCs w:val="24"/>
        </w:rPr>
        <w:t>458</w:t>
      </w:r>
      <w:r w:rsidR="00274DEB" w:rsidRPr="009278B5">
        <w:rPr>
          <w:rFonts w:ascii="Times New Roman" w:hAnsi="Times New Roman" w:cs="Times New Roman"/>
          <w:sz w:val="24"/>
          <w:szCs w:val="24"/>
        </w:rPr>
        <w:t xml:space="preserve">,  </w:t>
      </w:r>
      <w:r w:rsidR="000612D5" w:rsidRPr="009278B5">
        <w:rPr>
          <w:rFonts w:ascii="Times New Roman" w:hAnsi="Times New Roman" w:cs="Times New Roman"/>
          <w:sz w:val="24"/>
          <w:szCs w:val="24"/>
        </w:rPr>
        <w:t>sponsored by</w:t>
      </w:r>
      <w:r w:rsidR="000612D5">
        <w:rPr>
          <w:rFonts w:ascii="Times New Roman" w:hAnsi="Times New Roman" w:cs="Times New Roman"/>
          <w:sz w:val="24"/>
          <w:szCs w:val="24"/>
        </w:rPr>
        <w:t xml:space="preserve"> Council Member Bottcher, </w:t>
      </w:r>
      <w:r w:rsidR="00274DEB" w:rsidRPr="00CA56E4">
        <w:rPr>
          <w:rFonts w:ascii="Times New Roman" w:hAnsi="Times New Roman" w:cs="Times New Roman"/>
          <w:sz w:val="24"/>
          <w:szCs w:val="24"/>
        </w:rPr>
        <w:t>calling on the New York State Legislature to pass, and the Governor to sign, A.7001B/S.6677A to enact the Gender Identity Respect, Dignity and Safety Act, which would allow for appropriate treatment and placement of incarcerated people based upon their gender identity.</w:t>
      </w:r>
      <w:r w:rsidR="000612D5">
        <w:rPr>
          <w:rFonts w:ascii="Times New Roman" w:hAnsi="Times New Roman" w:cs="Times New Roman"/>
          <w:sz w:val="24"/>
          <w:szCs w:val="24"/>
        </w:rPr>
        <w:t xml:space="preserve"> </w:t>
      </w:r>
    </w:p>
    <w:p w14:paraId="09DE2A7A" w14:textId="49E5E3C2" w:rsidR="006A2122" w:rsidRPr="00CA56E4" w:rsidRDefault="00AB0F0A" w:rsidP="000612D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Those</w:t>
      </w:r>
      <w:r w:rsidR="10A7E8AB" w:rsidRPr="006713BF">
        <w:rPr>
          <w:rFonts w:ascii="Times New Roman" w:hAnsi="Times New Roman" w:cs="Times New Roman"/>
          <w:sz w:val="24"/>
          <w:szCs w:val="24"/>
        </w:rPr>
        <w:t xml:space="preserve"> invited to testify include representatives from the New York City</w:t>
      </w:r>
      <w:r w:rsidR="00D36B49" w:rsidRPr="006713BF">
        <w:rPr>
          <w:rFonts w:ascii="Times New Roman" w:hAnsi="Times New Roman" w:cs="Times New Roman"/>
          <w:sz w:val="24"/>
          <w:szCs w:val="24"/>
        </w:rPr>
        <w:t xml:space="preserve"> </w:t>
      </w:r>
      <w:r w:rsidR="10A7E8AB" w:rsidRPr="006713BF">
        <w:rPr>
          <w:rFonts w:ascii="Times New Roman" w:hAnsi="Times New Roman" w:cs="Times New Roman"/>
          <w:sz w:val="24"/>
          <w:szCs w:val="24"/>
        </w:rPr>
        <w:t>Department of Correction (</w:t>
      </w:r>
      <w:r w:rsidR="005C5164" w:rsidRPr="006713BF">
        <w:rPr>
          <w:rFonts w:ascii="Times New Roman" w:hAnsi="Times New Roman" w:cs="Times New Roman"/>
          <w:sz w:val="24"/>
          <w:szCs w:val="24"/>
        </w:rPr>
        <w:t>"</w:t>
      </w:r>
      <w:r w:rsidR="10A7E8AB" w:rsidRPr="006713BF">
        <w:rPr>
          <w:rFonts w:ascii="Times New Roman" w:hAnsi="Times New Roman" w:cs="Times New Roman"/>
          <w:sz w:val="24"/>
          <w:szCs w:val="24"/>
        </w:rPr>
        <w:t>DOC</w:t>
      </w:r>
      <w:r w:rsidR="005C5164" w:rsidRPr="006713BF">
        <w:rPr>
          <w:rFonts w:ascii="Times New Roman" w:hAnsi="Times New Roman" w:cs="Times New Roman"/>
          <w:sz w:val="24"/>
          <w:szCs w:val="24"/>
        </w:rPr>
        <w:t>"</w:t>
      </w:r>
      <w:r w:rsidR="37FDD691" w:rsidRPr="006713BF">
        <w:rPr>
          <w:rFonts w:ascii="Times New Roman" w:hAnsi="Times New Roman" w:cs="Times New Roman"/>
          <w:sz w:val="24"/>
          <w:szCs w:val="24"/>
        </w:rPr>
        <w:t xml:space="preserve"> or </w:t>
      </w:r>
      <w:r w:rsidR="005C5164" w:rsidRPr="006713BF">
        <w:rPr>
          <w:rFonts w:ascii="Times New Roman" w:hAnsi="Times New Roman" w:cs="Times New Roman"/>
          <w:sz w:val="24"/>
          <w:szCs w:val="24"/>
        </w:rPr>
        <w:t>"</w:t>
      </w:r>
      <w:r w:rsidR="37FDD691" w:rsidRPr="006713BF">
        <w:rPr>
          <w:rFonts w:ascii="Times New Roman" w:hAnsi="Times New Roman" w:cs="Times New Roman"/>
          <w:sz w:val="24"/>
          <w:szCs w:val="24"/>
        </w:rPr>
        <w:t>Department</w:t>
      </w:r>
      <w:r w:rsidR="005C5164" w:rsidRPr="006713BF">
        <w:rPr>
          <w:rFonts w:ascii="Times New Roman" w:hAnsi="Times New Roman" w:cs="Times New Roman"/>
          <w:sz w:val="24"/>
          <w:szCs w:val="24"/>
        </w:rPr>
        <w:t>"</w:t>
      </w:r>
      <w:r w:rsidR="10A7E8AB" w:rsidRPr="006713BF">
        <w:rPr>
          <w:rFonts w:ascii="Times New Roman" w:hAnsi="Times New Roman" w:cs="Times New Roman"/>
          <w:sz w:val="24"/>
          <w:szCs w:val="24"/>
        </w:rPr>
        <w:t>)</w:t>
      </w:r>
      <w:r w:rsidR="37FDD691" w:rsidRPr="006713BF">
        <w:rPr>
          <w:rFonts w:ascii="Times New Roman" w:hAnsi="Times New Roman" w:cs="Times New Roman"/>
          <w:sz w:val="24"/>
          <w:szCs w:val="24"/>
        </w:rPr>
        <w:t xml:space="preserve">, </w:t>
      </w:r>
      <w:r w:rsidR="001717F7" w:rsidRPr="006713BF">
        <w:rPr>
          <w:rFonts w:ascii="Times New Roman" w:hAnsi="Times New Roman" w:cs="Times New Roman"/>
          <w:sz w:val="24"/>
          <w:szCs w:val="24"/>
        </w:rPr>
        <w:t>Correctional Health Services (</w:t>
      </w:r>
      <w:r w:rsidR="008B5B7C">
        <w:rPr>
          <w:rFonts w:ascii="Times New Roman" w:hAnsi="Times New Roman" w:cs="Times New Roman"/>
          <w:sz w:val="24"/>
          <w:szCs w:val="24"/>
        </w:rPr>
        <w:t>“</w:t>
      </w:r>
      <w:r w:rsidR="001717F7" w:rsidRPr="006713BF">
        <w:rPr>
          <w:rFonts w:ascii="Times New Roman" w:hAnsi="Times New Roman" w:cs="Times New Roman"/>
          <w:sz w:val="24"/>
          <w:szCs w:val="24"/>
        </w:rPr>
        <w:t>CHS</w:t>
      </w:r>
      <w:r w:rsidR="008B5B7C">
        <w:rPr>
          <w:rFonts w:ascii="Times New Roman" w:hAnsi="Times New Roman" w:cs="Times New Roman"/>
          <w:sz w:val="24"/>
          <w:szCs w:val="24"/>
        </w:rPr>
        <w:t>”</w:t>
      </w:r>
      <w:r w:rsidR="001717F7" w:rsidRPr="006713BF">
        <w:rPr>
          <w:rFonts w:ascii="Times New Roman" w:hAnsi="Times New Roman" w:cs="Times New Roman"/>
          <w:sz w:val="24"/>
          <w:szCs w:val="24"/>
        </w:rPr>
        <w:t xml:space="preserve">), </w:t>
      </w:r>
      <w:r w:rsidR="2EF230EF" w:rsidRPr="006713BF">
        <w:rPr>
          <w:rFonts w:ascii="Times New Roman" w:hAnsi="Times New Roman" w:cs="Times New Roman"/>
          <w:sz w:val="24"/>
          <w:szCs w:val="24"/>
        </w:rPr>
        <w:t xml:space="preserve">the </w:t>
      </w:r>
      <w:r w:rsidR="00D36B49" w:rsidRPr="006713BF">
        <w:rPr>
          <w:rFonts w:ascii="Times New Roman" w:hAnsi="Times New Roman" w:cs="Times New Roman"/>
          <w:sz w:val="24"/>
          <w:szCs w:val="24"/>
        </w:rPr>
        <w:t>Mayor</w:t>
      </w:r>
      <w:r w:rsidR="005C5164" w:rsidRPr="006713BF">
        <w:rPr>
          <w:rFonts w:ascii="Times New Roman" w:hAnsi="Times New Roman" w:cs="Times New Roman"/>
          <w:sz w:val="24"/>
          <w:szCs w:val="24"/>
        </w:rPr>
        <w:t>'</w:t>
      </w:r>
      <w:r w:rsidR="00D36B49" w:rsidRPr="006713BF">
        <w:rPr>
          <w:rFonts w:ascii="Times New Roman" w:hAnsi="Times New Roman" w:cs="Times New Roman"/>
          <w:sz w:val="24"/>
          <w:szCs w:val="24"/>
        </w:rPr>
        <w:t>s Office for Equity (</w:t>
      </w:r>
      <w:r w:rsidR="008B5B7C">
        <w:rPr>
          <w:rFonts w:ascii="Times New Roman" w:hAnsi="Times New Roman" w:cs="Times New Roman"/>
          <w:sz w:val="24"/>
          <w:szCs w:val="24"/>
        </w:rPr>
        <w:t>“</w:t>
      </w:r>
      <w:r w:rsidR="00D36B49" w:rsidRPr="006713BF">
        <w:rPr>
          <w:rFonts w:ascii="Times New Roman" w:hAnsi="Times New Roman" w:cs="Times New Roman"/>
          <w:sz w:val="24"/>
          <w:szCs w:val="24"/>
        </w:rPr>
        <w:t>MOE</w:t>
      </w:r>
      <w:r w:rsidR="008B5B7C">
        <w:rPr>
          <w:rFonts w:ascii="Times New Roman" w:hAnsi="Times New Roman" w:cs="Times New Roman"/>
          <w:sz w:val="24"/>
          <w:szCs w:val="24"/>
        </w:rPr>
        <w:t>”</w:t>
      </w:r>
      <w:r w:rsidR="00D36B49" w:rsidRPr="006713BF">
        <w:rPr>
          <w:rFonts w:ascii="Times New Roman" w:hAnsi="Times New Roman" w:cs="Times New Roman"/>
          <w:sz w:val="24"/>
          <w:szCs w:val="24"/>
        </w:rPr>
        <w:t>), the Commission on Gender Equity (</w:t>
      </w:r>
      <w:r w:rsidR="008B5B7C">
        <w:rPr>
          <w:rFonts w:ascii="Times New Roman" w:hAnsi="Times New Roman" w:cs="Times New Roman"/>
          <w:sz w:val="24"/>
          <w:szCs w:val="24"/>
        </w:rPr>
        <w:t>“</w:t>
      </w:r>
      <w:r w:rsidR="00D36B49" w:rsidRPr="006713BF">
        <w:rPr>
          <w:rFonts w:ascii="Times New Roman" w:hAnsi="Times New Roman" w:cs="Times New Roman"/>
          <w:sz w:val="24"/>
          <w:szCs w:val="24"/>
        </w:rPr>
        <w:t>CGE</w:t>
      </w:r>
      <w:r w:rsidR="008B5B7C">
        <w:rPr>
          <w:rFonts w:ascii="Times New Roman" w:hAnsi="Times New Roman" w:cs="Times New Roman"/>
          <w:sz w:val="24"/>
          <w:szCs w:val="24"/>
        </w:rPr>
        <w:t>”</w:t>
      </w:r>
      <w:r w:rsidR="00D36B49" w:rsidRPr="006713BF">
        <w:rPr>
          <w:rFonts w:ascii="Times New Roman" w:hAnsi="Times New Roman" w:cs="Times New Roman"/>
          <w:sz w:val="24"/>
          <w:szCs w:val="24"/>
        </w:rPr>
        <w:t>)</w:t>
      </w:r>
      <w:r w:rsidR="2EF230EF" w:rsidRPr="00E15714">
        <w:rPr>
          <w:rFonts w:ascii="Times New Roman" w:hAnsi="Times New Roman" w:cs="Times New Roman"/>
          <w:sz w:val="24"/>
          <w:szCs w:val="24"/>
        </w:rPr>
        <w:t>,</w:t>
      </w:r>
      <w:r w:rsidR="00D36B49" w:rsidRPr="00E15714">
        <w:rPr>
          <w:rFonts w:ascii="Times New Roman" w:hAnsi="Times New Roman" w:cs="Times New Roman"/>
          <w:sz w:val="24"/>
          <w:szCs w:val="24"/>
        </w:rPr>
        <w:t xml:space="preserve"> </w:t>
      </w:r>
      <w:r w:rsidR="10A7E8AB" w:rsidRPr="00891778">
        <w:rPr>
          <w:rFonts w:ascii="Times New Roman" w:hAnsi="Times New Roman" w:cs="Times New Roman"/>
          <w:sz w:val="24"/>
          <w:szCs w:val="24"/>
        </w:rPr>
        <w:t xml:space="preserve">legal services providers, advocacy groups and </w:t>
      </w:r>
      <w:r w:rsidR="173F2FF1" w:rsidRPr="000E4CAF">
        <w:rPr>
          <w:rFonts w:ascii="Times New Roman" w:hAnsi="Times New Roman" w:cs="Times New Roman"/>
          <w:sz w:val="24"/>
          <w:szCs w:val="24"/>
        </w:rPr>
        <w:t xml:space="preserve">organizations, and </w:t>
      </w:r>
      <w:r w:rsidR="10A7E8AB" w:rsidRPr="000E4CAF">
        <w:rPr>
          <w:rFonts w:ascii="Times New Roman" w:hAnsi="Times New Roman" w:cs="Times New Roman"/>
          <w:sz w:val="24"/>
          <w:szCs w:val="24"/>
        </w:rPr>
        <w:t>other interested stakeholders.</w:t>
      </w:r>
    </w:p>
    <w:p w14:paraId="70AE66EB" w14:textId="23E7462D" w:rsidR="00CA2F13" w:rsidRPr="00891778" w:rsidRDefault="00CA2F13" w:rsidP="00C1639B">
      <w:pPr>
        <w:pStyle w:val="ListParagraph"/>
        <w:numPr>
          <w:ilvl w:val="0"/>
          <w:numId w:val="13"/>
        </w:numPr>
        <w:spacing w:line="480" w:lineRule="auto"/>
        <w:rPr>
          <w:rFonts w:ascii="Times New Roman" w:hAnsi="Times New Roman" w:cs="Times New Roman"/>
          <w:b/>
          <w:lang w:val="en"/>
        </w:rPr>
      </w:pPr>
      <w:r w:rsidRPr="00E15714">
        <w:rPr>
          <w:rFonts w:ascii="Times New Roman" w:hAnsi="Times New Roman" w:cs="Times New Roman"/>
          <w:b/>
          <w:lang w:val="en"/>
        </w:rPr>
        <w:t>Background</w:t>
      </w:r>
    </w:p>
    <w:p w14:paraId="0D43B19C" w14:textId="2436C754" w:rsidR="00BC1556" w:rsidRPr="006713BF" w:rsidRDefault="005C5164" w:rsidP="009A0924">
      <w:pPr>
        <w:pStyle w:val="ListParagraph"/>
        <w:numPr>
          <w:ilvl w:val="0"/>
          <w:numId w:val="15"/>
        </w:numPr>
        <w:spacing w:line="480" w:lineRule="auto"/>
        <w:jc w:val="both"/>
        <w:rPr>
          <w:rFonts w:ascii="Times New Roman" w:hAnsi="Times New Roman" w:cs="Times New Roman"/>
          <w:i/>
          <w:lang w:val="en"/>
        </w:rPr>
      </w:pPr>
      <w:r w:rsidRPr="006713BF">
        <w:rPr>
          <w:rFonts w:ascii="Times New Roman" w:hAnsi="Times New Roman" w:cs="Times New Roman"/>
          <w:i/>
          <w:lang w:val="en"/>
        </w:rPr>
        <w:t>Rikers</w:t>
      </w:r>
      <w:r w:rsidR="00952662" w:rsidRPr="006713BF">
        <w:rPr>
          <w:rFonts w:ascii="Times New Roman" w:hAnsi="Times New Roman" w:cs="Times New Roman"/>
          <w:i/>
          <w:lang w:val="en"/>
        </w:rPr>
        <w:t xml:space="preserve"> Island</w:t>
      </w:r>
      <w:r w:rsidR="000E51A8" w:rsidRPr="006713BF">
        <w:rPr>
          <w:rFonts w:ascii="Times New Roman" w:hAnsi="Times New Roman" w:cs="Times New Roman"/>
          <w:i/>
          <w:lang w:val="en"/>
        </w:rPr>
        <w:t xml:space="preserve"> and TGNCNBI Individuals in DOC Custody </w:t>
      </w:r>
    </w:p>
    <w:p w14:paraId="0BA049F0" w14:textId="3A6B9683" w:rsidR="00C668FF" w:rsidRPr="00E15714" w:rsidRDefault="0049386A" w:rsidP="00017D22">
      <w:pPr>
        <w:spacing w:before="120" w:line="480" w:lineRule="auto"/>
        <w:ind w:firstLine="720"/>
        <w:jc w:val="both"/>
        <w:rPr>
          <w:lang w:val="en"/>
        </w:rPr>
      </w:pPr>
      <w:r w:rsidRPr="006713BF">
        <w:t>In New York City, DOC provides for the care, custody and control of persons accused of crimes</w:t>
      </w:r>
      <w:r w:rsidR="003B19A0">
        <w:t>,</w:t>
      </w:r>
      <w:r w:rsidRPr="006713BF">
        <w:t xml:space="preserve"> or convicted and sentenced to one year or less of jail time.</w:t>
      </w:r>
      <w:r w:rsidRPr="00E15714">
        <w:rPr>
          <w:vertAlign w:val="superscript"/>
        </w:rPr>
        <w:footnoteReference w:id="2"/>
      </w:r>
      <w:r w:rsidRPr="00E15714">
        <w:t xml:space="preserve"> The Department manages </w:t>
      </w:r>
      <w:r w:rsidR="003B19A0">
        <w:t>ten</w:t>
      </w:r>
      <w:r w:rsidRPr="00E15714">
        <w:t xml:space="preserve"> correctional facilities, eight of which are located on Rikers Island, a jail barge</w:t>
      </w:r>
      <w:r w:rsidR="00AB192C" w:rsidRPr="006713BF">
        <w:t>,</w:t>
      </w:r>
      <w:r w:rsidRPr="006713BF">
        <w:t xml:space="preserve"> and </w:t>
      </w:r>
      <w:r w:rsidR="00FD3A1F" w:rsidRPr="006713BF">
        <w:t>a</w:t>
      </w:r>
      <w:r w:rsidRPr="006713BF">
        <w:t xml:space="preserve"> hospital prison ward.</w:t>
      </w:r>
      <w:r w:rsidRPr="00E15714">
        <w:rPr>
          <w:vertAlign w:val="superscript"/>
        </w:rPr>
        <w:footnoteReference w:id="3"/>
      </w:r>
      <w:r w:rsidRPr="00E15714">
        <w:t xml:space="preserve"> </w:t>
      </w:r>
      <w:r w:rsidRPr="00E15714">
        <w:rPr>
          <w:lang w:val="en"/>
        </w:rPr>
        <w:t>During Fiscal Year (</w:t>
      </w:r>
      <w:r w:rsidR="005C5164" w:rsidRPr="00E15714">
        <w:rPr>
          <w:lang w:val="en"/>
        </w:rPr>
        <w:t>"</w:t>
      </w:r>
      <w:r w:rsidRPr="00891778">
        <w:rPr>
          <w:lang w:val="en"/>
        </w:rPr>
        <w:t>F</w:t>
      </w:r>
      <w:r w:rsidR="005C5164" w:rsidRPr="000E4CAF">
        <w:rPr>
          <w:lang w:val="en"/>
        </w:rPr>
        <w:t>Y"</w:t>
      </w:r>
      <w:r w:rsidRPr="000E4CAF">
        <w:rPr>
          <w:lang w:val="en"/>
        </w:rPr>
        <w:t>) 2021, DOC handled over 16,000 admissions</w:t>
      </w:r>
      <w:r w:rsidRPr="00E15714">
        <w:rPr>
          <w:vertAlign w:val="superscript"/>
          <w:lang w:val="en"/>
        </w:rPr>
        <w:footnoteReference w:id="4"/>
      </w:r>
      <w:r w:rsidRPr="00E15714">
        <w:rPr>
          <w:lang w:val="en"/>
        </w:rPr>
        <w:t xml:space="preserve"> and the current jail census is over 5,500.</w:t>
      </w:r>
      <w:r w:rsidRPr="00E15714">
        <w:rPr>
          <w:vertAlign w:val="superscript"/>
          <w:lang w:val="en"/>
        </w:rPr>
        <w:footnoteReference w:id="5"/>
      </w:r>
      <w:r w:rsidRPr="00E15714">
        <w:rPr>
          <w:lang w:val="en"/>
        </w:rPr>
        <w:t xml:space="preserve"> During the first three months of 2022, 57.7 percent of detainees identified as Black, 31 percent as Hispanic, 5.3 percent </w:t>
      </w:r>
      <w:r w:rsidR="00017D22" w:rsidRPr="00E15714">
        <w:rPr>
          <w:lang w:val="en"/>
        </w:rPr>
        <w:t xml:space="preserve">as white, 4.3 percent as Other, </w:t>
      </w:r>
      <w:r w:rsidRPr="00E15714">
        <w:rPr>
          <w:lang w:val="en"/>
        </w:rPr>
        <w:t>and 1.8 percent as Asian.</w:t>
      </w:r>
      <w:r w:rsidRPr="00E15714">
        <w:rPr>
          <w:vertAlign w:val="superscript"/>
          <w:lang w:val="en"/>
        </w:rPr>
        <w:footnoteReference w:id="6"/>
      </w:r>
      <w:r w:rsidRPr="00E15714">
        <w:rPr>
          <w:lang w:val="en"/>
        </w:rPr>
        <w:t xml:space="preserve"> Approximately four percent o</w:t>
      </w:r>
      <w:r w:rsidRPr="006713BF">
        <w:rPr>
          <w:lang w:val="en"/>
        </w:rPr>
        <w:t>f detainees identified as women</w:t>
      </w:r>
      <w:r w:rsidR="005C5164" w:rsidRPr="006713BF">
        <w:rPr>
          <w:lang w:val="en"/>
        </w:rPr>
        <w:t>,</w:t>
      </w:r>
      <w:r w:rsidR="00125471" w:rsidRPr="006713BF">
        <w:rPr>
          <w:lang w:val="en"/>
        </w:rPr>
        <w:t xml:space="preserve"> and less than one percent identified as TGNCNBI</w:t>
      </w:r>
      <w:r w:rsidRPr="006713BF">
        <w:rPr>
          <w:lang w:val="en"/>
        </w:rPr>
        <w:t>.</w:t>
      </w:r>
      <w:r w:rsidRPr="00E15714">
        <w:rPr>
          <w:vertAlign w:val="superscript"/>
          <w:lang w:val="en"/>
        </w:rPr>
        <w:footnoteReference w:id="7"/>
      </w:r>
      <w:r w:rsidRPr="00E15714">
        <w:rPr>
          <w:lang w:val="en"/>
        </w:rPr>
        <w:t xml:space="preserve"> </w:t>
      </w:r>
      <w:r w:rsidR="00017D22" w:rsidRPr="00E15714">
        <w:t xml:space="preserve">As per DOC Directive 4498R-A, </w:t>
      </w:r>
      <w:r w:rsidR="005C5164" w:rsidRPr="00E15714">
        <w:t>"</w:t>
      </w:r>
      <w:r w:rsidR="00017D22" w:rsidRPr="00891778">
        <w:t>persons shall be housed in the facility consistent with their gender identi</w:t>
      </w:r>
      <w:r w:rsidR="005C5164" w:rsidRPr="000E4CAF">
        <w:t>t</w:t>
      </w:r>
      <w:r w:rsidR="00017D22" w:rsidRPr="000E4CAF">
        <w:t>y, absent overriding concerns for the detained person</w:t>
      </w:r>
      <w:r w:rsidR="005C5164" w:rsidRPr="000E4CAF">
        <w:t>'</w:t>
      </w:r>
      <w:r w:rsidR="00017D22" w:rsidRPr="000E4CAF">
        <w:t>s safety.</w:t>
      </w:r>
      <w:r w:rsidR="005C5164" w:rsidRPr="000E4CAF">
        <w:t>"</w:t>
      </w:r>
      <w:r w:rsidR="00017D22" w:rsidRPr="00E15714">
        <w:rPr>
          <w:vertAlign w:val="superscript"/>
        </w:rPr>
        <w:footnoteReference w:id="8"/>
      </w:r>
    </w:p>
    <w:p w14:paraId="49F58B0C" w14:textId="5695ED74" w:rsidR="002F6624" w:rsidRPr="006713BF" w:rsidRDefault="002F6624" w:rsidP="008E6FDC">
      <w:pPr>
        <w:spacing w:before="120" w:line="480" w:lineRule="auto"/>
        <w:ind w:firstLine="720"/>
        <w:jc w:val="both"/>
        <w:rPr>
          <w:lang w:val="en"/>
        </w:rPr>
      </w:pPr>
      <w:r w:rsidRPr="006713BF">
        <w:rPr>
          <w:lang w:val="en"/>
        </w:rPr>
        <w:t xml:space="preserve">In the United States (U.S.), </w:t>
      </w:r>
      <w:r w:rsidR="006E05B2" w:rsidRPr="006713BF">
        <w:rPr>
          <w:lang w:val="en"/>
        </w:rPr>
        <w:t>LGBTQ</w:t>
      </w:r>
      <w:r w:rsidR="00691FDB" w:rsidRPr="006713BF">
        <w:rPr>
          <w:lang w:val="en"/>
        </w:rPr>
        <w:t>NBI+</w:t>
      </w:r>
      <w:r w:rsidR="006E05B2" w:rsidRPr="006713BF">
        <w:rPr>
          <w:lang w:val="en"/>
        </w:rPr>
        <w:t xml:space="preserve"> </w:t>
      </w:r>
      <w:r w:rsidR="00691FDB" w:rsidRPr="006713BF">
        <w:rPr>
          <w:lang w:val="en"/>
        </w:rPr>
        <w:t>individuals,</w:t>
      </w:r>
      <w:r w:rsidR="006E05B2" w:rsidRPr="006713BF">
        <w:rPr>
          <w:lang w:val="en"/>
        </w:rPr>
        <w:t xml:space="preserve"> </w:t>
      </w:r>
      <w:r w:rsidR="00691FDB" w:rsidRPr="006713BF">
        <w:rPr>
          <w:lang w:val="en"/>
        </w:rPr>
        <w:t xml:space="preserve">especially trans people and queer women, </w:t>
      </w:r>
      <w:r w:rsidR="006E05B2" w:rsidRPr="006713BF">
        <w:rPr>
          <w:lang w:val="en"/>
        </w:rPr>
        <w:t>are overrepresented at every stage of our criminal justice system</w:t>
      </w:r>
      <w:r w:rsidR="00F340C4" w:rsidRPr="006713BF">
        <w:rPr>
          <w:lang w:val="en"/>
        </w:rPr>
        <w:t>.</w:t>
      </w:r>
      <w:r w:rsidR="005909BB" w:rsidRPr="00E15714">
        <w:rPr>
          <w:rStyle w:val="FootnoteReference"/>
          <w:lang w:val="en"/>
        </w:rPr>
        <w:footnoteReference w:id="9"/>
      </w:r>
      <w:r w:rsidR="00F340C4" w:rsidRPr="00E15714">
        <w:rPr>
          <w:lang w:val="en"/>
        </w:rPr>
        <w:t xml:space="preserve"> </w:t>
      </w:r>
      <w:r w:rsidR="00D8682E" w:rsidRPr="00E15714">
        <w:rPr>
          <w:lang w:val="en"/>
        </w:rPr>
        <w:t xml:space="preserve">A </w:t>
      </w:r>
      <w:r w:rsidR="00F340C4" w:rsidRPr="00E15714">
        <w:rPr>
          <w:lang w:val="en"/>
        </w:rPr>
        <w:t xml:space="preserve">UCLA </w:t>
      </w:r>
      <w:r w:rsidR="00D8682E" w:rsidRPr="00891778">
        <w:rPr>
          <w:lang w:val="en"/>
        </w:rPr>
        <w:t>Williams Institute study of data from the National Inmate Survey</w:t>
      </w:r>
      <w:r w:rsidR="00D8682E" w:rsidRPr="006713BF">
        <w:rPr>
          <w:lang w:val="en"/>
        </w:rPr>
        <w:t xml:space="preserve"> found that of</w:t>
      </w:r>
      <w:r w:rsidR="00691FDB" w:rsidRPr="006713BF">
        <w:rPr>
          <w:lang w:val="en"/>
        </w:rPr>
        <w:t xml:space="preserve"> the 238,000 incarcerated sexual minorities in the U.S.</w:t>
      </w:r>
      <w:r w:rsidR="003B19A0">
        <w:rPr>
          <w:lang w:val="en"/>
        </w:rPr>
        <w:t>,</w:t>
      </w:r>
      <w:r w:rsidR="00691FDB" w:rsidRPr="006713BF">
        <w:rPr>
          <w:lang w:val="en"/>
        </w:rPr>
        <w:t xml:space="preserve"> lesbian, gay and bisexual people are three times more likely to be incarcerated than heterosexual people.</w:t>
      </w:r>
      <w:r w:rsidR="00691FDB" w:rsidRPr="00E15714">
        <w:rPr>
          <w:rStyle w:val="FootnoteReference"/>
          <w:lang w:val="en"/>
        </w:rPr>
        <w:footnoteReference w:id="10"/>
      </w:r>
      <w:r w:rsidR="00691FDB" w:rsidRPr="00E15714">
        <w:rPr>
          <w:lang w:val="en"/>
        </w:rPr>
        <w:t xml:space="preserve"> Of </w:t>
      </w:r>
      <w:r w:rsidR="00F340C4" w:rsidRPr="00E15714">
        <w:rPr>
          <w:lang w:val="en"/>
        </w:rPr>
        <w:t xml:space="preserve">the </w:t>
      </w:r>
      <w:r w:rsidR="00691FDB" w:rsidRPr="00E15714">
        <w:rPr>
          <w:lang w:val="en"/>
        </w:rPr>
        <w:t xml:space="preserve">total </w:t>
      </w:r>
      <w:r w:rsidR="005C5164" w:rsidRPr="00891778">
        <w:rPr>
          <w:lang w:val="en"/>
        </w:rPr>
        <w:t>U.S.</w:t>
      </w:r>
      <w:r w:rsidR="00F340C4" w:rsidRPr="000E4CAF">
        <w:rPr>
          <w:lang w:val="en"/>
        </w:rPr>
        <w:t xml:space="preserve"> </w:t>
      </w:r>
      <w:r w:rsidR="00691FDB" w:rsidRPr="000E4CAF">
        <w:rPr>
          <w:lang w:val="en"/>
        </w:rPr>
        <w:t xml:space="preserve">prison </w:t>
      </w:r>
      <w:r w:rsidR="00F340C4" w:rsidRPr="000E4CAF">
        <w:rPr>
          <w:lang w:val="en"/>
        </w:rPr>
        <w:t>population</w:t>
      </w:r>
      <w:r w:rsidR="00691FDB" w:rsidRPr="000E4CAF">
        <w:rPr>
          <w:lang w:val="en"/>
        </w:rPr>
        <w:t>, 5.5 percent of men are gay or bisexual and 33.3 percent of women are lesbian or bisexual.</w:t>
      </w:r>
      <w:r w:rsidR="00691FDB" w:rsidRPr="00E15714">
        <w:rPr>
          <w:rStyle w:val="FootnoteReference"/>
          <w:lang w:val="en"/>
        </w:rPr>
        <w:footnoteReference w:id="11"/>
      </w:r>
      <w:r w:rsidR="00691FDB" w:rsidRPr="00E15714">
        <w:rPr>
          <w:lang w:val="en"/>
        </w:rPr>
        <w:t xml:space="preserve"> </w:t>
      </w:r>
      <w:r w:rsidR="00AB192C" w:rsidRPr="00E15714">
        <w:rPr>
          <w:lang w:val="en"/>
        </w:rPr>
        <w:t xml:space="preserve">Gay and bisexual men and women are also </w:t>
      </w:r>
      <w:r w:rsidR="00AB192C" w:rsidRPr="00891778">
        <w:rPr>
          <w:lang w:val="en"/>
        </w:rPr>
        <w:t>six times more likely to be sexually victimized while incarcerated.</w:t>
      </w:r>
      <w:r w:rsidR="00AB192C" w:rsidRPr="00E15714">
        <w:rPr>
          <w:rStyle w:val="FootnoteReference"/>
          <w:lang w:val="en"/>
        </w:rPr>
        <w:footnoteReference w:id="12"/>
      </w:r>
      <w:r w:rsidR="00AB192C" w:rsidRPr="00E15714">
        <w:rPr>
          <w:lang w:val="en"/>
        </w:rPr>
        <w:t xml:space="preserve"> Additionally, j</w:t>
      </w:r>
      <w:r w:rsidRPr="006713BF">
        <w:rPr>
          <w:lang w:val="en"/>
        </w:rPr>
        <w:t>ust as transgender people in the U.S. face persistent and pervasive discrimination and violence,</w:t>
      </w:r>
      <w:r w:rsidRPr="00E15714">
        <w:rPr>
          <w:rStyle w:val="FootnoteReference"/>
          <w:lang w:val="en"/>
        </w:rPr>
        <w:footnoteReference w:id="13"/>
      </w:r>
      <w:r w:rsidRPr="00E15714">
        <w:rPr>
          <w:lang w:val="en"/>
        </w:rPr>
        <w:t xml:space="preserve"> the </w:t>
      </w:r>
      <w:r w:rsidR="00034416" w:rsidRPr="00E15714">
        <w:rPr>
          <w:lang w:val="en"/>
        </w:rPr>
        <w:t>Bureau of Justice Statistics</w:t>
      </w:r>
      <w:r w:rsidRPr="00891778">
        <w:rPr>
          <w:lang w:val="en"/>
        </w:rPr>
        <w:t xml:space="preserve"> reports that </w:t>
      </w:r>
      <w:r w:rsidR="00034416" w:rsidRPr="000E4CAF">
        <w:rPr>
          <w:lang w:val="en"/>
        </w:rPr>
        <w:t xml:space="preserve">about 34 percent of transgender </w:t>
      </w:r>
      <w:r w:rsidR="000A58DF" w:rsidRPr="000E4CAF">
        <w:t xml:space="preserve">individuals </w:t>
      </w:r>
      <w:r w:rsidR="00034416" w:rsidRPr="006713BF">
        <w:rPr>
          <w:lang w:val="en"/>
        </w:rPr>
        <w:t>held in prisons and jails report experiencing at least one incident of sexual violence while behind bars</w:t>
      </w:r>
      <w:r w:rsidR="006E05B2" w:rsidRPr="006713BF">
        <w:rPr>
          <w:lang w:val="en"/>
        </w:rPr>
        <w:t xml:space="preserve">, which is </w:t>
      </w:r>
      <w:r w:rsidR="00034416" w:rsidRPr="006713BF">
        <w:rPr>
          <w:lang w:val="en"/>
        </w:rPr>
        <w:t>more than eight times the rate for prisoners overall.</w:t>
      </w:r>
      <w:r w:rsidR="006E05B2" w:rsidRPr="00E15714">
        <w:rPr>
          <w:rStyle w:val="FootnoteReference"/>
          <w:lang w:val="en"/>
        </w:rPr>
        <w:footnoteReference w:id="14"/>
      </w:r>
      <w:r w:rsidR="00941F28" w:rsidRPr="00E15714">
        <w:rPr>
          <w:lang w:val="en"/>
        </w:rPr>
        <w:t xml:space="preserve"> </w:t>
      </w:r>
      <w:r w:rsidR="008E6FDC" w:rsidRPr="00E15714">
        <w:rPr>
          <w:lang w:val="en"/>
        </w:rPr>
        <w:t xml:space="preserve">According to the </w:t>
      </w:r>
      <w:r w:rsidR="008E6FDC" w:rsidRPr="00891778">
        <w:rPr>
          <w:lang w:val="en"/>
        </w:rPr>
        <w:t>New York Civil Liberties Union</w:t>
      </w:r>
      <w:r w:rsidR="008E6FDC" w:rsidRPr="006756B4">
        <w:rPr>
          <w:lang w:val="en"/>
        </w:rPr>
        <w:t xml:space="preserve">, a recent survey found that </w:t>
      </w:r>
      <w:r w:rsidR="008E6FDC" w:rsidRPr="006713BF">
        <w:rPr>
          <w:lang w:val="en"/>
        </w:rPr>
        <w:t xml:space="preserve">approximately 95 percent of transgender and non-binary </w:t>
      </w:r>
      <w:r w:rsidR="000A58DF" w:rsidRPr="006713BF">
        <w:t xml:space="preserve">individuals </w:t>
      </w:r>
      <w:r w:rsidR="008E6FDC" w:rsidRPr="006713BF">
        <w:rPr>
          <w:lang w:val="en"/>
        </w:rPr>
        <w:t>incarcerated in New York State report being verbally harassed and called derogatory names by corrections staff.</w:t>
      </w:r>
      <w:r w:rsidR="008E6FDC" w:rsidRPr="00E15714">
        <w:rPr>
          <w:rStyle w:val="FootnoteReference"/>
          <w:lang w:val="en"/>
        </w:rPr>
        <w:footnoteReference w:id="15"/>
      </w:r>
    </w:p>
    <w:p w14:paraId="25C6BF0F" w14:textId="50A9C704" w:rsidR="00161A11" w:rsidRPr="006713BF" w:rsidRDefault="00161A11" w:rsidP="00161A11">
      <w:pPr>
        <w:pStyle w:val="ListParagraph"/>
        <w:numPr>
          <w:ilvl w:val="0"/>
          <w:numId w:val="15"/>
        </w:numPr>
        <w:spacing w:line="480" w:lineRule="auto"/>
        <w:jc w:val="both"/>
        <w:rPr>
          <w:rFonts w:ascii="Times New Roman" w:hAnsi="Times New Roman" w:cs="Times New Roman"/>
          <w:i/>
          <w:lang w:val="en"/>
        </w:rPr>
      </w:pPr>
      <w:r w:rsidRPr="006713BF">
        <w:rPr>
          <w:rFonts w:ascii="Times New Roman" w:hAnsi="Times New Roman" w:cs="Times New Roman"/>
          <w:i/>
          <w:lang w:val="en"/>
        </w:rPr>
        <w:t>The Special Considerations Unit (SCU) on Rikers</w:t>
      </w:r>
      <w:r w:rsidRPr="000E4CAF">
        <w:rPr>
          <w:rFonts w:ascii="Times New Roman" w:hAnsi="Times New Roman" w:cs="Times New Roman"/>
          <w:i/>
          <w:lang w:val="en"/>
        </w:rPr>
        <w:t xml:space="preserve"> Island  </w:t>
      </w:r>
    </w:p>
    <w:p w14:paraId="24A00D51" w14:textId="793ECCC9" w:rsidR="00017D22" w:rsidRDefault="00F86429" w:rsidP="00AB0F0A">
      <w:pPr>
        <w:spacing w:before="120" w:line="480" w:lineRule="auto"/>
        <w:ind w:left="360" w:firstLine="360"/>
        <w:jc w:val="both"/>
      </w:pPr>
      <w:r w:rsidRPr="006713BF">
        <w:rPr>
          <w:lang w:val="en"/>
        </w:rPr>
        <w:t xml:space="preserve">In </w:t>
      </w:r>
      <w:r w:rsidR="00B8755E" w:rsidRPr="006713BF">
        <w:rPr>
          <w:lang w:val="en"/>
        </w:rPr>
        <w:t>N</w:t>
      </w:r>
      <w:r w:rsidR="00757ED4">
        <w:rPr>
          <w:lang w:val="en"/>
        </w:rPr>
        <w:t>ew York City</w:t>
      </w:r>
      <w:r w:rsidR="00B8755E" w:rsidRPr="006713BF">
        <w:rPr>
          <w:lang w:val="en"/>
        </w:rPr>
        <w:t xml:space="preserve">, </w:t>
      </w:r>
      <w:r w:rsidR="002F6624" w:rsidRPr="006713BF">
        <w:rPr>
          <w:lang w:val="en"/>
        </w:rPr>
        <w:t>DOC opened</w:t>
      </w:r>
      <w:r w:rsidRPr="006713BF">
        <w:rPr>
          <w:lang w:val="en"/>
        </w:rPr>
        <w:t xml:space="preserve"> the country</w:t>
      </w:r>
      <w:r w:rsidR="005C5164" w:rsidRPr="006713BF">
        <w:rPr>
          <w:lang w:val="en"/>
        </w:rPr>
        <w:t>'</w:t>
      </w:r>
      <w:r w:rsidRPr="006713BF">
        <w:rPr>
          <w:lang w:val="en"/>
        </w:rPr>
        <w:t xml:space="preserve">s first separate housing unit </w:t>
      </w:r>
      <w:r w:rsidR="002F6624" w:rsidRPr="006713BF">
        <w:rPr>
          <w:lang w:val="en"/>
        </w:rPr>
        <w:t xml:space="preserve">for LGBT </w:t>
      </w:r>
      <w:r w:rsidRPr="006713BF">
        <w:rPr>
          <w:lang w:val="en"/>
        </w:rPr>
        <w:t>individuals in custody</w:t>
      </w:r>
      <w:r w:rsidR="00B8755E" w:rsidRPr="006713BF">
        <w:rPr>
          <w:lang w:val="en"/>
        </w:rPr>
        <w:t xml:space="preserve"> in 1979</w:t>
      </w:r>
      <w:r w:rsidRPr="006713BF">
        <w:rPr>
          <w:lang w:val="en"/>
        </w:rPr>
        <w:t>.</w:t>
      </w:r>
      <w:r w:rsidRPr="00E15714">
        <w:rPr>
          <w:rStyle w:val="FootnoteReference"/>
          <w:lang w:val="en"/>
        </w:rPr>
        <w:footnoteReference w:id="16"/>
      </w:r>
      <w:r w:rsidRPr="00E15714">
        <w:rPr>
          <w:lang w:val="en"/>
        </w:rPr>
        <w:t xml:space="preserve"> While the unit was initially lauded as a success,</w:t>
      </w:r>
      <w:r w:rsidRPr="00E15714">
        <w:rPr>
          <w:rStyle w:val="FootnoteReference"/>
          <w:lang w:val="en"/>
        </w:rPr>
        <w:footnoteReference w:id="17"/>
      </w:r>
      <w:r w:rsidRPr="00E15714">
        <w:rPr>
          <w:lang w:val="en"/>
        </w:rPr>
        <w:t xml:space="preserve"> it</w:t>
      </w:r>
      <w:r w:rsidR="002F6624" w:rsidRPr="00E15714">
        <w:rPr>
          <w:lang w:val="en"/>
        </w:rPr>
        <w:t xml:space="preserve"> was closed in 2005 due to concerns about violence</w:t>
      </w:r>
      <w:r w:rsidR="002F6624" w:rsidRPr="00891778">
        <w:rPr>
          <w:lang w:val="en"/>
        </w:rPr>
        <w:t>.</w:t>
      </w:r>
      <w:r w:rsidR="002F6624" w:rsidRPr="00E15714">
        <w:rPr>
          <w:rStyle w:val="FootnoteReference"/>
          <w:lang w:val="en"/>
        </w:rPr>
        <w:footnoteReference w:id="18"/>
      </w:r>
      <w:r w:rsidR="002F6624" w:rsidRPr="00E15714">
        <w:rPr>
          <w:lang w:val="en"/>
        </w:rPr>
        <w:t xml:space="preserve"> In </w:t>
      </w:r>
      <w:r w:rsidR="00941F28" w:rsidRPr="00E15714">
        <w:rPr>
          <w:lang w:val="en"/>
        </w:rPr>
        <w:t xml:space="preserve">November 2014, </w:t>
      </w:r>
      <w:r w:rsidR="00B8755E" w:rsidRPr="00891778">
        <w:rPr>
          <w:lang w:val="en"/>
        </w:rPr>
        <w:t xml:space="preserve">former </w:t>
      </w:r>
      <w:r w:rsidR="002F6624" w:rsidRPr="006756B4">
        <w:rPr>
          <w:lang w:val="en"/>
        </w:rPr>
        <w:t xml:space="preserve">DOC Commissioner Joe Ponte </w:t>
      </w:r>
      <w:r w:rsidR="00941F28" w:rsidRPr="006756B4">
        <w:rPr>
          <w:lang w:val="en"/>
        </w:rPr>
        <w:t>announced</w:t>
      </w:r>
      <w:r w:rsidR="002F6624" w:rsidRPr="006756B4">
        <w:rPr>
          <w:lang w:val="en"/>
        </w:rPr>
        <w:t xml:space="preserve"> </w:t>
      </w:r>
      <w:r w:rsidR="00B8755E" w:rsidRPr="000E4CAF">
        <w:rPr>
          <w:lang w:val="en"/>
        </w:rPr>
        <w:t xml:space="preserve">a new </w:t>
      </w:r>
      <w:r w:rsidR="002F6624" w:rsidRPr="000E4CAF">
        <w:rPr>
          <w:lang w:val="en"/>
        </w:rPr>
        <w:t xml:space="preserve">DOC </w:t>
      </w:r>
      <w:r w:rsidR="002F6624" w:rsidRPr="006713BF">
        <w:rPr>
          <w:lang w:val="en"/>
        </w:rPr>
        <w:t xml:space="preserve">policy on alternative housing options for transgender </w:t>
      </w:r>
      <w:r w:rsidR="000A58DF" w:rsidRPr="006713BF">
        <w:t xml:space="preserve">individuals </w:t>
      </w:r>
      <w:r w:rsidR="002F6624" w:rsidRPr="006713BF">
        <w:rPr>
          <w:lang w:val="en"/>
        </w:rPr>
        <w:t>in custody in NYC</w:t>
      </w:r>
      <w:r w:rsidR="002F6624" w:rsidRPr="00E15714">
        <w:rPr>
          <w:rStyle w:val="FootnoteReference"/>
          <w:lang w:val="en"/>
        </w:rPr>
        <w:footnoteReference w:id="19"/>
      </w:r>
      <w:r w:rsidR="002F6624" w:rsidRPr="00E15714">
        <w:rPr>
          <w:lang w:val="en"/>
        </w:rPr>
        <w:t xml:space="preserve"> to address the disproportionate rates of violence, rape</w:t>
      </w:r>
      <w:r w:rsidR="002F6624" w:rsidRPr="006713BF">
        <w:rPr>
          <w:lang w:val="en"/>
        </w:rPr>
        <w:t xml:space="preserve"> and harassment</w:t>
      </w:r>
      <w:r w:rsidR="006457D4">
        <w:rPr>
          <w:lang w:val="en"/>
        </w:rPr>
        <w:t xml:space="preserve"> </w:t>
      </w:r>
      <w:r w:rsidR="002F6624" w:rsidRPr="006713BF">
        <w:rPr>
          <w:lang w:val="en"/>
        </w:rPr>
        <w:t>against TGNCNBI individuals in custody,</w:t>
      </w:r>
      <w:r w:rsidR="002F6624" w:rsidRPr="00E15714">
        <w:rPr>
          <w:rStyle w:val="FootnoteReference"/>
          <w:lang w:val="en"/>
        </w:rPr>
        <w:footnoteReference w:id="20"/>
      </w:r>
      <w:r w:rsidR="002F6624" w:rsidRPr="00E15714">
        <w:rPr>
          <w:lang w:val="en"/>
        </w:rPr>
        <w:t xml:space="preserve"> as well as plans to </w:t>
      </w:r>
      <w:r w:rsidR="00CC3098" w:rsidRPr="00E15714">
        <w:rPr>
          <w:lang w:val="en"/>
        </w:rPr>
        <w:t xml:space="preserve">open </w:t>
      </w:r>
      <w:r w:rsidR="00941F28" w:rsidRPr="00891778">
        <w:rPr>
          <w:lang w:val="en"/>
        </w:rPr>
        <w:t xml:space="preserve">a Transgender Housing Unit (THU) on </w:t>
      </w:r>
      <w:r w:rsidR="005C5164" w:rsidRPr="006756B4">
        <w:rPr>
          <w:lang w:val="en"/>
        </w:rPr>
        <w:t>Rikers</w:t>
      </w:r>
      <w:r w:rsidR="00941F28" w:rsidRPr="006756B4">
        <w:rPr>
          <w:lang w:val="en"/>
        </w:rPr>
        <w:t xml:space="preserve"> Island</w:t>
      </w:r>
      <w:r w:rsidR="002F6624" w:rsidRPr="006756B4">
        <w:rPr>
          <w:lang w:val="en"/>
        </w:rPr>
        <w:t>.</w:t>
      </w:r>
      <w:r w:rsidR="002F6624" w:rsidRPr="00E15714">
        <w:rPr>
          <w:rStyle w:val="FootnoteReference"/>
          <w:lang w:val="en"/>
        </w:rPr>
        <w:footnoteReference w:id="21"/>
      </w:r>
      <w:r w:rsidR="002F6624" w:rsidRPr="00E15714">
        <w:rPr>
          <w:lang w:val="en"/>
        </w:rPr>
        <w:t xml:space="preserve"> </w:t>
      </w:r>
      <w:r w:rsidR="00161A11" w:rsidRPr="006713BF">
        <w:rPr>
          <w:lang w:val="en"/>
        </w:rPr>
        <w:t xml:space="preserve">While housing in the THU remained strictly voluntary, the </w:t>
      </w:r>
      <w:r w:rsidR="00034416" w:rsidRPr="006713BF">
        <w:rPr>
          <w:lang w:val="en"/>
        </w:rPr>
        <w:t xml:space="preserve">THU was moved </w:t>
      </w:r>
      <w:r w:rsidR="00B8755E" w:rsidRPr="006713BF">
        <w:rPr>
          <w:lang w:val="en"/>
        </w:rPr>
        <w:t xml:space="preserve">from Riker’s Island </w:t>
      </w:r>
      <w:r w:rsidR="00034416" w:rsidRPr="006713BF">
        <w:rPr>
          <w:lang w:val="en"/>
        </w:rPr>
        <w:t xml:space="preserve">to the Manhattan Detention Complex in </w:t>
      </w:r>
      <w:r w:rsidR="00FB1B67" w:rsidRPr="006713BF">
        <w:rPr>
          <w:lang w:val="en"/>
        </w:rPr>
        <w:t xml:space="preserve">July </w:t>
      </w:r>
      <w:r w:rsidR="00034416" w:rsidRPr="006713BF">
        <w:rPr>
          <w:lang w:val="en"/>
        </w:rPr>
        <w:t xml:space="preserve">2015, after the Rikers location was closed for </w:t>
      </w:r>
      <w:r w:rsidRPr="006713BF">
        <w:rPr>
          <w:lang w:val="en"/>
        </w:rPr>
        <w:t>renovations</w:t>
      </w:r>
      <w:r w:rsidR="00A822F3" w:rsidRPr="006713BF">
        <w:rPr>
          <w:lang w:val="en"/>
        </w:rPr>
        <w:t>.</w:t>
      </w:r>
      <w:r w:rsidR="00FB1B67" w:rsidRPr="00E15714">
        <w:rPr>
          <w:rStyle w:val="FootnoteReference"/>
          <w:lang w:val="en"/>
        </w:rPr>
        <w:footnoteReference w:id="22"/>
      </w:r>
      <w:r w:rsidR="00034416" w:rsidRPr="00E15714">
        <w:rPr>
          <w:lang w:val="en"/>
        </w:rPr>
        <w:t xml:space="preserve"> </w:t>
      </w:r>
      <w:r w:rsidR="00161A11" w:rsidRPr="006713BF">
        <w:t xml:space="preserve">In October 2019, the </w:t>
      </w:r>
      <w:r w:rsidR="00017D22" w:rsidRPr="006713BF">
        <w:t xml:space="preserve">THU </w:t>
      </w:r>
      <w:r w:rsidR="005C5164" w:rsidRPr="006713BF">
        <w:t xml:space="preserve">was renamed </w:t>
      </w:r>
      <w:r w:rsidR="00017D22" w:rsidRPr="006713BF">
        <w:t>the Special Considerations Unit (SCU) due to a new DOC policy</w:t>
      </w:r>
      <w:r w:rsidR="005C5164" w:rsidRPr="006713BF">
        <w:t>.</w:t>
      </w:r>
      <w:r w:rsidR="005C5164" w:rsidRPr="00E15714">
        <w:rPr>
          <w:rStyle w:val="FootnoteReference"/>
        </w:rPr>
        <w:footnoteReference w:id="23"/>
      </w:r>
      <w:r w:rsidR="00017D22" w:rsidRPr="00E15714">
        <w:t xml:space="preserve"> </w:t>
      </w:r>
      <w:r w:rsidR="00161A11" w:rsidRPr="006713BF">
        <w:t>At present, the SCU</w:t>
      </w:r>
      <w:r w:rsidR="005C5164" w:rsidRPr="006713BF">
        <w:t xml:space="preserve"> </w:t>
      </w:r>
      <w:r w:rsidR="00017D22" w:rsidRPr="006713BF">
        <w:t>has b</w:t>
      </w:r>
      <w:r w:rsidR="00765F47">
        <w:t xml:space="preserve">een moved back to Rikers Island. </w:t>
      </w:r>
      <w:r w:rsidR="00017D22" w:rsidRPr="00E15714">
        <w:t>Individuals who identify as TGNCNBI during intake–or at</w:t>
      </w:r>
      <w:r w:rsidR="00017D22" w:rsidRPr="006713BF">
        <w:t xml:space="preserve"> any other time–are provided with an application form for the SCU.</w:t>
      </w:r>
      <w:r w:rsidR="00A011B8" w:rsidRPr="00E15714">
        <w:rPr>
          <w:rStyle w:val="FootnoteReference"/>
        </w:rPr>
        <w:footnoteReference w:id="24"/>
      </w:r>
      <w:r w:rsidR="00A011B8" w:rsidRPr="00E15714">
        <w:t xml:space="preserve"> </w:t>
      </w:r>
      <w:r w:rsidR="00017D22" w:rsidRPr="00E15714">
        <w:t xml:space="preserve">Outside of the SCU, the alternative housing options for TGNCNBI individuals in DOC custody </w:t>
      </w:r>
      <w:r w:rsidR="005C5164" w:rsidRPr="006713BF">
        <w:t>are general population,</w:t>
      </w:r>
      <w:r w:rsidR="00017D22" w:rsidRPr="006713BF">
        <w:t xml:space="preserve"> program-specific housing</w:t>
      </w:r>
      <w:r w:rsidR="005C5164" w:rsidRPr="006713BF">
        <w:t>,</w:t>
      </w:r>
      <w:r w:rsidR="00017D22" w:rsidRPr="006713BF">
        <w:t xml:space="preserve"> or </w:t>
      </w:r>
      <w:r w:rsidR="00A011B8" w:rsidRPr="006713BF">
        <w:t>protective custody.</w:t>
      </w:r>
      <w:r w:rsidR="00A011B8" w:rsidRPr="00E15714">
        <w:rPr>
          <w:rStyle w:val="FootnoteReference"/>
        </w:rPr>
        <w:footnoteReference w:id="25"/>
      </w:r>
      <w:r w:rsidR="00017D22" w:rsidRPr="00E15714">
        <w:t xml:space="preserve"> Based on </w:t>
      </w:r>
      <w:r w:rsidR="00161A11" w:rsidRPr="00891778">
        <w:t xml:space="preserve">an </w:t>
      </w:r>
      <w:r w:rsidR="00017D22" w:rsidRPr="006756B4">
        <w:t xml:space="preserve">analysis conducted </w:t>
      </w:r>
      <w:r w:rsidR="005C5164" w:rsidRPr="006756B4">
        <w:t>by the TGNCNBI Task Force,</w:t>
      </w:r>
      <w:r w:rsidR="00017D22" w:rsidRPr="006756B4">
        <w:t xml:space="preserve"> approximately 63</w:t>
      </w:r>
      <w:r w:rsidR="00161A11" w:rsidRPr="000E4CAF">
        <w:t xml:space="preserve"> percent</w:t>
      </w:r>
      <w:r w:rsidR="00017D22" w:rsidRPr="006713BF">
        <w:t xml:space="preserve"> of individuals at Rikers who have self-identified to DOC as TGNCNBI are presently in gender-misaligned housing.</w:t>
      </w:r>
      <w:r w:rsidR="00A011B8" w:rsidRPr="00E15714">
        <w:rPr>
          <w:rStyle w:val="FootnoteReference"/>
        </w:rPr>
        <w:footnoteReference w:id="26"/>
      </w:r>
    </w:p>
    <w:p w14:paraId="79432DE2" w14:textId="77777777" w:rsidR="00097B32" w:rsidRPr="00E15714" w:rsidRDefault="00097B32" w:rsidP="00AB0F0A">
      <w:pPr>
        <w:spacing w:before="120" w:line="480" w:lineRule="auto"/>
        <w:ind w:left="360" w:firstLine="360"/>
        <w:jc w:val="both"/>
      </w:pPr>
    </w:p>
    <w:p w14:paraId="4177B24B" w14:textId="3F9A39D4" w:rsidR="00A96DF3" w:rsidRPr="00514AAB" w:rsidRDefault="00A96DF3" w:rsidP="00A96DF3">
      <w:pPr>
        <w:pStyle w:val="ListParagraph"/>
        <w:numPr>
          <w:ilvl w:val="0"/>
          <w:numId w:val="15"/>
        </w:numPr>
        <w:spacing w:before="120" w:line="480" w:lineRule="auto"/>
        <w:jc w:val="both"/>
        <w:rPr>
          <w:rFonts w:ascii="Times New Roman" w:hAnsi="Times New Roman" w:cs="Times New Roman"/>
          <w:i/>
          <w:iCs/>
          <w:lang w:val="en"/>
        </w:rPr>
      </w:pPr>
      <w:r w:rsidRPr="00514AAB">
        <w:rPr>
          <w:rFonts w:ascii="Times New Roman" w:hAnsi="Times New Roman" w:cs="Times New Roman"/>
          <w:i/>
          <w:iCs/>
          <w:lang w:val="en"/>
        </w:rPr>
        <w:t>The Death of Layleen Polanco</w:t>
      </w:r>
      <w:r w:rsidR="00D1105B" w:rsidRPr="00514AAB">
        <w:rPr>
          <w:rFonts w:ascii="Times New Roman" w:hAnsi="Times New Roman" w:cs="Times New Roman"/>
          <w:i/>
          <w:iCs/>
          <w:lang w:val="en"/>
        </w:rPr>
        <w:t xml:space="preserve"> and Calls for Review</w:t>
      </w:r>
    </w:p>
    <w:p w14:paraId="194A3982" w14:textId="1B8A7526" w:rsidR="000E51A8" w:rsidRPr="00E15714" w:rsidRDefault="00EF037B" w:rsidP="00892660">
      <w:pPr>
        <w:spacing w:line="480" w:lineRule="auto"/>
        <w:ind w:firstLine="720"/>
        <w:jc w:val="both"/>
        <w:rPr>
          <w:lang w:val="en"/>
        </w:rPr>
      </w:pPr>
      <w:r w:rsidRPr="006713BF">
        <w:rPr>
          <w:lang w:val="en"/>
        </w:rPr>
        <w:t xml:space="preserve">In June 2019, the death of </w:t>
      </w:r>
      <w:r w:rsidR="00C668FF" w:rsidRPr="006713BF">
        <w:rPr>
          <w:lang w:val="en"/>
        </w:rPr>
        <w:t>Layleen Xtravaganza Cubilette-Polanco</w:t>
      </w:r>
      <w:r w:rsidR="00542473" w:rsidRPr="006713BF">
        <w:rPr>
          <w:lang w:val="en"/>
        </w:rPr>
        <w:t>,</w:t>
      </w:r>
      <w:r w:rsidRPr="006713BF">
        <w:rPr>
          <w:lang w:val="en"/>
        </w:rPr>
        <w:t xml:space="preserve"> a transgender woman of color </w:t>
      </w:r>
      <w:r w:rsidR="007471F0" w:rsidRPr="006713BF">
        <w:rPr>
          <w:lang w:val="en"/>
        </w:rPr>
        <w:t xml:space="preserve">who </w:t>
      </w:r>
      <w:r w:rsidRPr="006713BF">
        <w:rPr>
          <w:lang w:val="en"/>
        </w:rPr>
        <w:t xml:space="preserve">died at </w:t>
      </w:r>
      <w:r w:rsidR="005C5164" w:rsidRPr="006713BF">
        <w:rPr>
          <w:lang w:val="en"/>
        </w:rPr>
        <w:t>Rikers</w:t>
      </w:r>
      <w:r w:rsidRPr="006713BF">
        <w:rPr>
          <w:lang w:val="en"/>
        </w:rPr>
        <w:t xml:space="preserve"> Island </w:t>
      </w:r>
      <w:r w:rsidR="007471F0" w:rsidRPr="006713BF">
        <w:rPr>
          <w:lang w:val="en"/>
        </w:rPr>
        <w:t>after DOC</w:t>
      </w:r>
      <w:r w:rsidRPr="006713BF">
        <w:rPr>
          <w:lang w:val="en"/>
        </w:rPr>
        <w:t xml:space="preserve"> </w:t>
      </w:r>
      <w:r w:rsidR="00AB0F0A">
        <w:t>staff reportedly f</w:t>
      </w:r>
      <w:r w:rsidR="007471F0" w:rsidRPr="006713BF">
        <w:t>ailed to provide her with medical care following an epileptic seizure,</w:t>
      </w:r>
      <w:r w:rsidR="007471F0" w:rsidRPr="00E15714">
        <w:rPr>
          <w:rStyle w:val="FootnoteReference"/>
        </w:rPr>
        <w:footnoteReference w:id="27"/>
      </w:r>
      <w:r w:rsidR="007471F0" w:rsidRPr="00E15714">
        <w:t xml:space="preserve"> led to widespread calls to address issues related to the treatment of </w:t>
      </w:r>
      <w:r w:rsidR="007471F0" w:rsidRPr="00891778">
        <w:t>TGNCNBI</w:t>
      </w:r>
      <w:r w:rsidR="007471F0" w:rsidRPr="006756B4">
        <w:t xml:space="preserve"> individuals</w:t>
      </w:r>
      <w:r w:rsidR="00D1105B" w:rsidRPr="006756B4">
        <w:t xml:space="preserve"> </w:t>
      </w:r>
      <w:r w:rsidR="007471F0" w:rsidRPr="006756B4">
        <w:t>in DOC custody.</w:t>
      </w:r>
      <w:r w:rsidR="007471F0" w:rsidRPr="00E15714">
        <w:rPr>
          <w:rStyle w:val="FootnoteReference"/>
        </w:rPr>
        <w:footnoteReference w:id="28"/>
      </w:r>
      <w:r w:rsidR="00A96DF3" w:rsidRPr="00E15714">
        <w:rPr>
          <w:lang w:val="en"/>
        </w:rPr>
        <w:t xml:space="preserve"> </w:t>
      </w:r>
      <w:r w:rsidR="00A011B8" w:rsidRPr="00E15714">
        <w:t>While an independent report eventually cleared DOC of responsibility for Ms. Polanco</w:t>
      </w:r>
      <w:r w:rsidR="005C5164" w:rsidRPr="006713BF">
        <w:t>'</w:t>
      </w:r>
      <w:r w:rsidR="00A011B8" w:rsidRPr="006713BF">
        <w:t>s death, it also identified serious deficiencies in rounding frequency, medical information sharing, and training requirements that endangered her safety in custody.</w:t>
      </w:r>
      <w:r w:rsidR="00A011B8" w:rsidRPr="00E15714">
        <w:rPr>
          <w:rStyle w:val="FootnoteReference"/>
        </w:rPr>
        <w:footnoteReference w:id="29"/>
      </w:r>
      <w:r w:rsidR="00A011B8" w:rsidRPr="00E15714">
        <w:t xml:space="preserve"> These findings echo reports of routine </w:t>
      </w:r>
      <w:r w:rsidRPr="00E15714">
        <w:rPr>
          <w:lang w:val="en"/>
        </w:rPr>
        <w:t>abuse,</w:t>
      </w:r>
      <w:r w:rsidRPr="00E15714">
        <w:rPr>
          <w:rStyle w:val="FootnoteReference"/>
          <w:lang w:val="en"/>
        </w:rPr>
        <w:footnoteReference w:id="30"/>
      </w:r>
      <w:r w:rsidRPr="00E15714">
        <w:rPr>
          <w:lang w:val="en"/>
        </w:rPr>
        <w:t xml:space="preserve"> unsanitary conditions,</w:t>
      </w:r>
      <w:r w:rsidRPr="00E15714">
        <w:rPr>
          <w:rStyle w:val="FootnoteReference"/>
          <w:lang w:val="en"/>
        </w:rPr>
        <w:footnoteReference w:id="31"/>
      </w:r>
      <w:r w:rsidRPr="00E15714">
        <w:rPr>
          <w:lang w:val="en"/>
        </w:rPr>
        <w:t xml:space="preserve"> and </w:t>
      </w:r>
      <w:r w:rsidR="00A96DF3" w:rsidRPr="00E15714">
        <w:rPr>
          <w:lang w:val="en"/>
        </w:rPr>
        <w:t xml:space="preserve">the </w:t>
      </w:r>
      <w:r w:rsidRPr="00E15714">
        <w:rPr>
          <w:lang w:val="en"/>
        </w:rPr>
        <w:t>deni</w:t>
      </w:r>
      <w:r w:rsidR="00A96DF3" w:rsidRPr="00891778">
        <w:rPr>
          <w:lang w:val="en"/>
        </w:rPr>
        <w:t>al</w:t>
      </w:r>
      <w:r w:rsidRPr="006756B4">
        <w:rPr>
          <w:lang w:val="en"/>
        </w:rPr>
        <w:t xml:space="preserve"> </w:t>
      </w:r>
      <w:r w:rsidR="00A96DF3" w:rsidRPr="006756B4">
        <w:rPr>
          <w:lang w:val="en"/>
        </w:rPr>
        <w:t xml:space="preserve">of </w:t>
      </w:r>
      <w:r w:rsidRPr="006756B4">
        <w:rPr>
          <w:lang w:val="en"/>
        </w:rPr>
        <w:t xml:space="preserve">medical and mental health services at </w:t>
      </w:r>
      <w:r w:rsidR="005C5164" w:rsidRPr="006713BF">
        <w:rPr>
          <w:lang w:val="en"/>
        </w:rPr>
        <w:t>Rikers</w:t>
      </w:r>
      <w:r w:rsidRPr="006713BF">
        <w:rPr>
          <w:lang w:val="en"/>
        </w:rPr>
        <w:t xml:space="preserve"> Island</w:t>
      </w:r>
      <w:r w:rsidR="00A96DF3" w:rsidRPr="006713BF">
        <w:rPr>
          <w:lang w:val="en"/>
        </w:rPr>
        <w:t xml:space="preserve"> in recent years</w:t>
      </w:r>
      <w:r w:rsidR="00D1105B" w:rsidRPr="006713BF">
        <w:rPr>
          <w:lang w:val="en"/>
        </w:rPr>
        <w:t>.</w:t>
      </w:r>
      <w:r w:rsidR="00D1105B" w:rsidRPr="00E15714">
        <w:rPr>
          <w:rStyle w:val="FootnoteReference"/>
          <w:lang w:val="en"/>
        </w:rPr>
        <w:footnoteReference w:id="32"/>
      </w:r>
    </w:p>
    <w:p w14:paraId="4AAD985B" w14:textId="0A4EA294" w:rsidR="00A96DF3" w:rsidRPr="006713BF" w:rsidRDefault="00D36B49" w:rsidP="00A96DF3">
      <w:pPr>
        <w:pStyle w:val="ListParagraph"/>
        <w:numPr>
          <w:ilvl w:val="0"/>
          <w:numId w:val="13"/>
        </w:numPr>
        <w:spacing w:line="480" w:lineRule="auto"/>
        <w:jc w:val="both"/>
        <w:rPr>
          <w:rFonts w:ascii="Times New Roman" w:hAnsi="Times New Roman" w:cs="Times New Roman"/>
          <w:lang w:val="en"/>
        </w:rPr>
      </w:pPr>
      <w:r w:rsidRPr="006713BF">
        <w:rPr>
          <w:rFonts w:ascii="Times New Roman" w:hAnsi="Times New Roman" w:cs="Times New Roman"/>
          <w:b/>
          <w:bCs/>
          <w:lang w:val="en"/>
        </w:rPr>
        <w:t xml:space="preserve">The TGNCNBI </w:t>
      </w:r>
      <w:r w:rsidR="005C5164" w:rsidRPr="006713BF">
        <w:rPr>
          <w:rFonts w:ascii="Times New Roman" w:hAnsi="Times New Roman" w:cs="Times New Roman"/>
          <w:b/>
          <w:bCs/>
          <w:lang w:val="en"/>
        </w:rPr>
        <w:t>Task Force</w:t>
      </w:r>
      <w:r w:rsidRPr="006713BF">
        <w:rPr>
          <w:rFonts w:ascii="Times New Roman" w:hAnsi="Times New Roman" w:cs="Times New Roman"/>
          <w:b/>
          <w:bCs/>
          <w:lang w:val="en"/>
        </w:rPr>
        <w:t xml:space="preserve"> Report</w:t>
      </w:r>
    </w:p>
    <w:p w14:paraId="1E9E7776" w14:textId="4F7D28E9" w:rsidR="004B2A19" w:rsidRPr="006713BF" w:rsidRDefault="002D3F4C" w:rsidP="004B2A19">
      <w:pPr>
        <w:spacing w:line="480" w:lineRule="auto"/>
        <w:ind w:firstLine="720"/>
        <w:jc w:val="both"/>
      </w:pPr>
      <w:r w:rsidRPr="006713BF">
        <w:t>In response to the death of</w:t>
      </w:r>
      <w:r w:rsidR="006840A6" w:rsidRPr="006713BF">
        <w:t xml:space="preserve"> Ms. Polanco, the City Council passed Local Law 145 of 2019, requiring </w:t>
      </w:r>
      <w:r w:rsidR="00D36B49" w:rsidRPr="006713BF">
        <w:t xml:space="preserve">the </w:t>
      </w:r>
      <w:r w:rsidR="00841ADF" w:rsidRPr="006713BF">
        <w:t>Board of Correction (BOC), the i</w:t>
      </w:r>
      <w:r w:rsidR="00841ADF" w:rsidRPr="000E4CAF">
        <w:t xml:space="preserve">ndependent oversight agency for the </w:t>
      </w:r>
      <w:r w:rsidR="00A96DF3" w:rsidRPr="006713BF">
        <w:t>NYC</w:t>
      </w:r>
      <w:r w:rsidR="00841ADF" w:rsidRPr="006713BF">
        <w:t xml:space="preserve"> jail system,</w:t>
      </w:r>
      <w:r w:rsidR="00D36B49" w:rsidRPr="006713BF">
        <w:t xml:space="preserve"> </w:t>
      </w:r>
      <w:r w:rsidR="006840A6" w:rsidRPr="006713BF">
        <w:t>to convene</w:t>
      </w:r>
      <w:r w:rsidR="00D36B49" w:rsidRPr="006713BF">
        <w:t xml:space="preserve"> a </w:t>
      </w:r>
      <w:r w:rsidR="007A3DD9" w:rsidRPr="006713BF">
        <w:t xml:space="preserve">TGNCNBI </w:t>
      </w:r>
      <w:r w:rsidR="005C5164" w:rsidRPr="006713BF">
        <w:t>Task Forc</w:t>
      </w:r>
      <w:r w:rsidR="005C5164" w:rsidRPr="006756B4">
        <w:t>e</w:t>
      </w:r>
      <w:r w:rsidR="006840A6" w:rsidRPr="006713BF">
        <w:t xml:space="preserve"> </w:t>
      </w:r>
      <w:r w:rsidR="00A96DF3" w:rsidRPr="006713BF">
        <w:t xml:space="preserve">comprised of government and community representatives </w:t>
      </w:r>
      <w:r w:rsidR="00D36B49" w:rsidRPr="006713BF">
        <w:t xml:space="preserve">to </w:t>
      </w:r>
      <w:r w:rsidR="00A96DF3" w:rsidRPr="006713BF">
        <w:t>provide recommendations related to</w:t>
      </w:r>
      <w:r w:rsidR="00D36B49" w:rsidRPr="006713BF">
        <w:t xml:space="preserve"> the treatment of </w:t>
      </w:r>
      <w:r w:rsidR="009A2A0A" w:rsidRPr="006713BF">
        <w:t>TGNCNBI</w:t>
      </w:r>
      <w:r w:rsidR="00D36B49" w:rsidRPr="006713BF">
        <w:t xml:space="preserve"> individuals in </w:t>
      </w:r>
      <w:r w:rsidR="001717F7" w:rsidRPr="006713BF">
        <w:t>DOC</w:t>
      </w:r>
      <w:r w:rsidR="006840A6" w:rsidRPr="006713BF">
        <w:t xml:space="preserve"> custody</w:t>
      </w:r>
      <w:r w:rsidR="00A96DF3" w:rsidRPr="006713BF">
        <w:t>.</w:t>
      </w:r>
      <w:r w:rsidR="00977F9B" w:rsidRPr="00E15714">
        <w:rPr>
          <w:rStyle w:val="FootnoteReference"/>
        </w:rPr>
        <w:footnoteReference w:id="33"/>
      </w:r>
      <w:r w:rsidR="00564DF1" w:rsidRPr="00E15714">
        <w:t xml:space="preserve"> Following a</w:t>
      </w:r>
      <w:r w:rsidR="00841ADF" w:rsidRPr="00E15714">
        <w:t xml:space="preserve"> series of CO</w:t>
      </w:r>
      <w:r w:rsidR="00564DF1" w:rsidRPr="00E15714">
        <w:t>VID-related</w:t>
      </w:r>
      <w:r w:rsidR="00841ADF" w:rsidRPr="00891778">
        <w:t xml:space="preserve"> delay</w:t>
      </w:r>
      <w:r w:rsidR="009A2A0A" w:rsidRPr="006756B4">
        <w:t>s</w:t>
      </w:r>
      <w:r w:rsidR="00841ADF" w:rsidRPr="006756B4">
        <w:t>,</w:t>
      </w:r>
      <w:r w:rsidR="00564DF1" w:rsidRPr="00E15714">
        <w:rPr>
          <w:rStyle w:val="FootnoteReference"/>
        </w:rPr>
        <w:footnoteReference w:id="34"/>
      </w:r>
      <w:r w:rsidR="00841ADF" w:rsidRPr="00E15714">
        <w:t xml:space="preserve"> the </w:t>
      </w:r>
      <w:r w:rsidR="005C5164" w:rsidRPr="00E15714">
        <w:t xml:space="preserve">Task Force's </w:t>
      </w:r>
      <w:r w:rsidR="00D36B49" w:rsidRPr="00E15714">
        <w:t>first report</w:t>
      </w:r>
      <w:r w:rsidR="00C96ED1" w:rsidRPr="00891778">
        <w:t xml:space="preserve"> </w:t>
      </w:r>
      <w:r w:rsidR="009A2A0A" w:rsidRPr="006756B4">
        <w:t xml:space="preserve">was released </w:t>
      </w:r>
      <w:r w:rsidR="00D36B49" w:rsidRPr="006756B4">
        <w:t>on August 15, 2022.</w:t>
      </w:r>
      <w:r w:rsidR="00564DF1" w:rsidRPr="006756B4">
        <w:rPr>
          <w:rStyle w:val="FootnoteReference"/>
        </w:rPr>
        <w:t xml:space="preserve"> </w:t>
      </w:r>
      <w:r w:rsidR="00564DF1" w:rsidRPr="00E15714">
        <w:rPr>
          <w:rStyle w:val="FootnoteReference"/>
        </w:rPr>
        <w:footnoteReference w:id="35"/>
      </w:r>
      <w:r w:rsidR="009A2A0A" w:rsidRPr="00E15714">
        <w:t xml:space="preserve"> </w:t>
      </w:r>
      <w:r w:rsidR="006840A6" w:rsidRPr="00E15714">
        <w:t xml:space="preserve">In its 146-page report, the </w:t>
      </w:r>
      <w:r w:rsidR="005C5164" w:rsidRPr="00E15714">
        <w:t>Task Force</w:t>
      </w:r>
      <w:r w:rsidR="006840A6" w:rsidRPr="00891778">
        <w:t xml:space="preserve"> outlines </w:t>
      </w:r>
      <w:r w:rsidR="00837C55">
        <w:t xml:space="preserve">alleged </w:t>
      </w:r>
      <w:r w:rsidR="006840A6" w:rsidRPr="00891778">
        <w:t>failures by NYC jails to adequately care for TGNCNBI</w:t>
      </w:r>
      <w:r w:rsidR="006840A6" w:rsidRPr="006756B4">
        <w:t xml:space="preserve"> individuals</w:t>
      </w:r>
      <w:r w:rsidR="004B2A19" w:rsidRPr="006756B4">
        <w:t>,</w:t>
      </w:r>
      <w:r w:rsidR="006840A6" w:rsidRPr="00E15714">
        <w:rPr>
          <w:rStyle w:val="FootnoteReference"/>
        </w:rPr>
        <w:footnoteReference w:id="36"/>
      </w:r>
      <w:r w:rsidR="004B2A19" w:rsidRPr="00E15714">
        <w:t xml:space="preserve"> tackling the issue with a review of five major areas: (1) Intake and New Admissions; (2) Housing; (3) Mental Health and Wellness; (4) Re-Entry; and (5) Staffing and Accountability.</w:t>
      </w:r>
      <w:r w:rsidR="0052577B" w:rsidRPr="00E15714">
        <w:rPr>
          <w:rStyle w:val="FootnoteReference"/>
        </w:rPr>
        <w:footnoteReference w:id="37"/>
      </w:r>
      <w:r w:rsidR="005C5164" w:rsidRPr="00E15714">
        <w:t xml:space="preserve"> The r</w:t>
      </w:r>
      <w:r w:rsidR="004B2A19" w:rsidRPr="00E15714">
        <w:t>eport is structured to first provide a summary of overarching issues</w:t>
      </w:r>
      <w:r w:rsidR="0052577B" w:rsidRPr="00891778">
        <w:t>,</w:t>
      </w:r>
      <w:r w:rsidR="004B2A19" w:rsidRPr="006756B4">
        <w:t xml:space="preserve"> with </w:t>
      </w:r>
      <w:r w:rsidR="0052577B" w:rsidRPr="000E4CAF">
        <w:t xml:space="preserve">the </w:t>
      </w:r>
      <w:r w:rsidR="004B2A19" w:rsidRPr="006713BF">
        <w:t xml:space="preserve">major recommendations for each area, followed by detailed chapters </w:t>
      </w:r>
      <w:r w:rsidR="0052577B" w:rsidRPr="006713BF">
        <w:t>with additional resear</w:t>
      </w:r>
      <w:r w:rsidR="005C5164" w:rsidRPr="006713BF">
        <w:t>ch, data and stories to illustrate the</w:t>
      </w:r>
      <w:r w:rsidR="004B2A19" w:rsidRPr="006713BF">
        <w:t xml:space="preserve"> experiences of individuals in custody</w:t>
      </w:r>
      <w:r w:rsidR="005C5164" w:rsidRPr="006713BF">
        <w:t xml:space="preserve"> and </w:t>
      </w:r>
      <w:r w:rsidR="004B2A19" w:rsidRPr="006713BF">
        <w:t xml:space="preserve">support the need for </w:t>
      </w:r>
      <w:r w:rsidR="0052577B" w:rsidRPr="006713BF">
        <w:t xml:space="preserve">the </w:t>
      </w:r>
      <w:r w:rsidR="005C5164" w:rsidRPr="006713BF">
        <w:t>Task Force’</w:t>
      </w:r>
      <w:r w:rsidR="0052577B" w:rsidRPr="006713BF">
        <w:t>s recommended</w:t>
      </w:r>
      <w:r w:rsidR="004B2A19" w:rsidRPr="006713BF">
        <w:t xml:space="preserve"> changes.</w:t>
      </w:r>
      <w:r w:rsidR="0002378F" w:rsidRPr="00E15714">
        <w:rPr>
          <w:rStyle w:val="FootnoteReference"/>
        </w:rPr>
        <w:footnoteReference w:id="38"/>
      </w:r>
      <w:r w:rsidR="00A51448" w:rsidRPr="00E15714">
        <w:t xml:space="preserve"> </w:t>
      </w:r>
      <w:r w:rsidR="0044607F">
        <w:t>The f</w:t>
      </w:r>
      <w:r w:rsidR="00837C55">
        <w:t>o</w:t>
      </w:r>
      <w:r w:rsidR="00A51448" w:rsidRPr="00E15714">
        <w:t xml:space="preserve">llowing is a </w:t>
      </w:r>
      <w:r w:rsidR="00837C55">
        <w:t>brief</w:t>
      </w:r>
      <w:r w:rsidR="00A51448" w:rsidRPr="00E15714">
        <w:t xml:space="preserve"> summary of the </w:t>
      </w:r>
      <w:r w:rsidR="005C5164" w:rsidRPr="00E15714">
        <w:t>"</w:t>
      </w:r>
      <w:r w:rsidR="00A51448" w:rsidRPr="00E15714">
        <w:t>key takeaways</w:t>
      </w:r>
      <w:r w:rsidR="005C5164" w:rsidRPr="00891778">
        <w:t>"</w:t>
      </w:r>
      <w:r w:rsidR="00A51448" w:rsidRPr="006756B4">
        <w:t xml:space="preserve"> identified by the </w:t>
      </w:r>
      <w:r w:rsidR="005C5164" w:rsidRPr="006713BF">
        <w:t>Task Force</w:t>
      </w:r>
      <w:r w:rsidR="00A51448" w:rsidRPr="006713BF">
        <w:t>, for each of the five issue areas:</w:t>
      </w:r>
    </w:p>
    <w:p w14:paraId="472C661D" w14:textId="14DBE9B3" w:rsidR="002039E1" w:rsidRPr="00E15714" w:rsidRDefault="002039E1" w:rsidP="002039E1">
      <w:pPr>
        <w:spacing w:line="480" w:lineRule="auto"/>
        <w:jc w:val="both"/>
        <w:rPr>
          <w:b/>
          <w:bCs/>
        </w:rPr>
      </w:pPr>
      <w:r w:rsidRPr="00E15714">
        <w:rPr>
          <w:b/>
          <w:bCs/>
          <w:u w:val="single"/>
        </w:rPr>
        <w:t xml:space="preserve">Key </w:t>
      </w:r>
      <w:r w:rsidR="005C5164" w:rsidRPr="00E15714">
        <w:rPr>
          <w:b/>
          <w:bCs/>
          <w:u w:val="single"/>
        </w:rPr>
        <w:t>Task Force</w:t>
      </w:r>
      <w:r w:rsidR="00A924F4" w:rsidRPr="00E15714">
        <w:rPr>
          <w:b/>
          <w:bCs/>
          <w:u w:val="single"/>
        </w:rPr>
        <w:t xml:space="preserve"> </w:t>
      </w:r>
      <w:r w:rsidRPr="00891778">
        <w:rPr>
          <w:b/>
          <w:bCs/>
          <w:u w:val="single"/>
        </w:rPr>
        <w:t xml:space="preserve">Takeaways </w:t>
      </w:r>
      <w:r w:rsidR="00A51448" w:rsidRPr="006756B4">
        <w:rPr>
          <w:b/>
          <w:bCs/>
          <w:u w:val="single"/>
        </w:rPr>
        <w:t>Re</w:t>
      </w:r>
      <w:r w:rsidR="00A51448" w:rsidRPr="000E4CAF">
        <w:rPr>
          <w:b/>
          <w:bCs/>
          <w:u w:val="single"/>
        </w:rPr>
        <w:t xml:space="preserve">lated to </w:t>
      </w:r>
      <w:r w:rsidR="0002378F" w:rsidRPr="000E4CAF">
        <w:rPr>
          <w:b/>
          <w:bCs/>
          <w:u w:val="single"/>
        </w:rPr>
        <w:t>Intake and New Admissions</w:t>
      </w:r>
      <w:r w:rsidR="0002378F" w:rsidRPr="00E15714">
        <w:rPr>
          <w:rStyle w:val="FootnoteReference"/>
        </w:rPr>
        <w:footnoteReference w:id="39"/>
      </w:r>
      <w:r w:rsidR="0002378F" w:rsidRPr="00E15714">
        <w:t xml:space="preserve"> </w:t>
      </w:r>
    </w:p>
    <w:p w14:paraId="6AB803ED" w14:textId="7DDF29A3" w:rsidR="002039E1" w:rsidRPr="006713BF" w:rsidRDefault="0002378F" w:rsidP="002039E1">
      <w:pPr>
        <w:pStyle w:val="ListParagraph"/>
        <w:numPr>
          <w:ilvl w:val="0"/>
          <w:numId w:val="29"/>
        </w:numPr>
        <w:spacing w:line="480" w:lineRule="auto"/>
        <w:jc w:val="both"/>
        <w:rPr>
          <w:rFonts w:ascii="Times New Roman" w:hAnsi="Times New Roman" w:cs="Times New Roman"/>
        </w:rPr>
      </w:pPr>
      <w:r w:rsidRPr="00E15714">
        <w:rPr>
          <w:rFonts w:ascii="Times New Roman" w:hAnsi="Times New Roman" w:cs="Times New Roman"/>
        </w:rPr>
        <w:t xml:space="preserve">There must be multiple opportunities and methods for TGNCNBI </w:t>
      </w:r>
      <w:r w:rsidR="006713BF" w:rsidRPr="00CA56E4">
        <w:rPr>
          <w:rFonts w:ascii="Times New Roman" w:hAnsi="Times New Roman" w:cs="Times New Roman"/>
        </w:rPr>
        <w:t xml:space="preserve">individuals </w:t>
      </w:r>
      <w:r w:rsidRPr="006713BF">
        <w:rPr>
          <w:rFonts w:ascii="Times New Roman" w:hAnsi="Times New Roman" w:cs="Times New Roman"/>
        </w:rPr>
        <w:t>in custody to safely disclose their chosen name and gender identity.</w:t>
      </w:r>
      <w:r w:rsidR="00E87BDF" w:rsidRPr="00E15714">
        <w:rPr>
          <w:rStyle w:val="FootnoteReference"/>
          <w:rFonts w:ascii="Times New Roman" w:hAnsi="Times New Roman" w:cs="Times New Roman"/>
        </w:rPr>
        <w:footnoteReference w:id="40"/>
      </w:r>
      <w:r w:rsidRPr="00E15714">
        <w:rPr>
          <w:rFonts w:ascii="Times New Roman" w:hAnsi="Times New Roman" w:cs="Times New Roman"/>
        </w:rPr>
        <w:t xml:space="preserve"> </w:t>
      </w:r>
    </w:p>
    <w:p w14:paraId="25D30D1A" w14:textId="2085C262" w:rsidR="002039E1" w:rsidRPr="00E15714" w:rsidRDefault="0002378F" w:rsidP="002039E1">
      <w:pPr>
        <w:pStyle w:val="ListParagraph"/>
        <w:numPr>
          <w:ilvl w:val="0"/>
          <w:numId w:val="29"/>
        </w:numPr>
        <w:spacing w:line="480" w:lineRule="auto"/>
        <w:jc w:val="both"/>
        <w:rPr>
          <w:rFonts w:ascii="Times New Roman" w:hAnsi="Times New Roman" w:cs="Times New Roman"/>
        </w:rPr>
      </w:pPr>
      <w:r w:rsidRPr="00E15714">
        <w:rPr>
          <w:rFonts w:ascii="Times New Roman" w:hAnsi="Times New Roman" w:cs="Times New Roman"/>
        </w:rPr>
        <w:t xml:space="preserve">Revision of forms and documentation by the police, courts, CHS and DOC </w:t>
      </w:r>
      <w:r w:rsidR="0044607F">
        <w:rPr>
          <w:rFonts w:ascii="Times New Roman" w:hAnsi="Times New Roman" w:cs="Times New Roman"/>
        </w:rPr>
        <w:t xml:space="preserve">to </w:t>
      </w:r>
      <w:r w:rsidRPr="00891778">
        <w:rPr>
          <w:rFonts w:ascii="Times New Roman" w:hAnsi="Times New Roman" w:cs="Times New Roman"/>
        </w:rPr>
        <w:t xml:space="preserve">acknowledge and respect all gender identities is a crucial first step to reducing gender-based </w:t>
      </w:r>
      <w:r w:rsidRPr="006756B4">
        <w:rPr>
          <w:rFonts w:ascii="Times New Roman" w:hAnsi="Times New Roman" w:cs="Times New Roman"/>
        </w:rPr>
        <w:t>violence in the jail system.</w:t>
      </w:r>
      <w:r w:rsidR="00E87BDF" w:rsidRPr="00E15714">
        <w:rPr>
          <w:rStyle w:val="FootnoteReference"/>
          <w:rFonts w:ascii="Times New Roman" w:hAnsi="Times New Roman" w:cs="Times New Roman"/>
        </w:rPr>
        <w:footnoteReference w:id="41"/>
      </w:r>
      <w:r w:rsidRPr="00E15714">
        <w:rPr>
          <w:rFonts w:ascii="Times New Roman" w:hAnsi="Times New Roman" w:cs="Times New Roman"/>
        </w:rPr>
        <w:t xml:space="preserve"> </w:t>
      </w:r>
    </w:p>
    <w:p w14:paraId="0AA6F883" w14:textId="467EE0D3" w:rsidR="004B2A19" w:rsidRPr="006713BF" w:rsidRDefault="0002378F" w:rsidP="002039E1">
      <w:pPr>
        <w:pStyle w:val="ListParagraph"/>
        <w:numPr>
          <w:ilvl w:val="0"/>
          <w:numId w:val="29"/>
        </w:numPr>
        <w:spacing w:line="480" w:lineRule="auto"/>
        <w:jc w:val="both"/>
        <w:rPr>
          <w:rFonts w:ascii="Times New Roman" w:hAnsi="Times New Roman" w:cs="Times New Roman"/>
        </w:rPr>
      </w:pPr>
      <w:r w:rsidRPr="006713BF">
        <w:rPr>
          <w:rFonts w:ascii="Times New Roman" w:hAnsi="Times New Roman" w:cs="Times New Roman"/>
        </w:rPr>
        <w:t>Data on sexual orientation and gender identity must be inclusive to give an accurate picture of arrest, prosecution and incarceration experiences.</w:t>
      </w:r>
      <w:r w:rsidR="00E87BDF" w:rsidRPr="00E15714">
        <w:rPr>
          <w:rStyle w:val="FootnoteReference"/>
          <w:rFonts w:ascii="Times New Roman" w:hAnsi="Times New Roman" w:cs="Times New Roman"/>
        </w:rPr>
        <w:footnoteReference w:id="42"/>
      </w:r>
    </w:p>
    <w:p w14:paraId="1F120829" w14:textId="0DA05072" w:rsidR="002039E1" w:rsidRPr="006713BF" w:rsidRDefault="00A924F4" w:rsidP="0002378F">
      <w:pPr>
        <w:spacing w:line="480" w:lineRule="auto"/>
        <w:jc w:val="both"/>
        <w:rPr>
          <w:b/>
          <w:bCs/>
        </w:rPr>
      </w:pPr>
      <w:r w:rsidRPr="00E15714">
        <w:rPr>
          <w:b/>
          <w:bCs/>
          <w:u w:val="single"/>
        </w:rPr>
        <w:t xml:space="preserve">Key </w:t>
      </w:r>
      <w:r w:rsidR="005C5164" w:rsidRPr="00E15714">
        <w:rPr>
          <w:b/>
          <w:bCs/>
          <w:u w:val="single"/>
        </w:rPr>
        <w:t xml:space="preserve">Task </w:t>
      </w:r>
      <w:r w:rsidR="005C5164" w:rsidRPr="006713BF">
        <w:rPr>
          <w:b/>
          <w:bCs/>
          <w:u w:val="single"/>
        </w:rPr>
        <w:t>Force</w:t>
      </w:r>
      <w:r w:rsidRPr="006713BF">
        <w:rPr>
          <w:b/>
          <w:bCs/>
          <w:u w:val="single"/>
        </w:rPr>
        <w:t xml:space="preserve"> Takeaways Related to </w:t>
      </w:r>
      <w:r w:rsidR="002039E1" w:rsidRPr="006713BF">
        <w:rPr>
          <w:b/>
          <w:bCs/>
          <w:u w:val="single"/>
        </w:rPr>
        <w:t>Housing</w:t>
      </w:r>
      <w:r w:rsidR="002039E1" w:rsidRPr="006713BF">
        <w:rPr>
          <w:rStyle w:val="FootnoteReference"/>
        </w:rPr>
        <w:footnoteReference w:id="43"/>
      </w:r>
      <w:r w:rsidR="0002378F" w:rsidRPr="006713BF">
        <w:rPr>
          <w:b/>
          <w:bCs/>
        </w:rPr>
        <w:t xml:space="preserve"> </w:t>
      </w:r>
    </w:p>
    <w:p w14:paraId="5C20579D" w14:textId="754D5051" w:rsidR="002039E1" w:rsidRPr="006713BF" w:rsidRDefault="0002378F" w:rsidP="002039E1">
      <w:pPr>
        <w:pStyle w:val="ListParagraph"/>
        <w:numPr>
          <w:ilvl w:val="0"/>
          <w:numId w:val="30"/>
        </w:numPr>
        <w:spacing w:line="480" w:lineRule="auto"/>
        <w:jc w:val="both"/>
        <w:rPr>
          <w:rFonts w:ascii="Times New Roman" w:hAnsi="Times New Roman" w:cs="Times New Roman"/>
        </w:rPr>
      </w:pPr>
      <w:r w:rsidRPr="006713BF">
        <w:rPr>
          <w:rFonts w:ascii="Times New Roman" w:hAnsi="Times New Roman" w:cs="Times New Roman"/>
        </w:rPr>
        <w:t>Every TGNCNBI person should be housed in a facility and in a housing area consistent with their gender unless the individual believes they would be safer elsewhere.</w:t>
      </w:r>
      <w:r w:rsidR="00E87BDF" w:rsidRPr="006713BF">
        <w:rPr>
          <w:rStyle w:val="FootnoteReference"/>
          <w:rFonts w:ascii="Times New Roman" w:hAnsi="Times New Roman" w:cs="Times New Roman"/>
        </w:rPr>
        <w:footnoteReference w:id="44"/>
      </w:r>
    </w:p>
    <w:p w14:paraId="68861A12" w14:textId="39BBE462" w:rsidR="002039E1" w:rsidRPr="006713BF" w:rsidRDefault="0002378F" w:rsidP="002039E1">
      <w:pPr>
        <w:pStyle w:val="ListParagraph"/>
        <w:numPr>
          <w:ilvl w:val="0"/>
          <w:numId w:val="30"/>
        </w:numPr>
        <w:spacing w:line="480" w:lineRule="auto"/>
        <w:jc w:val="both"/>
        <w:rPr>
          <w:rFonts w:ascii="Times New Roman" w:hAnsi="Times New Roman" w:cs="Times New Roman"/>
        </w:rPr>
      </w:pPr>
      <w:r w:rsidRPr="006713BF">
        <w:rPr>
          <w:rFonts w:ascii="Times New Roman" w:hAnsi="Times New Roman" w:cs="Times New Roman"/>
        </w:rPr>
        <w:t>TGNCNBI individuals in custody should not be housed or disciplined based on additional factors that would not be considered for cisgender people in custody.</w:t>
      </w:r>
      <w:r w:rsidR="00E87BDF" w:rsidRPr="006713BF">
        <w:rPr>
          <w:rStyle w:val="FootnoteReference"/>
          <w:rFonts w:ascii="Times New Roman" w:hAnsi="Times New Roman" w:cs="Times New Roman"/>
        </w:rPr>
        <w:footnoteReference w:id="45"/>
      </w:r>
      <w:r w:rsidRPr="006713BF">
        <w:rPr>
          <w:rFonts w:ascii="Times New Roman" w:hAnsi="Times New Roman" w:cs="Times New Roman"/>
        </w:rPr>
        <w:t xml:space="preserve"> </w:t>
      </w:r>
    </w:p>
    <w:p w14:paraId="594872F1" w14:textId="0578EC64" w:rsidR="002039E1" w:rsidRPr="006713BF" w:rsidRDefault="0002378F" w:rsidP="002039E1">
      <w:pPr>
        <w:pStyle w:val="ListParagraph"/>
        <w:numPr>
          <w:ilvl w:val="0"/>
          <w:numId w:val="30"/>
        </w:numPr>
        <w:spacing w:line="480" w:lineRule="auto"/>
        <w:jc w:val="both"/>
        <w:rPr>
          <w:rFonts w:ascii="Times New Roman" w:hAnsi="Times New Roman" w:cs="Times New Roman"/>
        </w:rPr>
      </w:pPr>
      <w:r w:rsidRPr="006713BF">
        <w:rPr>
          <w:rFonts w:ascii="Times New Roman" w:hAnsi="Times New Roman" w:cs="Times New Roman"/>
        </w:rPr>
        <w:t>TGNCNBI individuals in custody should have access to the same types of housing and program options as cisgender individuals.</w:t>
      </w:r>
      <w:r w:rsidR="00E87BDF" w:rsidRPr="00E15714">
        <w:rPr>
          <w:rStyle w:val="FootnoteReference"/>
          <w:rFonts w:ascii="Times New Roman" w:hAnsi="Times New Roman" w:cs="Times New Roman"/>
        </w:rPr>
        <w:footnoteReference w:id="46"/>
      </w:r>
      <w:r w:rsidRPr="00E15714">
        <w:rPr>
          <w:rFonts w:ascii="Times New Roman" w:hAnsi="Times New Roman" w:cs="Times New Roman"/>
        </w:rPr>
        <w:t xml:space="preserve"> </w:t>
      </w:r>
    </w:p>
    <w:p w14:paraId="0B5D8FDA" w14:textId="0C83D37A" w:rsidR="001F63CF" w:rsidRPr="006713BF" w:rsidRDefault="0002378F" w:rsidP="002039E1">
      <w:pPr>
        <w:pStyle w:val="ListParagraph"/>
        <w:numPr>
          <w:ilvl w:val="0"/>
          <w:numId w:val="30"/>
        </w:numPr>
        <w:spacing w:line="480" w:lineRule="auto"/>
        <w:jc w:val="both"/>
        <w:rPr>
          <w:rFonts w:ascii="Times New Roman" w:hAnsi="Times New Roman" w:cs="Times New Roman"/>
        </w:rPr>
      </w:pPr>
      <w:r w:rsidRPr="00E15714">
        <w:rPr>
          <w:rFonts w:ascii="Times New Roman" w:hAnsi="Times New Roman" w:cs="Times New Roman"/>
        </w:rPr>
        <w:t xml:space="preserve">DOC must honor people's self-identified gender identity and must not rely on discriminatory </w:t>
      </w:r>
      <w:r w:rsidRPr="006713BF">
        <w:rPr>
          <w:rFonts w:ascii="Times New Roman" w:hAnsi="Times New Roman" w:cs="Times New Roman"/>
        </w:rPr>
        <w:t>stereotypes about gender and gender identity when determining appropriate housing placements for people in custody. Concerns about appearance or the reactions of other people in custody to a housing determination must not enter the decision-making process.</w:t>
      </w:r>
      <w:r w:rsidR="00E87BDF" w:rsidRPr="006713BF">
        <w:rPr>
          <w:rStyle w:val="FootnoteReference"/>
          <w:rFonts w:ascii="Times New Roman" w:hAnsi="Times New Roman" w:cs="Times New Roman"/>
        </w:rPr>
        <w:footnoteReference w:id="47"/>
      </w:r>
    </w:p>
    <w:p w14:paraId="53EB4F88" w14:textId="3854941C" w:rsidR="002039E1" w:rsidRPr="006713BF" w:rsidRDefault="0002378F" w:rsidP="002039E1">
      <w:pPr>
        <w:pStyle w:val="ListParagraph"/>
        <w:numPr>
          <w:ilvl w:val="0"/>
          <w:numId w:val="30"/>
        </w:numPr>
        <w:spacing w:line="480" w:lineRule="auto"/>
        <w:jc w:val="both"/>
        <w:rPr>
          <w:rFonts w:ascii="Times New Roman" w:hAnsi="Times New Roman" w:cs="Times New Roman"/>
        </w:rPr>
      </w:pPr>
      <w:r w:rsidRPr="006713BF">
        <w:rPr>
          <w:rFonts w:ascii="Times New Roman" w:hAnsi="Times New Roman" w:cs="Times New Roman"/>
        </w:rPr>
        <w:t xml:space="preserve">Policies and directives regarding housing by gender identity, including in the </w:t>
      </w:r>
      <w:r w:rsidR="006713BF">
        <w:rPr>
          <w:rFonts w:ascii="Times New Roman" w:hAnsi="Times New Roman" w:cs="Times New Roman"/>
        </w:rPr>
        <w:t>SCU,</w:t>
      </w:r>
      <w:r w:rsidRPr="006713BF">
        <w:rPr>
          <w:rFonts w:ascii="Times New Roman" w:hAnsi="Times New Roman" w:cs="Times New Roman"/>
        </w:rPr>
        <w:t xml:space="preserve"> as well as how TGNCNBI </w:t>
      </w:r>
      <w:r w:rsidR="006713BF" w:rsidRPr="006A15F7">
        <w:rPr>
          <w:rFonts w:ascii="Times New Roman" w:hAnsi="Times New Roman" w:cs="Times New Roman"/>
        </w:rPr>
        <w:t xml:space="preserve">individuals </w:t>
      </w:r>
      <w:r w:rsidRPr="006713BF">
        <w:rPr>
          <w:rFonts w:ascii="Times New Roman" w:hAnsi="Times New Roman" w:cs="Times New Roman"/>
        </w:rPr>
        <w:t>can request</w:t>
      </w:r>
      <w:r w:rsidR="00E87BDF" w:rsidRPr="006713BF">
        <w:rPr>
          <w:rFonts w:ascii="Times New Roman" w:hAnsi="Times New Roman" w:cs="Times New Roman"/>
        </w:rPr>
        <w:t>,</w:t>
      </w:r>
      <w:r w:rsidRPr="006713BF">
        <w:rPr>
          <w:rFonts w:ascii="Times New Roman" w:hAnsi="Times New Roman" w:cs="Times New Roman"/>
        </w:rPr>
        <w:t xml:space="preserve"> and appeal such decisions, need to be made fully available to people in custody, their attorneys, their advocates and the public.</w:t>
      </w:r>
      <w:r w:rsidR="00E87BDF" w:rsidRPr="006713BF">
        <w:rPr>
          <w:rStyle w:val="FootnoteReference"/>
          <w:rFonts w:ascii="Times New Roman" w:hAnsi="Times New Roman" w:cs="Times New Roman"/>
        </w:rPr>
        <w:footnoteReference w:id="48"/>
      </w:r>
      <w:r w:rsidRPr="006713BF">
        <w:rPr>
          <w:rFonts w:ascii="Times New Roman" w:hAnsi="Times New Roman" w:cs="Times New Roman"/>
        </w:rPr>
        <w:t xml:space="preserve"> </w:t>
      </w:r>
    </w:p>
    <w:p w14:paraId="102D7419" w14:textId="1FC2D722" w:rsidR="0002378F" w:rsidRPr="006713BF" w:rsidRDefault="0002378F" w:rsidP="002039E1">
      <w:pPr>
        <w:pStyle w:val="ListParagraph"/>
        <w:numPr>
          <w:ilvl w:val="0"/>
          <w:numId w:val="30"/>
        </w:numPr>
        <w:spacing w:line="480" w:lineRule="auto"/>
        <w:jc w:val="both"/>
        <w:rPr>
          <w:rFonts w:ascii="Times New Roman" w:hAnsi="Times New Roman" w:cs="Times New Roman"/>
        </w:rPr>
      </w:pPr>
      <w:r w:rsidRPr="006713BF">
        <w:rPr>
          <w:rFonts w:ascii="Times New Roman" w:hAnsi="Times New Roman" w:cs="Times New Roman"/>
        </w:rPr>
        <w:t xml:space="preserve">Removal to non-gender-aligned housing should not be treated as a potential consequence for disciplinary actions, and no TGNCNBI person should be forced to sign any forms agreeing </w:t>
      </w:r>
      <w:r w:rsidR="00537E0E">
        <w:rPr>
          <w:rFonts w:ascii="Times New Roman" w:hAnsi="Times New Roman" w:cs="Times New Roman"/>
        </w:rPr>
        <w:t>to</w:t>
      </w:r>
      <w:r w:rsidRPr="006713BF">
        <w:rPr>
          <w:rFonts w:ascii="Times New Roman" w:hAnsi="Times New Roman" w:cs="Times New Roman"/>
        </w:rPr>
        <w:t xml:space="preserve"> potential removal in order to be housed according to gender.</w:t>
      </w:r>
      <w:r w:rsidR="00E87BDF" w:rsidRPr="006713BF">
        <w:rPr>
          <w:rStyle w:val="FootnoteReference"/>
          <w:rFonts w:ascii="Times New Roman" w:hAnsi="Times New Roman" w:cs="Times New Roman"/>
        </w:rPr>
        <w:footnoteReference w:id="49"/>
      </w:r>
    </w:p>
    <w:p w14:paraId="1EFA47B4" w14:textId="63A9B0D5" w:rsidR="002039E1" w:rsidRPr="006713BF" w:rsidRDefault="002039E1" w:rsidP="002039E1">
      <w:pPr>
        <w:spacing w:line="480" w:lineRule="auto"/>
        <w:jc w:val="both"/>
      </w:pPr>
      <w:r w:rsidRPr="00E15714">
        <w:rPr>
          <w:b/>
          <w:bCs/>
          <w:u w:val="single"/>
        </w:rPr>
        <w:t>Key</w:t>
      </w:r>
      <w:r w:rsidR="00A924F4" w:rsidRPr="00E15714">
        <w:rPr>
          <w:b/>
          <w:bCs/>
          <w:u w:val="single"/>
        </w:rPr>
        <w:t xml:space="preserve"> </w:t>
      </w:r>
      <w:r w:rsidR="005C5164" w:rsidRPr="00891778">
        <w:rPr>
          <w:b/>
          <w:bCs/>
          <w:u w:val="single"/>
        </w:rPr>
        <w:t>Task Force</w:t>
      </w:r>
      <w:r w:rsidRPr="000E4CAF">
        <w:rPr>
          <w:b/>
          <w:bCs/>
          <w:u w:val="single"/>
        </w:rPr>
        <w:t xml:space="preserve"> Takeaways Related to </w:t>
      </w:r>
      <w:r w:rsidR="0002378F" w:rsidRPr="000E4CAF">
        <w:rPr>
          <w:b/>
          <w:bCs/>
          <w:u w:val="single"/>
        </w:rPr>
        <w:t>Mental Health and Wellness</w:t>
      </w:r>
      <w:r w:rsidR="0002378F" w:rsidRPr="00E15714">
        <w:rPr>
          <w:rStyle w:val="FootnoteReference"/>
        </w:rPr>
        <w:footnoteReference w:id="50"/>
      </w:r>
      <w:r w:rsidR="0002378F" w:rsidRPr="00E15714">
        <w:t xml:space="preserve"> </w:t>
      </w:r>
    </w:p>
    <w:p w14:paraId="1A0FF978" w14:textId="10C3E87B" w:rsidR="00A924F4" w:rsidRPr="006713BF" w:rsidRDefault="0002378F" w:rsidP="002039E1">
      <w:pPr>
        <w:pStyle w:val="ListParagraph"/>
        <w:numPr>
          <w:ilvl w:val="0"/>
          <w:numId w:val="31"/>
        </w:numPr>
        <w:spacing w:line="480" w:lineRule="auto"/>
        <w:jc w:val="both"/>
        <w:rPr>
          <w:rFonts w:ascii="Times New Roman" w:hAnsi="Times New Roman" w:cs="Times New Roman"/>
        </w:rPr>
      </w:pPr>
      <w:r w:rsidRPr="00E15714">
        <w:rPr>
          <w:rFonts w:ascii="Times New Roman" w:hAnsi="Times New Roman" w:cs="Times New Roman"/>
        </w:rPr>
        <w:t xml:space="preserve">Communication among </w:t>
      </w:r>
      <w:r w:rsidR="006713BF">
        <w:rPr>
          <w:rFonts w:ascii="Times New Roman" w:hAnsi="Times New Roman" w:cs="Times New Roman"/>
        </w:rPr>
        <w:t>CHS</w:t>
      </w:r>
      <w:r w:rsidRPr="006713BF">
        <w:rPr>
          <w:rFonts w:ascii="Times New Roman" w:hAnsi="Times New Roman" w:cs="Times New Roman"/>
        </w:rPr>
        <w:t xml:space="preserve">, DOC and </w:t>
      </w:r>
      <w:r w:rsidR="006713BF" w:rsidRPr="006A15F7">
        <w:rPr>
          <w:rFonts w:ascii="Times New Roman" w:hAnsi="Times New Roman" w:cs="Times New Roman"/>
        </w:rPr>
        <w:t xml:space="preserve">individuals </w:t>
      </w:r>
      <w:r w:rsidRPr="006713BF">
        <w:rPr>
          <w:rFonts w:ascii="Times New Roman" w:hAnsi="Times New Roman" w:cs="Times New Roman"/>
        </w:rPr>
        <w:t>in custody is paramount to the successful provision of medical and mental health services within the jails; this includes transparency and accessibility of policies and an emphasis on verbal and written information.</w:t>
      </w:r>
      <w:r w:rsidR="00E87BDF" w:rsidRPr="00E15714">
        <w:rPr>
          <w:rStyle w:val="FootnoteReference"/>
          <w:rFonts w:ascii="Times New Roman" w:hAnsi="Times New Roman" w:cs="Times New Roman"/>
        </w:rPr>
        <w:footnoteReference w:id="51"/>
      </w:r>
      <w:r w:rsidRPr="00E15714">
        <w:rPr>
          <w:rFonts w:ascii="Times New Roman" w:hAnsi="Times New Roman" w:cs="Times New Roman"/>
        </w:rPr>
        <w:t xml:space="preserve"> </w:t>
      </w:r>
    </w:p>
    <w:p w14:paraId="4F13DF11" w14:textId="367742F1" w:rsidR="00A924F4" w:rsidRPr="00E15714" w:rsidRDefault="0002378F" w:rsidP="002039E1">
      <w:pPr>
        <w:pStyle w:val="ListParagraph"/>
        <w:numPr>
          <w:ilvl w:val="0"/>
          <w:numId w:val="31"/>
        </w:numPr>
        <w:spacing w:line="480" w:lineRule="auto"/>
        <w:jc w:val="both"/>
        <w:rPr>
          <w:rFonts w:ascii="Times New Roman" w:hAnsi="Times New Roman" w:cs="Times New Roman"/>
        </w:rPr>
      </w:pPr>
      <w:r w:rsidRPr="00E15714">
        <w:rPr>
          <w:rFonts w:ascii="Times New Roman" w:hAnsi="Times New Roman" w:cs="Times New Roman"/>
        </w:rPr>
        <w:t>DOC and CHS training should be updated to most accurately reflect the needs of al</w:t>
      </w:r>
      <w:r w:rsidRPr="006713BF">
        <w:rPr>
          <w:rFonts w:ascii="Times New Roman" w:hAnsi="Times New Roman" w:cs="Times New Roman"/>
        </w:rPr>
        <w:t>l people in custody, with a particular focus on trauma-informed conflict resolution and the unique needs of incarcerated TGNCNBI populations.</w:t>
      </w:r>
      <w:r w:rsidR="00E87BDF" w:rsidRPr="00E15714">
        <w:rPr>
          <w:rStyle w:val="FootnoteReference"/>
          <w:rFonts w:ascii="Times New Roman" w:hAnsi="Times New Roman" w:cs="Times New Roman"/>
        </w:rPr>
        <w:footnoteReference w:id="52"/>
      </w:r>
      <w:r w:rsidRPr="00E15714">
        <w:rPr>
          <w:rFonts w:ascii="Times New Roman" w:hAnsi="Times New Roman" w:cs="Times New Roman"/>
        </w:rPr>
        <w:t xml:space="preserve"> </w:t>
      </w:r>
    </w:p>
    <w:p w14:paraId="2E088CE2" w14:textId="5E2B5E3F" w:rsidR="0002378F" w:rsidRPr="006713BF" w:rsidRDefault="0002378F" w:rsidP="00A924F4">
      <w:pPr>
        <w:pStyle w:val="ListParagraph"/>
        <w:numPr>
          <w:ilvl w:val="0"/>
          <w:numId w:val="31"/>
        </w:numPr>
        <w:spacing w:line="480" w:lineRule="auto"/>
        <w:jc w:val="both"/>
        <w:rPr>
          <w:rFonts w:ascii="Times New Roman" w:hAnsi="Times New Roman" w:cs="Times New Roman"/>
        </w:rPr>
      </w:pPr>
      <w:r w:rsidRPr="006713BF">
        <w:rPr>
          <w:rFonts w:ascii="Times New Roman" w:hAnsi="Times New Roman" w:cs="Times New Roman"/>
        </w:rPr>
        <w:t>DOC and CHS must prioritize the full continuum of care for all TGNCNBI people in custody and release planning should begin at intake. This includes linkages to medical and mental health providers who are explicitly TGNCNBI affirming. No one should leave CHS</w:t>
      </w:r>
      <w:r w:rsidR="005C5164" w:rsidRPr="006713BF">
        <w:rPr>
          <w:rFonts w:ascii="Times New Roman" w:hAnsi="Times New Roman" w:cs="Times New Roman"/>
        </w:rPr>
        <w:t>'</w:t>
      </w:r>
      <w:r w:rsidRPr="006713BF">
        <w:rPr>
          <w:rFonts w:ascii="Times New Roman" w:hAnsi="Times New Roman" w:cs="Times New Roman"/>
        </w:rPr>
        <w:t>s care without clear next steps as to where affirming medical and mental health treatment can continue, should the person be interested in such care.</w:t>
      </w:r>
    </w:p>
    <w:p w14:paraId="5D57CA80" w14:textId="045FDAB5" w:rsidR="002039E1" w:rsidRPr="006713BF" w:rsidRDefault="00A924F4" w:rsidP="002039E1">
      <w:pPr>
        <w:spacing w:line="480" w:lineRule="auto"/>
        <w:jc w:val="both"/>
      </w:pPr>
      <w:r w:rsidRPr="006713BF">
        <w:rPr>
          <w:b/>
          <w:bCs/>
          <w:u w:val="single"/>
        </w:rPr>
        <w:t xml:space="preserve">Key </w:t>
      </w:r>
      <w:r w:rsidR="005C5164" w:rsidRPr="006713BF">
        <w:rPr>
          <w:b/>
          <w:bCs/>
          <w:u w:val="single"/>
        </w:rPr>
        <w:t>Task Force</w:t>
      </w:r>
      <w:r w:rsidRPr="006713BF">
        <w:rPr>
          <w:b/>
          <w:bCs/>
          <w:u w:val="single"/>
        </w:rPr>
        <w:t xml:space="preserve"> Takeaways Related to </w:t>
      </w:r>
      <w:r w:rsidR="0052577B" w:rsidRPr="006713BF">
        <w:rPr>
          <w:b/>
          <w:bCs/>
          <w:u w:val="single"/>
        </w:rPr>
        <w:t>Re-Entry</w:t>
      </w:r>
      <w:r w:rsidR="0052577B" w:rsidRPr="006713BF">
        <w:rPr>
          <w:rStyle w:val="FootnoteReference"/>
        </w:rPr>
        <w:footnoteReference w:id="53"/>
      </w:r>
      <w:r w:rsidR="0052577B" w:rsidRPr="006713BF">
        <w:t xml:space="preserve"> </w:t>
      </w:r>
    </w:p>
    <w:p w14:paraId="3204736D" w14:textId="1C19A4D3" w:rsidR="00A924F4" w:rsidRPr="006713BF" w:rsidRDefault="0052577B" w:rsidP="002039E1">
      <w:pPr>
        <w:pStyle w:val="ListParagraph"/>
        <w:numPr>
          <w:ilvl w:val="0"/>
          <w:numId w:val="32"/>
        </w:numPr>
        <w:spacing w:line="480" w:lineRule="auto"/>
        <w:jc w:val="both"/>
        <w:rPr>
          <w:rFonts w:ascii="Times New Roman" w:hAnsi="Times New Roman" w:cs="Times New Roman"/>
        </w:rPr>
      </w:pPr>
      <w:r w:rsidRPr="006713BF">
        <w:rPr>
          <w:rFonts w:ascii="Times New Roman" w:hAnsi="Times New Roman" w:cs="Times New Roman"/>
        </w:rPr>
        <w:t xml:space="preserve">Information and services concerning re-entry and transfers to </w:t>
      </w:r>
      <w:r w:rsidR="00AC7024">
        <w:rPr>
          <w:rFonts w:ascii="Times New Roman" w:hAnsi="Times New Roman" w:cs="Times New Roman"/>
        </w:rPr>
        <w:t xml:space="preserve">New York State Department of Corrections and Community Supervision </w:t>
      </w:r>
      <w:r w:rsidRPr="006713BF">
        <w:rPr>
          <w:rFonts w:ascii="Times New Roman" w:hAnsi="Times New Roman" w:cs="Times New Roman"/>
        </w:rPr>
        <w:t>should be provided at entry into DOC custody and made available at numerous points throughout the individual in custody</w:t>
      </w:r>
      <w:r w:rsidR="005C5164" w:rsidRPr="006713BF">
        <w:rPr>
          <w:rFonts w:ascii="Times New Roman" w:hAnsi="Times New Roman" w:cs="Times New Roman"/>
        </w:rPr>
        <w:t>'</w:t>
      </w:r>
      <w:r w:rsidRPr="006713BF">
        <w:rPr>
          <w:rFonts w:ascii="Times New Roman" w:hAnsi="Times New Roman" w:cs="Times New Roman"/>
        </w:rPr>
        <w:t>s incarceration.</w:t>
      </w:r>
      <w:r w:rsidR="00E87BDF" w:rsidRPr="006713BF">
        <w:rPr>
          <w:rStyle w:val="FootnoteReference"/>
          <w:rFonts w:ascii="Times New Roman" w:hAnsi="Times New Roman" w:cs="Times New Roman"/>
        </w:rPr>
        <w:footnoteReference w:id="54"/>
      </w:r>
      <w:r w:rsidRPr="006713BF">
        <w:rPr>
          <w:rFonts w:ascii="Times New Roman" w:hAnsi="Times New Roman" w:cs="Times New Roman"/>
        </w:rPr>
        <w:t xml:space="preserve"> </w:t>
      </w:r>
    </w:p>
    <w:p w14:paraId="0ACF249A" w14:textId="6248E5F0" w:rsidR="00A924F4" w:rsidRPr="006713BF" w:rsidRDefault="0052577B" w:rsidP="002039E1">
      <w:pPr>
        <w:pStyle w:val="ListParagraph"/>
        <w:numPr>
          <w:ilvl w:val="0"/>
          <w:numId w:val="32"/>
        </w:numPr>
        <w:spacing w:line="480" w:lineRule="auto"/>
        <w:jc w:val="both"/>
        <w:rPr>
          <w:rFonts w:ascii="Times New Roman" w:hAnsi="Times New Roman" w:cs="Times New Roman"/>
        </w:rPr>
      </w:pPr>
      <w:r w:rsidRPr="00E15714">
        <w:rPr>
          <w:rFonts w:ascii="Times New Roman" w:hAnsi="Times New Roman" w:cs="Times New Roman"/>
        </w:rPr>
        <w:t>DOC</w:t>
      </w:r>
      <w:r w:rsidR="005C5164" w:rsidRPr="00E15714">
        <w:rPr>
          <w:rFonts w:ascii="Times New Roman" w:hAnsi="Times New Roman" w:cs="Times New Roman"/>
        </w:rPr>
        <w:t>'</w:t>
      </w:r>
      <w:r w:rsidRPr="00E15714">
        <w:rPr>
          <w:rFonts w:ascii="Times New Roman" w:hAnsi="Times New Roman" w:cs="Times New Roman"/>
        </w:rPr>
        <w:t>s and CHS</w:t>
      </w:r>
      <w:r w:rsidR="005C5164" w:rsidRPr="00891778">
        <w:rPr>
          <w:rFonts w:ascii="Times New Roman" w:hAnsi="Times New Roman" w:cs="Times New Roman"/>
        </w:rPr>
        <w:t>'</w:t>
      </w:r>
      <w:r w:rsidRPr="000E4CAF">
        <w:rPr>
          <w:rFonts w:ascii="Times New Roman" w:hAnsi="Times New Roman" w:cs="Times New Roman"/>
        </w:rPr>
        <w:t>s re-entry</w:t>
      </w:r>
      <w:r w:rsidRPr="006713BF">
        <w:rPr>
          <w:rFonts w:ascii="Times New Roman" w:hAnsi="Times New Roman" w:cs="Times New Roman"/>
        </w:rPr>
        <w:t xml:space="preserve"> processes and interagency coordination efforts should be codified into clear interagency policies and m</w:t>
      </w:r>
      <w:r w:rsidRPr="00E15714">
        <w:rPr>
          <w:rFonts w:ascii="Times New Roman" w:hAnsi="Times New Roman" w:cs="Times New Roman"/>
        </w:rPr>
        <w:t>ade available and regularly communicated to people in custody.</w:t>
      </w:r>
      <w:r w:rsidR="00E87BDF" w:rsidRPr="00E15714">
        <w:rPr>
          <w:rStyle w:val="FootnoteReference"/>
          <w:rFonts w:ascii="Times New Roman" w:hAnsi="Times New Roman" w:cs="Times New Roman"/>
        </w:rPr>
        <w:footnoteReference w:id="55"/>
      </w:r>
      <w:r w:rsidRPr="00E15714">
        <w:rPr>
          <w:rFonts w:ascii="Times New Roman" w:hAnsi="Times New Roman" w:cs="Times New Roman"/>
        </w:rPr>
        <w:t xml:space="preserve"> </w:t>
      </w:r>
    </w:p>
    <w:p w14:paraId="0D1CCD11" w14:textId="2FA14234" w:rsidR="00A924F4" w:rsidRPr="00E15714" w:rsidRDefault="0052577B" w:rsidP="00A924F4">
      <w:pPr>
        <w:pStyle w:val="ListParagraph"/>
        <w:numPr>
          <w:ilvl w:val="0"/>
          <w:numId w:val="32"/>
        </w:numPr>
        <w:spacing w:line="480" w:lineRule="auto"/>
        <w:jc w:val="both"/>
        <w:rPr>
          <w:rFonts w:ascii="Times New Roman" w:hAnsi="Times New Roman" w:cs="Times New Roman"/>
        </w:rPr>
      </w:pPr>
      <w:r w:rsidRPr="00E15714">
        <w:rPr>
          <w:rFonts w:ascii="Times New Roman" w:hAnsi="Times New Roman" w:cs="Times New Roman"/>
        </w:rPr>
        <w:t xml:space="preserve">DOC and CHS should implement a system of checks, balances and evaluation efforts to establish </w:t>
      </w:r>
      <w:r w:rsidRPr="006713BF">
        <w:rPr>
          <w:rFonts w:ascii="Times New Roman" w:hAnsi="Times New Roman" w:cs="Times New Roman"/>
        </w:rPr>
        <w:t>consistent, effective and efficient utilization of re-entry policies, services and appropriate follow-up.</w:t>
      </w:r>
      <w:r w:rsidR="00E87BDF" w:rsidRPr="00E15714">
        <w:rPr>
          <w:rStyle w:val="FootnoteReference"/>
          <w:rFonts w:ascii="Times New Roman" w:hAnsi="Times New Roman" w:cs="Times New Roman"/>
        </w:rPr>
        <w:footnoteReference w:id="56"/>
      </w:r>
    </w:p>
    <w:p w14:paraId="32D7C92C" w14:textId="27F40BFA" w:rsidR="00A924F4" w:rsidRPr="00E15714" w:rsidRDefault="00A924F4" w:rsidP="00A924F4">
      <w:pPr>
        <w:spacing w:line="480" w:lineRule="auto"/>
        <w:jc w:val="both"/>
      </w:pPr>
      <w:r w:rsidRPr="00E15714">
        <w:rPr>
          <w:b/>
          <w:bCs/>
          <w:u w:val="single"/>
        </w:rPr>
        <w:t xml:space="preserve">Key </w:t>
      </w:r>
      <w:r w:rsidR="005C5164" w:rsidRPr="00E15714">
        <w:rPr>
          <w:b/>
          <w:bCs/>
          <w:u w:val="single"/>
        </w:rPr>
        <w:t>Task Force</w:t>
      </w:r>
      <w:r w:rsidRPr="00891778">
        <w:rPr>
          <w:b/>
          <w:bCs/>
          <w:u w:val="single"/>
        </w:rPr>
        <w:t xml:space="preserve"> Takeaways Rel</w:t>
      </w:r>
      <w:r w:rsidRPr="006713BF">
        <w:rPr>
          <w:b/>
          <w:bCs/>
          <w:u w:val="single"/>
        </w:rPr>
        <w:t>ated to Staffing and Accountability</w:t>
      </w:r>
      <w:r w:rsidRPr="00E15714">
        <w:rPr>
          <w:rStyle w:val="FootnoteReference"/>
        </w:rPr>
        <w:footnoteReference w:id="57"/>
      </w:r>
    </w:p>
    <w:p w14:paraId="2816FDC6" w14:textId="3123D6F4" w:rsidR="00586061" w:rsidRPr="00E15714" w:rsidRDefault="00586061" w:rsidP="00586061">
      <w:pPr>
        <w:pStyle w:val="ListParagraph"/>
        <w:numPr>
          <w:ilvl w:val="0"/>
          <w:numId w:val="33"/>
        </w:numPr>
        <w:spacing w:line="480" w:lineRule="auto"/>
        <w:jc w:val="both"/>
        <w:rPr>
          <w:rFonts w:ascii="Times New Roman" w:hAnsi="Times New Roman" w:cs="Times New Roman"/>
        </w:rPr>
      </w:pPr>
      <w:r w:rsidRPr="006713BF">
        <w:rPr>
          <w:rFonts w:ascii="Times New Roman" w:hAnsi="Times New Roman" w:cs="Times New Roman"/>
        </w:rPr>
        <w:t xml:space="preserve">DOC, BOC, CHS and all affiliated carceral stakeholders must realign their policies and practices to reflect a system of restorative, transformative and </w:t>
      </w:r>
      <w:r w:rsidRPr="00E15714">
        <w:rPr>
          <w:rFonts w:ascii="Times New Roman" w:hAnsi="Times New Roman" w:cs="Times New Roman"/>
        </w:rPr>
        <w:t>rehabilitative justice.</w:t>
      </w:r>
      <w:r w:rsidR="00E87BDF" w:rsidRPr="00E15714">
        <w:rPr>
          <w:rStyle w:val="FootnoteReference"/>
          <w:rFonts w:ascii="Times New Roman" w:hAnsi="Times New Roman" w:cs="Times New Roman"/>
        </w:rPr>
        <w:footnoteReference w:id="58"/>
      </w:r>
    </w:p>
    <w:p w14:paraId="0061074F" w14:textId="062F0584" w:rsidR="00586061" w:rsidRPr="006713BF" w:rsidRDefault="00586061" w:rsidP="00586061">
      <w:pPr>
        <w:pStyle w:val="ListParagraph"/>
        <w:numPr>
          <w:ilvl w:val="0"/>
          <w:numId w:val="33"/>
        </w:numPr>
        <w:spacing w:line="480" w:lineRule="auto"/>
        <w:jc w:val="both"/>
        <w:rPr>
          <w:rFonts w:ascii="Times New Roman" w:hAnsi="Times New Roman" w:cs="Times New Roman"/>
        </w:rPr>
      </w:pPr>
      <w:r w:rsidRPr="006713BF">
        <w:rPr>
          <w:rFonts w:ascii="Times New Roman" w:hAnsi="Times New Roman" w:cs="Times New Roman"/>
        </w:rPr>
        <w:t>Training that promotes culture change for uniform and non-uniform staff must be informed by</w:t>
      </w:r>
      <w:r w:rsidR="00537E0E">
        <w:rPr>
          <w:rFonts w:ascii="Times New Roman" w:hAnsi="Times New Roman" w:cs="Times New Roman"/>
        </w:rPr>
        <w:t>,</w:t>
      </w:r>
      <w:r w:rsidRPr="006713BF">
        <w:rPr>
          <w:rFonts w:ascii="Times New Roman" w:hAnsi="Times New Roman" w:cs="Times New Roman"/>
        </w:rPr>
        <w:t xml:space="preserve"> and developed in collaboration with</w:t>
      </w:r>
      <w:r w:rsidR="00537E0E">
        <w:rPr>
          <w:rFonts w:ascii="Times New Roman" w:hAnsi="Times New Roman" w:cs="Times New Roman"/>
        </w:rPr>
        <w:t>,</w:t>
      </w:r>
      <w:r w:rsidRPr="006713BF">
        <w:rPr>
          <w:rFonts w:ascii="Times New Roman" w:hAnsi="Times New Roman" w:cs="Times New Roman"/>
        </w:rPr>
        <w:t xml:space="preserve"> those with pertinent lived experience, TGNCNBI community-based organizations and/or TGNCNBI community-b</w:t>
      </w:r>
      <w:r w:rsidRPr="00E15714">
        <w:rPr>
          <w:rFonts w:ascii="Times New Roman" w:hAnsi="Times New Roman" w:cs="Times New Roman"/>
        </w:rPr>
        <w:t>ased leaders</w:t>
      </w:r>
      <w:r w:rsidR="00537E0E">
        <w:rPr>
          <w:rFonts w:ascii="Times New Roman" w:hAnsi="Times New Roman" w:cs="Times New Roman"/>
        </w:rPr>
        <w:t>,</w:t>
      </w:r>
      <w:r w:rsidRPr="00E15714">
        <w:rPr>
          <w:rFonts w:ascii="Times New Roman" w:hAnsi="Times New Roman" w:cs="Times New Roman"/>
        </w:rPr>
        <w:t xml:space="preserve"> and consist of regular, effective </w:t>
      </w:r>
      <w:r w:rsidRPr="006713BF">
        <w:rPr>
          <w:rFonts w:ascii="Times New Roman" w:hAnsi="Times New Roman" w:cs="Times New Roman"/>
        </w:rPr>
        <w:t>and analyzable evaluation, data collection and reporting efforts.</w:t>
      </w:r>
      <w:r w:rsidR="00E87BDF" w:rsidRPr="006713BF">
        <w:rPr>
          <w:rStyle w:val="FootnoteReference"/>
          <w:rFonts w:ascii="Times New Roman" w:hAnsi="Times New Roman" w:cs="Times New Roman"/>
        </w:rPr>
        <w:footnoteReference w:id="59"/>
      </w:r>
    </w:p>
    <w:p w14:paraId="7F8765CB" w14:textId="3DB89FD3" w:rsidR="00586061" w:rsidRPr="006713BF" w:rsidRDefault="006713BF" w:rsidP="00CA56E4">
      <w:pPr>
        <w:pStyle w:val="ListParagraph"/>
        <w:numPr>
          <w:ilvl w:val="0"/>
          <w:numId w:val="33"/>
        </w:numPr>
        <w:spacing w:line="480" w:lineRule="auto"/>
        <w:jc w:val="both"/>
      </w:pPr>
      <w:r>
        <w:rPr>
          <w:rFonts w:ascii="Times New Roman" w:hAnsi="Times New Roman" w:cs="Times New Roman"/>
        </w:rPr>
        <w:t>DOC</w:t>
      </w:r>
      <w:r w:rsidR="00586061" w:rsidRPr="006713BF">
        <w:rPr>
          <w:rFonts w:ascii="Times New Roman" w:hAnsi="Times New Roman" w:cs="Times New Roman"/>
        </w:rPr>
        <w:t xml:space="preserve"> and BOC must increase transparency and accountability measures to ensure appropriate application and monitoring of BOC Minimum Standards, identify systemic issues within the jails, and address gaps in care within and outside the TGNCNBI population.</w:t>
      </w:r>
      <w:r w:rsidR="00E87BDF" w:rsidRPr="006713BF">
        <w:rPr>
          <w:rStyle w:val="FootnoteReference"/>
          <w:rFonts w:ascii="Times New Roman" w:hAnsi="Times New Roman" w:cs="Times New Roman"/>
        </w:rPr>
        <w:footnoteReference w:id="60"/>
      </w:r>
    </w:p>
    <w:p w14:paraId="277201D2" w14:textId="54F33E0B" w:rsidR="009A5327" w:rsidRPr="006713BF" w:rsidRDefault="006713BF" w:rsidP="004B2A19">
      <w:pPr>
        <w:spacing w:line="480" w:lineRule="auto"/>
        <w:ind w:firstLine="720"/>
        <w:jc w:val="both"/>
      </w:pPr>
      <w:r>
        <w:t>O</w:t>
      </w:r>
      <w:r w:rsidR="009C6D55" w:rsidRPr="006713BF">
        <w:t xml:space="preserve">ther general </w:t>
      </w:r>
      <w:r w:rsidR="00837C55">
        <w:t xml:space="preserve">report </w:t>
      </w:r>
      <w:r w:rsidR="009C6D55" w:rsidRPr="006713BF">
        <w:t xml:space="preserve">recommendations </w:t>
      </w:r>
      <w:r>
        <w:t xml:space="preserve">include </w:t>
      </w:r>
      <w:r w:rsidR="009C6D55" w:rsidRPr="006713BF">
        <w:t xml:space="preserve">prioritizing </w:t>
      </w:r>
      <w:r w:rsidR="00586061" w:rsidRPr="006713BF">
        <w:t xml:space="preserve">culture change within DOC staffing, </w:t>
      </w:r>
      <w:r w:rsidR="005C5164" w:rsidRPr="006713BF">
        <w:t xml:space="preserve">revising </w:t>
      </w:r>
      <w:r w:rsidR="00556388" w:rsidRPr="006713BF">
        <w:t>all documentation at the DOC and relevant city agencies to appropriately capture all gender identities</w:t>
      </w:r>
      <w:r w:rsidR="00586061" w:rsidRPr="006713BF">
        <w:t>,</w:t>
      </w:r>
      <w:r w:rsidR="00556388" w:rsidRPr="006713BF">
        <w:rPr>
          <w:rStyle w:val="FootnoteReference"/>
        </w:rPr>
        <w:footnoteReference w:id="61"/>
      </w:r>
      <w:r w:rsidR="00556388" w:rsidRPr="006713BF">
        <w:t xml:space="preserve"> </w:t>
      </w:r>
      <w:r w:rsidR="005C5164" w:rsidRPr="006713BF">
        <w:t xml:space="preserve">creating a </w:t>
      </w:r>
      <w:r w:rsidR="00556388" w:rsidRPr="006713BF">
        <w:t xml:space="preserve">plan to appropriately transfer TGNCNBI </w:t>
      </w:r>
      <w:r w:rsidR="000A58DF" w:rsidRPr="00E15714">
        <w:t>indi</w:t>
      </w:r>
      <w:r w:rsidR="000A58DF" w:rsidRPr="00891778">
        <w:t>viduals</w:t>
      </w:r>
      <w:r w:rsidR="000A58DF" w:rsidRPr="000E4CAF">
        <w:t xml:space="preserve"> </w:t>
      </w:r>
      <w:r w:rsidR="00556388" w:rsidRPr="006713BF">
        <w:t>to gender-appropriate int</w:t>
      </w:r>
      <w:r w:rsidR="005C5164" w:rsidRPr="006713BF">
        <w:t>ake buses and facilities, using</w:t>
      </w:r>
      <w:r w:rsidR="00556388" w:rsidRPr="006713BF">
        <w:t xml:space="preserve"> medical and mental health screenings before arraignments to confirm correct gender identities and relay</w:t>
      </w:r>
      <w:r w:rsidR="005C5164" w:rsidRPr="006713BF">
        <w:t>ing</w:t>
      </w:r>
      <w:r w:rsidR="00556388" w:rsidRPr="006713BF">
        <w:t xml:space="preserve"> to the court previously outdated identifications on any paperwork</w:t>
      </w:r>
      <w:r w:rsidR="004B2A19" w:rsidRPr="006713BF">
        <w:t>.</w:t>
      </w:r>
      <w:r w:rsidR="00586061" w:rsidRPr="006713BF">
        <w:rPr>
          <w:rStyle w:val="FootnoteReference"/>
        </w:rPr>
        <w:footnoteReference w:id="62"/>
      </w:r>
      <w:r w:rsidR="004B2A19" w:rsidRPr="006713BF">
        <w:t xml:space="preserve"> </w:t>
      </w:r>
      <w:r w:rsidR="00586061" w:rsidRPr="006713BF">
        <w:t>At a high</w:t>
      </w:r>
      <w:r w:rsidR="005C5164" w:rsidRPr="006713BF">
        <w:t xml:space="preserve"> </w:t>
      </w:r>
      <w:r w:rsidR="00586061" w:rsidRPr="006713BF">
        <w:t>level, the</w:t>
      </w:r>
      <w:r w:rsidR="004B2A19" w:rsidRPr="006713BF">
        <w:t xml:space="preserve"> </w:t>
      </w:r>
      <w:r w:rsidR="00262C47" w:rsidRPr="00E15714">
        <w:t>TGNCNBI Task Force</w:t>
      </w:r>
      <w:r w:rsidR="00262C47" w:rsidRPr="00891778">
        <w:t xml:space="preserve"> </w:t>
      </w:r>
      <w:r w:rsidR="004B2A19" w:rsidRPr="006713BF">
        <w:t xml:space="preserve">additionally recommends NYC </w:t>
      </w:r>
      <w:r w:rsidR="00D616D5" w:rsidRPr="006713BF">
        <w:t xml:space="preserve">decarcerate </w:t>
      </w:r>
      <w:r w:rsidR="004B2A19" w:rsidRPr="006713BF">
        <w:t xml:space="preserve">to prevent further abuse and neglect, in addition to carrying out jail-wide improvements in care and calls on New York to provide accessible and affordable housing to people released from custody, with a focus on TGNCNBI </w:t>
      </w:r>
      <w:r w:rsidR="00262C47" w:rsidRPr="006713BF">
        <w:t>ind</w:t>
      </w:r>
      <w:r w:rsidR="00262C47" w:rsidRPr="00E15714">
        <w:t>ividuals</w:t>
      </w:r>
      <w:r w:rsidR="004B2A19" w:rsidRPr="006713BF">
        <w:t>.</w:t>
      </w:r>
      <w:r w:rsidR="004B2A19" w:rsidRPr="006713BF">
        <w:rPr>
          <w:rStyle w:val="FootnoteReference"/>
        </w:rPr>
        <w:footnoteReference w:id="63"/>
      </w:r>
    </w:p>
    <w:p w14:paraId="4F9E0371" w14:textId="77777777" w:rsidR="00952A8F" w:rsidRDefault="002D3F4C" w:rsidP="00952A8F">
      <w:pPr>
        <w:spacing w:line="480" w:lineRule="auto"/>
        <w:ind w:firstLine="720"/>
        <w:jc w:val="both"/>
      </w:pPr>
      <w:r w:rsidRPr="006713BF">
        <w:t xml:space="preserve">As required by Local Law 145 of 2019, DOC issued a response to the </w:t>
      </w:r>
      <w:r w:rsidR="006713BF">
        <w:t>Task Force’s</w:t>
      </w:r>
      <w:r w:rsidRPr="006713BF">
        <w:t xml:space="preserve"> recommendations on November 14, 2022.</w:t>
      </w:r>
      <w:r w:rsidRPr="006713BF">
        <w:rPr>
          <w:rStyle w:val="FootnoteReference"/>
        </w:rPr>
        <w:footnoteReference w:id="64"/>
      </w:r>
      <w:r w:rsidRPr="006713BF">
        <w:rPr>
          <w:rStyle w:val="FootnoteReference"/>
        </w:rPr>
        <w:t xml:space="preserve"> </w:t>
      </w:r>
      <w:r w:rsidR="006A2161" w:rsidRPr="006713BF">
        <w:t>The memo outlines 13 areas of agreement and seven areas of disagreement, outlining several areas within which DOC plans to institute changes.</w:t>
      </w:r>
      <w:r w:rsidR="006713BF">
        <w:rPr>
          <w:rStyle w:val="FootnoteReference"/>
        </w:rPr>
        <w:footnoteReference w:id="65"/>
      </w:r>
      <w:r w:rsidR="00952A8F">
        <w:t xml:space="preserve"> </w:t>
      </w:r>
    </w:p>
    <w:p w14:paraId="322A66FD" w14:textId="12A00277" w:rsidR="00AC76DF" w:rsidRPr="006713BF" w:rsidRDefault="00952A8F" w:rsidP="00582769">
      <w:pPr>
        <w:spacing w:line="480" w:lineRule="auto"/>
        <w:ind w:firstLine="720"/>
        <w:jc w:val="both"/>
      </w:pPr>
      <w:r w:rsidRPr="00052D79">
        <w:t xml:space="preserve">Among </w:t>
      </w:r>
      <w:r w:rsidR="00582769" w:rsidRPr="00052D79">
        <w:t xml:space="preserve">the </w:t>
      </w:r>
      <w:r w:rsidRPr="00052D79">
        <w:t>recommendations DOC agreed with</w:t>
      </w:r>
      <w:r w:rsidR="00C65882" w:rsidRPr="00052D79">
        <w:t xml:space="preserve"> were that TGNCNBI individuals should have access to the same programming options as cisgender individuals, TGCNBI individuals should not be disciplined based on factors that would not be considered for cisgender individuals, and requests for gender-aligned housing placement should be resolved promptly.</w:t>
      </w:r>
      <w:r w:rsidR="00582769" w:rsidRPr="00052D79">
        <w:rPr>
          <w:rStyle w:val="FootnoteReference"/>
        </w:rPr>
        <w:footnoteReference w:id="66"/>
      </w:r>
      <w:r w:rsidR="00C65882" w:rsidRPr="00052D79">
        <w:t xml:space="preserve"> </w:t>
      </w:r>
      <w:r w:rsidRPr="00052D79">
        <w:t>DOC also committed to exploring</w:t>
      </w:r>
      <w:r w:rsidR="00C65882" w:rsidRPr="00052D79">
        <w:t xml:space="preserve"> how they can incorporate more information related to housing options for TGNCNBI individuals during the intake process and </w:t>
      </w:r>
      <w:r w:rsidRPr="00052D79">
        <w:t>modify the PREA Intake Questionnaire to include distinct questions about sexual orientation and gender identity.</w:t>
      </w:r>
      <w:r w:rsidR="00582769" w:rsidRPr="00052D79">
        <w:rPr>
          <w:rStyle w:val="FootnoteReference"/>
        </w:rPr>
        <w:footnoteReference w:id="67"/>
      </w:r>
      <w:r w:rsidRPr="00052D79">
        <w:t xml:space="preserve"> Notable disagreement</w:t>
      </w:r>
      <w:r w:rsidR="00582769" w:rsidRPr="00052D79">
        <w:t>s</w:t>
      </w:r>
      <w:r w:rsidRPr="00052D79">
        <w:t xml:space="preserve"> with Task Force recommendation include that DOC should never transfer anyone out of the SCU as a form of punishment, that DOC not consider a person’s appearance when making housing decisions for TGNCNBI individuals, and that the Department assign full-time social workers to the SCU to mediate conflict in the unit.</w:t>
      </w:r>
      <w:r w:rsidR="00582769" w:rsidRPr="00052D79">
        <w:rPr>
          <w:rStyle w:val="FootnoteReference"/>
        </w:rPr>
        <w:footnoteReference w:id="68"/>
      </w:r>
      <w:r w:rsidRPr="00052D79">
        <w:t xml:space="preserve"> DOC also took exception to what they described as “a policy that relies inflexibly on self-identified gender” in making hous</w:t>
      </w:r>
      <w:r w:rsidR="00582769" w:rsidRPr="00052D79">
        <w:t>ing decisions, arguing that such policy</w:t>
      </w:r>
      <w:r w:rsidRPr="00052D79">
        <w:t xml:space="preserve"> would present safety concerns and create opportunities for individuals to </w:t>
      </w:r>
      <w:r w:rsidR="00582769" w:rsidRPr="00052D79">
        <w:t>falsely identify themselves in order to change their housing placement</w:t>
      </w:r>
      <w:r w:rsidRPr="00052D79">
        <w:t>.</w:t>
      </w:r>
      <w:r w:rsidR="00582769" w:rsidRPr="00052D79">
        <w:rPr>
          <w:rStyle w:val="FootnoteReference"/>
        </w:rPr>
        <w:footnoteReference w:id="69"/>
      </w:r>
      <w:r>
        <w:t xml:space="preserve"> </w:t>
      </w:r>
    </w:p>
    <w:p w14:paraId="65402F5E" w14:textId="612A78E2" w:rsidR="008D39E6" w:rsidRPr="006713BF" w:rsidRDefault="008D39E6" w:rsidP="008D39E6">
      <w:pPr>
        <w:pStyle w:val="ListParagraph"/>
        <w:numPr>
          <w:ilvl w:val="0"/>
          <w:numId w:val="13"/>
        </w:numPr>
        <w:spacing w:line="480" w:lineRule="auto"/>
        <w:jc w:val="both"/>
        <w:rPr>
          <w:rFonts w:ascii="Times New Roman" w:hAnsi="Times New Roman" w:cs="Times New Roman"/>
          <w:b/>
          <w:bCs/>
          <w:lang w:val="en"/>
        </w:rPr>
      </w:pPr>
      <w:r w:rsidRPr="006713BF">
        <w:rPr>
          <w:rFonts w:ascii="Times New Roman" w:hAnsi="Times New Roman" w:cs="Times New Roman"/>
          <w:b/>
          <w:bCs/>
          <w:lang w:val="en"/>
        </w:rPr>
        <w:t>ISSUES AND CONCERNS</w:t>
      </w:r>
    </w:p>
    <w:p w14:paraId="0A92456B" w14:textId="73A3E562" w:rsidR="00790AD4" w:rsidRPr="00AC76DF" w:rsidRDefault="008D39E6" w:rsidP="00FF3CA2">
      <w:pPr>
        <w:spacing w:line="480" w:lineRule="auto"/>
        <w:ind w:firstLine="720"/>
        <w:jc w:val="both"/>
      </w:pPr>
      <w:r w:rsidRPr="00AC76DF">
        <w:rPr>
          <w:lang w:val="en"/>
        </w:rPr>
        <w:t>At today</w:t>
      </w:r>
      <w:r w:rsidR="005C5164" w:rsidRPr="00AC76DF">
        <w:rPr>
          <w:lang w:val="en"/>
        </w:rPr>
        <w:t>'</w:t>
      </w:r>
      <w:r w:rsidRPr="00AC76DF">
        <w:rPr>
          <w:lang w:val="en"/>
        </w:rPr>
        <w:t xml:space="preserve">s hearing, the Committee will learn about what actions have been taken by the </w:t>
      </w:r>
      <w:r w:rsidR="00AC76DF">
        <w:rPr>
          <w:lang w:val="en"/>
        </w:rPr>
        <w:t xml:space="preserve">Task Force </w:t>
      </w:r>
      <w:r w:rsidR="00881973" w:rsidRPr="00AC76DF">
        <w:rPr>
          <w:lang w:val="en"/>
        </w:rPr>
        <w:t xml:space="preserve">and DOC </w:t>
      </w:r>
      <w:r w:rsidRPr="00AC76DF">
        <w:rPr>
          <w:lang w:val="en"/>
        </w:rPr>
        <w:t>thus far</w:t>
      </w:r>
      <w:r w:rsidR="00FF3CA2" w:rsidRPr="00AC76DF">
        <w:rPr>
          <w:lang w:val="en"/>
        </w:rPr>
        <w:t xml:space="preserve"> </w:t>
      </w:r>
      <w:r w:rsidR="00881973" w:rsidRPr="00AC76DF">
        <w:rPr>
          <w:lang w:val="en"/>
        </w:rPr>
        <w:t xml:space="preserve">and </w:t>
      </w:r>
      <w:r w:rsidR="009A2A0A" w:rsidRPr="00AC76DF">
        <w:t>examine the DOC and CHS</w:t>
      </w:r>
      <w:r w:rsidR="005C5164" w:rsidRPr="00AC76DF">
        <w:t>'</w:t>
      </w:r>
      <w:r w:rsidR="009A2A0A" w:rsidRPr="00AC76DF">
        <w:t xml:space="preserve">s current policies with regard to TGNCNBI </w:t>
      </w:r>
      <w:r w:rsidR="000A58DF" w:rsidRPr="00AC76DF">
        <w:t>ind</w:t>
      </w:r>
      <w:r w:rsidR="000A58DF" w:rsidRPr="00E15714">
        <w:t>ividuals</w:t>
      </w:r>
      <w:r w:rsidR="000A58DF" w:rsidRPr="00891778">
        <w:t xml:space="preserve"> </w:t>
      </w:r>
      <w:r w:rsidR="009A2A0A" w:rsidRPr="00AC76DF">
        <w:t>in custody, including their responsiveness to the BOC</w:t>
      </w:r>
      <w:r w:rsidR="005C5164" w:rsidRPr="00AC76DF">
        <w:t>'</w:t>
      </w:r>
      <w:r w:rsidR="009A2A0A" w:rsidRPr="00AC76DF">
        <w:t>s 2020 report on the death of Layleen Polanco in 2019</w:t>
      </w:r>
      <w:r w:rsidR="00FF3CA2" w:rsidRPr="00AC76DF">
        <w:t xml:space="preserve"> </w:t>
      </w:r>
      <w:r w:rsidR="009A2A0A" w:rsidRPr="00AC76DF">
        <w:t xml:space="preserve">and their responsiveness to the </w:t>
      </w:r>
      <w:r w:rsidR="005C5164" w:rsidRPr="00AC76DF">
        <w:t>Task Force’s</w:t>
      </w:r>
      <w:r w:rsidR="009A2A0A" w:rsidRPr="00AC76DF">
        <w:t xml:space="preserve"> recommendations.</w:t>
      </w:r>
      <w:r w:rsidR="00FF3CA2" w:rsidRPr="00AC76DF">
        <w:t xml:space="preserve"> </w:t>
      </w:r>
      <w:r w:rsidR="00790AD4" w:rsidRPr="00AC76DF">
        <w:t xml:space="preserve">In doing so, the Committees will investigate how </w:t>
      </w:r>
      <w:r w:rsidR="00FF3CA2" w:rsidRPr="00AC76DF">
        <w:t>DOC</w:t>
      </w:r>
      <w:r w:rsidR="00790AD4" w:rsidRPr="00AC76DF">
        <w:t xml:space="preserve"> is addressing </w:t>
      </w:r>
      <w:r w:rsidR="005C5164" w:rsidRPr="00AC76DF">
        <w:t xml:space="preserve">the </w:t>
      </w:r>
      <w:r w:rsidR="00790AD4" w:rsidRPr="00AC76DF">
        <w:t xml:space="preserve">unique needs </w:t>
      </w:r>
      <w:r w:rsidR="005C5164" w:rsidRPr="00AC76DF">
        <w:t>of</w:t>
      </w:r>
      <w:r w:rsidR="00790AD4" w:rsidRPr="00AC76DF">
        <w:t xml:space="preserve"> incarcerated </w:t>
      </w:r>
      <w:r w:rsidR="00FF3CA2" w:rsidRPr="00AC76DF">
        <w:t>TGNCNBI individuals,</w:t>
      </w:r>
      <w:r w:rsidR="00790AD4" w:rsidRPr="00AC76DF">
        <w:t xml:space="preserve"> </w:t>
      </w:r>
      <w:r w:rsidR="00FF3CA2" w:rsidRPr="00AC76DF">
        <w:t>including but not limited to</w:t>
      </w:r>
      <w:r w:rsidR="005C5164" w:rsidRPr="00AC76DF">
        <w:t xml:space="preserve">, </w:t>
      </w:r>
      <w:r w:rsidR="00881973" w:rsidRPr="00AC76DF">
        <w:t xml:space="preserve">programming and </w:t>
      </w:r>
      <w:r w:rsidR="00790AD4" w:rsidRPr="00AC76DF">
        <w:t xml:space="preserve">physical and mental health. Furthermore, the Committees seek to </w:t>
      </w:r>
      <w:r w:rsidR="00881973" w:rsidRPr="00AC76DF">
        <w:t>learn</w:t>
      </w:r>
      <w:r w:rsidR="00790AD4" w:rsidRPr="00AC76DF">
        <w:t xml:space="preserve"> how the Department has been handling reported acts of sexual victimization and </w:t>
      </w:r>
      <w:r w:rsidR="00FF3CA2" w:rsidRPr="00AC76DF">
        <w:t xml:space="preserve">violence </w:t>
      </w:r>
      <w:r w:rsidR="005C5164" w:rsidRPr="00AC76DF">
        <w:t xml:space="preserve">and </w:t>
      </w:r>
      <w:r w:rsidR="00790AD4" w:rsidRPr="00AC76DF">
        <w:t xml:space="preserve">how they plan to better protect the </w:t>
      </w:r>
      <w:r w:rsidR="00FF3CA2" w:rsidRPr="00AC76DF">
        <w:t>TGNCNBI</w:t>
      </w:r>
      <w:r w:rsidR="00790AD4" w:rsidRPr="00AC76DF">
        <w:t xml:space="preserve"> population from these acts. </w:t>
      </w:r>
      <w:r w:rsidR="00790AD4" w:rsidRPr="00AC76DF">
        <w:rPr>
          <w:bCs/>
        </w:rPr>
        <w:t xml:space="preserve">The Committees </w:t>
      </w:r>
      <w:r w:rsidR="00881973" w:rsidRPr="00AC76DF">
        <w:rPr>
          <w:bCs/>
        </w:rPr>
        <w:t xml:space="preserve">also </w:t>
      </w:r>
      <w:r w:rsidR="00790AD4" w:rsidRPr="00AC76DF">
        <w:rPr>
          <w:bCs/>
        </w:rPr>
        <w:t>look forward to hearing testimony regarding the legislation being considered.</w:t>
      </w:r>
    </w:p>
    <w:p w14:paraId="435C6F56" w14:textId="04425A5C" w:rsidR="008D39E6" w:rsidRPr="00AC76DF" w:rsidRDefault="008D39E6" w:rsidP="008D39E6">
      <w:pPr>
        <w:pStyle w:val="ListParagraph"/>
        <w:numPr>
          <w:ilvl w:val="0"/>
          <w:numId w:val="13"/>
        </w:numPr>
        <w:spacing w:line="480" w:lineRule="auto"/>
        <w:jc w:val="both"/>
        <w:rPr>
          <w:rFonts w:ascii="Times New Roman" w:hAnsi="Times New Roman" w:cs="Times New Roman"/>
          <w:b/>
          <w:bCs/>
          <w:lang w:val="en"/>
        </w:rPr>
      </w:pPr>
      <w:r w:rsidRPr="00AC76DF">
        <w:rPr>
          <w:rFonts w:ascii="Times New Roman" w:hAnsi="Times New Roman" w:cs="Times New Roman"/>
          <w:b/>
          <w:bCs/>
          <w:lang w:val="en"/>
        </w:rPr>
        <w:t>LEGISLATION</w:t>
      </w:r>
    </w:p>
    <w:p w14:paraId="3BC6A356" w14:textId="77777777" w:rsidR="00817930" w:rsidRDefault="008D39E6" w:rsidP="0021239F">
      <w:pPr>
        <w:spacing w:line="480" w:lineRule="auto"/>
        <w:ind w:firstLine="720"/>
        <w:jc w:val="both"/>
        <w:rPr>
          <w:lang w:val="en"/>
        </w:rPr>
      </w:pPr>
      <w:r w:rsidRPr="00AC76DF">
        <w:rPr>
          <w:lang w:val="en"/>
        </w:rPr>
        <w:t>A brief summary of the bills being heard at this hearing is provided below.</w:t>
      </w:r>
    </w:p>
    <w:p w14:paraId="245061AC" w14:textId="17E9B49B" w:rsidR="0021239F" w:rsidRDefault="00817930" w:rsidP="0021239F">
      <w:pPr>
        <w:spacing w:line="480" w:lineRule="auto"/>
        <w:ind w:firstLine="720"/>
        <w:jc w:val="both"/>
        <w:rPr>
          <w:b/>
          <w:lang w:val="en"/>
        </w:rPr>
      </w:pPr>
      <w:r w:rsidRPr="00817930">
        <w:rPr>
          <w:b/>
          <w:lang w:val="en"/>
        </w:rPr>
        <w:t>Int. No. 355</w:t>
      </w:r>
      <w:r w:rsidR="008D39E6" w:rsidRPr="00817930">
        <w:rPr>
          <w:b/>
          <w:lang w:val="en"/>
        </w:rPr>
        <w:t xml:space="preserve"> </w:t>
      </w:r>
    </w:p>
    <w:p w14:paraId="7BC26929" w14:textId="1F8B5A3C" w:rsidR="00817930" w:rsidRPr="00BC0F0D" w:rsidRDefault="0033536A" w:rsidP="00A074C6">
      <w:pPr>
        <w:spacing w:line="480" w:lineRule="auto"/>
        <w:ind w:firstLine="720"/>
        <w:jc w:val="both"/>
        <w:rPr>
          <w:lang w:val="en"/>
        </w:rPr>
      </w:pPr>
      <w:r>
        <w:rPr>
          <w:lang w:val="en"/>
        </w:rPr>
        <w:t xml:space="preserve">Traditionally, </w:t>
      </w:r>
      <w:r w:rsidR="00A074C6">
        <w:rPr>
          <w:lang w:val="en"/>
        </w:rPr>
        <w:t>TGNCNBI individuals</w:t>
      </w:r>
      <w:r>
        <w:rPr>
          <w:lang w:val="en"/>
        </w:rPr>
        <w:t xml:space="preserve"> have lacked meaningful access to medical and behavioral health care and have </w:t>
      </w:r>
      <w:r w:rsidR="00A074C6">
        <w:rPr>
          <w:lang w:val="en"/>
        </w:rPr>
        <w:t>often struggle</w:t>
      </w:r>
      <w:r>
        <w:rPr>
          <w:lang w:val="en"/>
        </w:rPr>
        <w:t>d</w:t>
      </w:r>
      <w:r w:rsidR="00A074C6">
        <w:rPr>
          <w:lang w:val="en"/>
        </w:rPr>
        <w:t xml:space="preserve"> to receive gender-affirming care.  </w:t>
      </w:r>
      <w:r w:rsidR="00BC0F0D">
        <w:rPr>
          <w:lang w:val="en"/>
        </w:rPr>
        <w:t xml:space="preserve">Int. No. 355 would require </w:t>
      </w:r>
      <w:r w:rsidR="00E978A9">
        <w:rPr>
          <w:lang w:val="en"/>
        </w:rPr>
        <w:t xml:space="preserve">DOC </w:t>
      </w:r>
      <w:r w:rsidR="00BC0F0D">
        <w:t xml:space="preserve">to provide an incarcerated individual with a doctor of the same gender upon request, absent any substantial safety risk. </w:t>
      </w:r>
      <w:r w:rsidR="00BC0F0D" w:rsidRPr="00BC0F0D">
        <w:t>The bill would take effect immediately upon enactment.</w:t>
      </w:r>
    </w:p>
    <w:p w14:paraId="130DCE8F" w14:textId="43DD8552" w:rsidR="005B5331" w:rsidRPr="00E15714" w:rsidRDefault="005B5331" w:rsidP="0021239F">
      <w:pPr>
        <w:spacing w:line="480" w:lineRule="auto"/>
        <w:ind w:firstLine="720"/>
        <w:jc w:val="both"/>
      </w:pPr>
      <w:r w:rsidRPr="00E15714">
        <w:rPr>
          <w:b/>
          <w:bCs/>
        </w:rPr>
        <w:t>Int. No. 728</w:t>
      </w:r>
    </w:p>
    <w:p w14:paraId="13B9ECF0" w14:textId="3344C17C" w:rsidR="005B5331" w:rsidRPr="006713BF" w:rsidRDefault="00FE651D" w:rsidP="005B5331">
      <w:pPr>
        <w:spacing w:line="480" w:lineRule="auto"/>
        <w:ind w:firstLine="720"/>
        <w:jc w:val="both"/>
      </w:pPr>
      <w:r>
        <w:t>According to a 2018 assessment from the BOC, the Department</w:t>
      </w:r>
      <w:r w:rsidRPr="00FE651D">
        <w:t xml:space="preserve"> is not</w:t>
      </w:r>
      <w:r w:rsidR="00705334">
        <w:t xml:space="preserve"> effectively carrying out its directive pertaining to the SCU. Most applications to the SCU</w:t>
      </w:r>
      <w:r w:rsidRPr="00FE651D">
        <w:t xml:space="preserve"> reviewed by the BOC (84%) had no decision recorded, many incarcerated individuals we</w:t>
      </w:r>
      <w:r w:rsidR="00705334">
        <w:t>re never given notice of the SCU</w:t>
      </w:r>
      <w:r w:rsidRPr="00FE651D">
        <w:t>’s existence, and there is no meaningful, independent appeals process</w:t>
      </w:r>
      <w:r w:rsidR="00705334">
        <w:t>.</w:t>
      </w:r>
      <w:r w:rsidR="00705334">
        <w:rPr>
          <w:rStyle w:val="FootnoteReference"/>
        </w:rPr>
        <w:footnoteReference w:id="70"/>
      </w:r>
      <w:r>
        <w:t xml:space="preserve"> </w:t>
      </w:r>
      <w:r w:rsidR="005B5331" w:rsidRPr="006713BF">
        <w:t xml:space="preserve">Int. No. 728 would require </w:t>
      </w:r>
      <w:r w:rsidR="00E978A9">
        <w:t xml:space="preserve">DOC </w:t>
      </w:r>
      <w:r w:rsidR="005B5331" w:rsidRPr="006713BF">
        <w:t xml:space="preserve">to assess all incarcerated individuals for their risk of sexual victimization at intake and when transferred between facilities. This bill would also create an appeals process for transgender, gender non-conforming and intersex individuals who requested specific housing based on identifying as such. This bill would also require </w:t>
      </w:r>
      <w:r w:rsidR="00E978A9">
        <w:t xml:space="preserve">BOC </w:t>
      </w:r>
      <w:r w:rsidR="005B5331" w:rsidRPr="006713BF">
        <w:t>to issue opinions regarding appeals of housing requests related to gender identity.</w:t>
      </w:r>
      <w:r w:rsidR="00BC0F0D">
        <w:t xml:space="preserve"> </w:t>
      </w:r>
      <w:r w:rsidR="00BC0F0D" w:rsidRPr="00BC0F0D">
        <w:t xml:space="preserve">The bill would take effect </w:t>
      </w:r>
      <w:r w:rsidR="00BC0F0D">
        <w:t>90 days after</w:t>
      </w:r>
      <w:r w:rsidR="00BC0F0D" w:rsidRPr="00BC0F0D">
        <w:t xml:space="preserve"> enactment.</w:t>
      </w:r>
    </w:p>
    <w:p w14:paraId="4F6C1ED7" w14:textId="763D5A49" w:rsidR="00790AD4" w:rsidRPr="0011242E" w:rsidRDefault="00790AD4" w:rsidP="0011242E">
      <w:pPr>
        <w:spacing w:line="480" w:lineRule="auto"/>
        <w:ind w:firstLine="720"/>
        <w:jc w:val="both"/>
        <w:rPr>
          <w:b/>
          <w:bCs/>
        </w:rPr>
      </w:pPr>
      <w:r w:rsidRPr="0011242E">
        <w:rPr>
          <w:b/>
          <w:bCs/>
        </w:rPr>
        <w:t>Int. No. 831</w:t>
      </w:r>
    </w:p>
    <w:p w14:paraId="48E1A903" w14:textId="500BDB62" w:rsidR="005B5331" w:rsidRPr="00E15714" w:rsidRDefault="00705334" w:rsidP="00556388">
      <w:pPr>
        <w:spacing w:line="480" w:lineRule="auto"/>
        <w:ind w:firstLine="720"/>
        <w:jc w:val="both"/>
      </w:pPr>
      <w:r>
        <w:t>Coordinated</w:t>
      </w:r>
      <w:r w:rsidRPr="00705334">
        <w:t xml:space="preserve"> reentry planning greatly impacts the individual’s reintegration into society</w:t>
      </w:r>
      <w:r>
        <w:t xml:space="preserve"> and can reduce recidivism rates.</w:t>
      </w:r>
      <w:r w:rsidRPr="00705334">
        <w:t xml:space="preserve"> </w:t>
      </w:r>
      <w:r w:rsidR="0057420F" w:rsidRPr="006713BF">
        <w:t xml:space="preserve">Int. No. 831 would create a resource navigator program with the aim to create a centralized program to assist women and </w:t>
      </w:r>
      <w:r w:rsidR="000A58DF" w:rsidRPr="006713BF">
        <w:t>gender-expansive</w:t>
      </w:r>
      <w:r w:rsidR="0057420F" w:rsidRPr="006713BF">
        <w:t xml:space="preserve"> </w:t>
      </w:r>
      <w:r w:rsidR="000A58DF" w:rsidRPr="006713BF">
        <w:t xml:space="preserve">individuals </w:t>
      </w:r>
      <w:r w:rsidR="0057420F" w:rsidRPr="006713BF">
        <w:t xml:space="preserve">in </w:t>
      </w:r>
      <w:r w:rsidR="00E978A9">
        <w:t xml:space="preserve">DOC </w:t>
      </w:r>
      <w:r w:rsidR="0057420F" w:rsidRPr="006713BF">
        <w:t>custody, as well as other relevant actors, in locating available and appropriate reentry services</w:t>
      </w:r>
      <w:r w:rsidR="0057420F" w:rsidRPr="00E15714">
        <w:t>.</w:t>
      </w:r>
      <w:r w:rsidR="0011242E">
        <w:t xml:space="preserve"> </w:t>
      </w:r>
      <w:r w:rsidR="0011242E" w:rsidRPr="0011242E">
        <w:t>The bill would take effect 90 days after enactment.</w:t>
      </w:r>
    </w:p>
    <w:p w14:paraId="72F30738" w14:textId="521EB15D" w:rsidR="00921887" w:rsidRPr="0011242E" w:rsidRDefault="00921887" w:rsidP="0011242E">
      <w:pPr>
        <w:spacing w:line="480" w:lineRule="auto"/>
        <w:ind w:firstLine="720"/>
        <w:jc w:val="both"/>
        <w:rPr>
          <w:b/>
          <w:bCs/>
        </w:rPr>
      </w:pPr>
      <w:r w:rsidRPr="0011242E">
        <w:rPr>
          <w:b/>
          <w:bCs/>
        </w:rPr>
        <w:t xml:space="preserve">Int. No. </w:t>
      </w:r>
      <w:r w:rsidR="00CB1497">
        <w:rPr>
          <w:b/>
          <w:bCs/>
        </w:rPr>
        <w:t>887</w:t>
      </w:r>
    </w:p>
    <w:p w14:paraId="5B6F40B2" w14:textId="07D47A5F" w:rsidR="00097B32" w:rsidRDefault="00E84D6A" w:rsidP="001A19CC">
      <w:pPr>
        <w:spacing w:line="480" w:lineRule="auto"/>
        <w:ind w:firstLine="720"/>
        <w:jc w:val="both"/>
      </w:pPr>
      <w:r w:rsidRPr="00E84D6A">
        <w:t xml:space="preserve">In 2022, the </w:t>
      </w:r>
      <w:r>
        <w:t xml:space="preserve">TGNCNBI </w:t>
      </w:r>
      <w:r w:rsidRPr="00E84D6A">
        <w:t>Task Force was informed by DOC that the majority of the TGNCNBI people in custody were not housed according to their gender identities</w:t>
      </w:r>
      <w:r>
        <w:t>.</w:t>
      </w:r>
      <w:r>
        <w:rPr>
          <w:rStyle w:val="FootnoteReference"/>
        </w:rPr>
        <w:footnoteReference w:id="71"/>
      </w:r>
      <w:r w:rsidRPr="00E84D6A">
        <w:t xml:space="preserve"> </w:t>
      </w:r>
      <w:r w:rsidR="00921887" w:rsidRPr="00E15714">
        <w:t>This bill would require DOC to report on a monthly basis</w:t>
      </w:r>
      <w:r w:rsidR="00E978A9">
        <w:t>,</w:t>
      </w:r>
      <w:r w:rsidR="00921887" w:rsidRPr="00E15714">
        <w:t xml:space="preserve"> information related to individuals in DOC custody whose gender identity is different from the sex assigned to the individual at birth, including, but not limited to, tr</w:t>
      </w:r>
      <w:r w:rsidR="00921887" w:rsidRPr="006713BF">
        <w:t>ansgender, gender nonconforming, non-binary or intersex. DOC would be required to report information regarding such individuals’ housing unit placements, denials and objections to current housing unit placements, and instances of violence against such individuals.</w:t>
      </w:r>
      <w:r w:rsidR="0011242E">
        <w:t xml:space="preserve"> </w:t>
      </w:r>
      <w:r w:rsidR="0011242E" w:rsidRPr="0011242E">
        <w:t>The bill would take effect immediately upon enactment.</w:t>
      </w:r>
    </w:p>
    <w:p w14:paraId="22F032FE" w14:textId="37FF7D7B" w:rsidR="0011242E" w:rsidRPr="0011242E" w:rsidRDefault="0011242E" w:rsidP="00757ED4">
      <w:pPr>
        <w:spacing w:line="480" w:lineRule="auto"/>
        <w:ind w:firstLine="720"/>
        <w:jc w:val="both"/>
        <w:rPr>
          <w:b/>
        </w:rPr>
      </w:pPr>
      <w:r w:rsidRPr="0011242E">
        <w:rPr>
          <w:b/>
        </w:rPr>
        <w:t xml:space="preserve">Res. </w:t>
      </w:r>
      <w:r>
        <w:rPr>
          <w:b/>
        </w:rPr>
        <w:t xml:space="preserve">No. </w:t>
      </w:r>
      <w:r w:rsidRPr="0011242E">
        <w:rPr>
          <w:b/>
        </w:rPr>
        <w:t>117</w:t>
      </w:r>
    </w:p>
    <w:p w14:paraId="04F0380A" w14:textId="1259C749" w:rsidR="0011242E" w:rsidRDefault="0011242E" w:rsidP="0011242E">
      <w:pPr>
        <w:spacing w:line="480" w:lineRule="auto"/>
        <w:jc w:val="both"/>
      </w:pPr>
      <w:r>
        <w:tab/>
        <w:t xml:space="preserve">This resolution calls on the </w:t>
      </w:r>
      <w:r w:rsidRPr="0011242E">
        <w:t>New York State Legislature to pass, and the Governor to sign, a bill that would mandate the Office of Court Administration to update the securing order form to include a gender X option.</w:t>
      </w:r>
      <w:r w:rsidR="00E84D6A">
        <w:t xml:space="preserve"> Securing orders are filled out by court officers when bail is set or an individual is remanded into DOC custody. Currently, the gender marker options on securing orders are only “M” for male and “F” for female. If the information captured on a securing order does not reflect the gender with which the person’s gender identity most closely aligns, </w:t>
      </w:r>
      <w:r w:rsidR="00700ADD">
        <w:t xml:space="preserve">this impacts transportation, intake and housing decisions throughout the state and city criminal legal systems. </w:t>
      </w:r>
    </w:p>
    <w:p w14:paraId="3E9734D7" w14:textId="777992A6" w:rsidR="0011242E" w:rsidRDefault="0011242E" w:rsidP="0011242E">
      <w:pPr>
        <w:spacing w:line="480" w:lineRule="auto"/>
        <w:jc w:val="both"/>
        <w:rPr>
          <w:b/>
        </w:rPr>
      </w:pPr>
      <w:r>
        <w:tab/>
      </w:r>
      <w:r w:rsidRPr="0011242E">
        <w:rPr>
          <w:b/>
        </w:rPr>
        <w:t xml:space="preserve">Res. No. </w:t>
      </w:r>
      <w:r w:rsidR="00097B32">
        <w:rPr>
          <w:b/>
        </w:rPr>
        <w:t>458</w:t>
      </w:r>
    </w:p>
    <w:p w14:paraId="577CD599" w14:textId="193EEF73" w:rsidR="0011242E" w:rsidRPr="0011242E" w:rsidRDefault="0011242E" w:rsidP="0011242E">
      <w:pPr>
        <w:spacing w:line="480" w:lineRule="auto"/>
        <w:jc w:val="both"/>
      </w:pPr>
      <w:r>
        <w:rPr>
          <w:b/>
        </w:rPr>
        <w:tab/>
      </w:r>
      <w:r>
        <w:t xml:space="preserve">This resolution calls on the </w:t>
      </w:r>
      <w:r w:rsidRPr="0011242E">
        <w:t>New York State Legislature to pass, and the Governor to sign, A.7001B/S.6677A to enact the Gender Identity Respect, Dignity and Safety Act, which would allow for appropriate treatment and placement of incarcerated people based upon their gender identity.</w:t>
      </w:r>
      <w:r w:rsidR="00700ADD">
        <w:t xml:space="preserve"> The legislation would require</w:t>
      </w:r>
      <w:r w:rsidR="00700ADD" w:rsidRPr="00700ADD">
        <w:t xml:space="preserve"> that prisons and jails presumptively house people consistently with their gender identities, with a list of reasons that cannot be</w:t>
      </w:r>
      <w:r w:rsidR="00700ADD">
        <w:t xml:space="preserve"> used as the basis for a denial. It would also mandate</w:t>
      </w:r>
      <w:r w:rsidR="00700ADD" w:rsidRPr="00700ADD">
        <w:t xml:space="preserve"> access to clothing, toiletry items and grooming standards consistent </w:t>
      </w:r>
      <w:r w:rsidR="00700ADD">
        <w:t xml:space="preserve">with a person’s gender identity.  </w:t>
      </w:r>
    </w:p>
    <w:p w14:paraId="6308B9ED" w14:textId="75A139DB" w:rsidR="0011242E" w:rsidRPr="0011242E" w:rsidRDefault="0011242E" w:rsidP="0011242E">
      <w:pPr>
        <w:spacing w:line="480" w:lineRule="auto"/>
        <w:jc w:val="both"/>
      </w:pPr>
    </w:p>
    <w:p w14:paraId="3A7E45C4" w14:textId="18E280E8" w:rsidR="002C7DCA" w:rsidRDefault="002C7DCA" w:rsidP="002C7DCA">
      <w:pPr>
        <w:spacing w:line="480" w:lineRule="auto"/>
        <w:jc w:val="both"/>
      </w:pPr>
    </w:p>
    <w:p w14:paraId="44780D73" w14:textId="09CD95F0" w:rsidR="00E978A9" w:rsidRDefault="00E978A9" w:rsidP="002C7DCA">
      <w:pPr>
        <w:spacing w:line="480" w:lineRule="auto"/>
        <w:jc w:val="both"/>
      </w:pPr>
    </w:p>
    <w:p w14:paraId="2EFDDC86" w14:textId="794F2755" w:rsidR="00097B32" w:rsidRDefault="00097B32" w:rsidP="002C7DCA">
      <w:pPr>
        <w:spacing w:line="480" w:lineRule="auto"/>
        <w:jc w:val="both"/>
      </w:pPr>
    </w:p>
    <w:p w14:paraId="20C65AED" w14:textId="6184E280" w:rsidR="00CB1497" w:rsidRPr="006713BF" w:rsidRDefault="00CB1497" w:rsidP="002C7DCA">
      <w:pPr>
        <w:spacing w:line="480" w:lineRule="auto"/>
        <w:jc w:val="both"/>
      </w:pPr>
    </w:p>
    <w:p w14:paraId="2346A642" w14:textId="77777777" w:rsidR="006A3875" w:rsidRPr="00905A2F" w:rsidRDefault="006A3875" w:rsidP="006A3875">
      <w:pPr>
        <w:suppressLineNumbers/>
        <w:shd w:val="clear" w:color="auto" w:fill="FFFFFF"/>
        <w:jc w:val="center"/>
        <w:rPr>
          <w:color w:val="000000"/>
          <w:sz w:val="27"/>
          <w:szCs w:val="27"/>
        </w:rPr>
      </w:pPr>
      <w:r>
        <w:rPr>
          <w:color w:val="000000"/>
        </w:rPr>
        <w:t>Int. No. 355</w:t>
      </w:r>
    </w:p>
    <w:p w14:paraId="6864E5FA" w14:textId="77777777" w:rsidR="006A3875" w:rsidRPr="00905A2F" w:rsidRDefault="006A3875" w:rsidP="006A3875">
      <w:pPr>
        <w:suppressLineNumbers/>
        <w:shd w:val="clear" w:color="auto" w:fill="FFFFFF"/>
        <w:rPr>
          <w:color w:val="000000"/>
          <w:sz w:val="27"/>
          <w:szCs w:val="27"/>
        </w:rPr>
      </w:pPr>
      <w:r w:rsidRPr="00905A2F">
        <w:rPr>
          <w:color w:val="000000"/>
          <w:sz w:val="27"/>
          <w:szCs w:val="27"/>
        </w:rPr>
        <w:t> </w:t>
      </w:r>
    </w:p>
    <w:p w14:paraId="01D783E9" w14:textId="77777777" w:rsidR="006A3875" w:rsidRDefault="006A3875" w:rsidP="006A3875">
      <w:pPr>
        <w:suppressLineNumbers/>
        <w:shd w:val="clear" w:color="auto" w:fill="FFFFFF"/>
        <w:autoSpaceDE w:val="0"/>
        <w:autoSpaceDN w:val="0"/>
        <w:adjustRightInd w:val="0"/>
        <w:rPr>
          <w:color w:val="000000"/>
          <w:sz w:val="27"/>
          <w:szCs w:val="27"/>
        </w:rPr>
      </w:pPr>
      <w:r>
        <w:rPr>
          <w:color w:val="000000"/>
        </w:rPr>
        <w:t>By Council Members Rivera, Louis, Joseph, Narcisse, Avilés, Williams, Cabán, Ung, Ossé, Richardson Jordan, Riley, Gutiérrez, Abreu, Won, Barron, Hudson and Sanchez</w:t>
      </w:r>
    </w:p>
    <w:p w14:paraId="43EC3E30" w14:textId="77777777" w:rsidR="006A3875" w:rsidRPr="00905A2F" w:rsidRDefault="006A3875" w:rsidP="006A3875">
      <w:pPr>
        <w:suppressLineNumbers/>
        <w:shd w:val="clear" w:color="auto" w:fill="FFFFFF"/>
        <w:rPr>
          <w:color w:val="000000"/>
          <w:sz w:val="27"/>
          <w:szCs w:val="27"/>
        </w:rPr>
      </w:pPr>
      <w:r>
        <w:rPr>
          <w:color w:val="000000"/>
          <w:sz w:val="27"/>
          <w:szCs w:val="27"/>
        </w:rPr>
        <w:t xml:space="preserve"> </w:t>
      </w:r>
    </w:p>
    <w:p w14:paraId="591A8849" w14:textId="77777777" w:rsidR="006A3875" w:rsidRPr="00C50221" w:rsidRDefault="006A3875" w:rsidP="006A3875">
      <w:pPr>
        <w:suppressLineNumbers/>
        <w:shd w:val="clear" w:color="auto" w:fill="FFFFFF"/>
        <w:jc w:val="both"/>
        <w:rPr>
          <w:vanish/>
          <w:color w:val="000000"/>
        </w:rPr>
      </w:pPr>
      <w:r w:rsidRPr="00C50221">
        <w:rPr>
          <w:vanish/>
          <w:color w:val="000000"/>
        </w:rPr>
        <w:t>..Title</w:t>
      </w:r>
    </w:p>
    <w:p w14:paraId="69EB48FC" w14:textId="77777777" w:rsidR="006A3875" w:rsidRDefault="006A3875" w:rsidP="006A3875">
      <w:pPr>
        <w:suppressLineNumbers/>
        <w:shd w:val="clear" w:color="auto" w:fill="FFFFFF"/>
        <w:jc w:val="both"/>
        <w:rPr>
          <w:color w:val="000000"/>
        </w:rPr>
      </w:pPr>
      <w:r>
        <w:rPr>
          <w:color w:val="000000"/>
        </w:rPr>
        <w:t xml:space="preserve">A Local Law to </w:t>
      </w:r>
      <w:r w:rsidRPr="00905A2F">
        <w:rPr>
          <w:color w:val="000000"/>
        </w:rPr>
        <w:t xml:space="preserve">amend the administrative code of the city of New York, </w:t>
      </w:r>
      <w:r>
        <w:rPr>
          <w:color w:val="000000"/>
        </w:rPr>
        <w:t>in relation to permitting incarcerated individuals in city jails to choose the gender of their doctor</w:t>
      </w:r>
    </w:p>
    <w:p w14:paraId="025BDE0B" w14:textId="77777777" w:rsidR="006A3875" w:rsidRPr="00C50221" w:rsidRDefault="006A3875" w:rsidP="006A3875">
      <w:pPr>
        <w:suppressLineNumbers/>
        <w:shd w:val="clear" w:color="auto" w:fill="FFFFFF"/>
        <w:jc w:val="both"/>
        <w:rPr>
          <w:vanish/>
          <w:color w:val="000000"/>
          <w:sz w:val="27"/>
          <w:szCs w:val="27"/>
        </w:rPr>
      </w:pPr>
      <w:r w:rsidRPr="00C50221">
        <w:rPr>
          <w:vanish/>
          <w:color w:val="000000"/>
        </w:rPr>
        <w:t xml:space="preserve">..Body </w:t>
      </w:r>
    </w:p>
    <w:p w14:paraId="1961EE17" w14:textId="77777777" w:rsidR="006A3875" w:rsidRPr="00905A2F" w:rsidRDefault="006A3875" w:rsidP="006A3875">
      <w:pPr>
        <w:suppressLineNumbers/>
        <w:shd w:val="clear" w:color="auto" w:fill="FFFFFF"/>
        <w:jc w:val="both"/>
        <w:rPr>
          <w:color w:val="000000"/>
          <w:sz w:val="27"/>
          <w:szCs w:val="27"/>
        </w:rPr>
      </w:pPr>
      <w:r w:rsidRPr="00905A2F">
        <w:rPr>
          <w:color w:val="000000"/>
          <w:sz w:val="27"/>
          <w:szCs w:val="27"/>
        </w:rPr>
        <w:t> </w:t>
      </w:r>
    </w:p>
    <w:p w14:paraId="5CF7B4A2" w14:textId="77777777" w:rsidR="006A3875" w:rsidRPr="00905A2F" w:rsidRDefault="006A3875" w:rsidP="006A3875">
      <w:pPr>
        <w:suppressLineNumbers/>
        <w:shd w:val="clear" w:color="auto" w:fill="FFFFFF"/>
        <w:spacing w:line="480" w:lineRule="auto"/>
        <w:jc w:val="both"/>
        <w:rPr>
          <w:color w:val="000000"/>
          <w:sz w:val="27"/>
          <w:szCs w:val="27"/>
        </w:rPr>
      </w:pPr>
      <w:r w:rsidRPr="00905A2F">
        <w:rPr>
          <w:color w:val="000000"/>
          <w:u w:val="single"/>
        </w:rPr>
        <w:t>Be it enacted by the Council as follows:</w:t>
      </w:r>
    </w:p>
    <w:p w14:paraId="25D99840" w14:textId="77777777" w:rsidR="006A3875" w:rsidRPr="004C7974" w:rsidRDefault="006A3875" w:rsidP="006A3875">
      <w:pPr>
        <w:shd w:val="clear" w:color="auto" w:fill="FFFFFF"/>
        <w:spacing w:line="480" w:lineRule="auto"/>
        <w:ind w:firstLine="720"/>
        <w:jc w:val="both"/>
        <w:rPr>
          <w:color w:val="000000"/>
          <w:sz w:val="27"/>
          <w:szCs w:val="27"/>
        </w:rPr>
      </w:pPr>
      <w:r w:rsidRPr="004C7974">
        <w:rPr>
          <w:color w:val="000000"/>
        </w:rPr>
        <w:t>Section 1.  Chapter 1 of title 9 of the administrative code of the city of New York is amended by adding a new section 9-1</w:t>
      </w:r>
      <w:r>
        <w:rPr>
          <w:color w:val="000000"/>
        </w:rPr>
        <w:t>63</w:t>
      </w:r>
      <w:r w:rsidRPr="004C7974">
        <w:rPr>
          <w:color w:val="000000"/>
        </w:rPr>
        <w:t> to read as follows:   </w:t>
      </w:r>
    </w:p>
    <w:p w14:paraId="27B28A38" w14:textId="77777777" w:rsidR="006A3875" w:rsidRDefault="006A3875" w:rsidP="006A3875">
      <w:pPr>
        <w:shd w:val="clear" w:color="auto" w:fill="FFFFFF"/>
        <w:spacing w:line="480" w:lineRule="auto"/>
        <w:ind w:firstLine="720"/>
        <w:jc w:val="both"/>
        <w:rPr>
          <w:color w:val="000000"/>
          <w:u w:val="single"/>
        </w:rPr>
      </w:pPr>
      <w:r w:rsidRPr="0065009B">
        <w:rPr>
          <w:color w:val="000000"/>
          <w:u w:val="single"/>
        </w:rPr>
        <w:t>§ 9-1</w:t>
      </w:r>
      <w:r>
        <w:rPr>
          <w:color w:val="000000"/>
          <w:u w:val="single"/>
        </w:rPr>
        <w:t>63</w:t>
      </w:r>
      <w:r w:rsidRPr="0065009B">
        <w:rPr>
          <w:color w:val="000000"/>
          <w:u w:val="single"/>
        </w:rPr>
        <w:t xml:space="preserve"> </w:t>
      </w:r>
      <w:r>
        <w:rPr>
          <w:color w:val="000000"/>
          <w:u w:val="single"/>
        </w:rPr>
        <w:t>Gender specific doctors</w:t>
      </w:r>
      <w:r w:rsidRPr="0065009B">
        <w:rPr>
          <w:color w:val="000000"/>
          <w:u w:val="single"/>
        </w:rPr>
        <w:t xml:space="preserve">. </w:t>
      </w:r>
      <w:r>
        <w:rPr>
          <w:color w:val="000000"/>
          <w:u w:val="single"/>
        </w:rPr>
        <w:t>Any</w:t>
      </w:r>
      <w:r w:rsidRPr="00BB29C4">
        <w:rPr>
          <w:color w:val="000000"/>
          <w:u w:val="single"/>
        </w:rPr>
        <w:t xml:space="preserve"> </w:t>
      </w:r>
      <w:r>
        <w:rPr>
          <w:color w:val="000000"/>
          <w:u w:val="single"/>
        </w:rPr>
        <w:t>incarcerated individual in the custody of the department who requests a physician of such incarcerated individual’s gender shall be treated by such physician unless so providing would substantially impact the safety or security of such individual, in which case such request must be fulfilled after such safety or security risk has abated</w:t>
      </w:r>
      <w:r w:rsidRPr="00BB29C4">
        <w:rPr>
          <w:color w:val="000000"/>
          <w:u w:val="single"/>
        </w:rPr>
        <w:t>.</w:t>
      </w:r>
      <w:r>
        <w:rPr>
          <w:color w:val="000000"/>
          <w:u w:val="single"/>
        </w:rPr>
        <w:t xml:space="preserve"> For the purposes of this section, the term “gender” has the same meaning as that set forth in section 8-102.</w:t>
      </w:r>
    </w:p>
    <w:p w14:paraId="076D5E50" w14:textId="77777777" w:rsidR="006A3875" w:rsidRPr="005A6309" w:rsidRDefault="006A3875" w:rsidP="006A3875">
      <w:pPr>
        <w:shd w:val="clear" w:color="auto" w:fill="FFFFFF"/>
        <w:spacing w:line="480" w:lineRule="auto"/>
        <w:ind w:firstLine="720"/>
        <w:jc w:val="both"/>
        <w:rPr>
          <w:color w:val="000000"/>
          <w:u w:val="single"/>
        </w:rPr>
      </w:pPr>
      <w:r w:rsidRPr="00E911E0">
        <w:rPr>
          <w:color w:val="000000"/>
        </w:rPr>
        <w:t>§ 2. This local law take</w:t>
      </w:r>
      <w:r>
        <w:rPr>
          <w:color w:val="000000"/>
        </w:rPr>
        <w:t>s effect immediately.</w:t>
      </w:r>
    </w:p>
    <w:p w14:paraId="09C7DFFC" w14:textId="77777777" w:rsidR="006A3875" w:rsidRDefault="006A3875" w:rsidP="006A3875">
      <w:pPr>
        <w:pStyle w:val="NoSpacing"/>
        <w:suppressLineNumbers/>
        <w:rPr>
          <w:sz w:val="20"/>
          <w:u w:val="single"/>
        </w:rPr>
      </w:pPr>
    </w:p>
    <w:p w14:paraId="53E86D82" w14:textId="77777777" w:rsidR="006A3875" w:rsidRDefault="006A3875" w:rsidP="006A3875">
      <w:pPr>
        <w:pStyle w:val="NoSpacing"/>
        <w:suppressLineNumbers/>
        <w:rPr>
          <w:sz w:val="20"/>
          <w:u w:val="single"/>
        </w:rPr>
      </w:pPr>
    </w:p>
    <w:p w14:paraId="16BDFF74" w14:textId="77777777" w:rsidR="006A3875" w:rsidRDefault="006A3875" w:rsidP="006A3875">
      <w:pPr>
        <w:pStyle w:val="NoSpacing"/>
        <w:suppressLineNumbers/>
        <w:rPr>
          <w:sz w:val="20"/>
          <w:u w:val="single"/>
        </w:rPr>
      </w:pPr>
    </w:p>
    <w:p w14:paraId="11FDB5D9" w14:textId="77777777" w:rsidR="006A3875" w:rsidRDefault="006A3875" w:rsidP="006A3875">
      <w:pPr>
        <w:pStyle w:val="NoSpacing"/>
        <w:suppressLineNumbers/>
        <w:rPr>
          <w:sz w:val="20"/>
          <w:u w:val="single"/>
        </w:rPr>
      </w:pPr>
    </w:p>
    <w:p w14:paraId="4D35FBDB" w14:textId="77777777" w:rsidR="006A3875" w:rsidRPr="00436D0B" w:rsidRDefault="006A3875" w:rsidP="006A3875">
      <w:pPr>
        <w:pStyle w:val="NoSpacing"/>
        <w:suppressLineNumbers/>
        <w:rPr>
          <w:sz w:val="20"/>
          <w:u w:val="single"/>
        </w:rPr>
      </w:pPr>
      <w:r w:rsidRPr="00436D0B">
        <w:rPr>
          <w:sz w:val="20"/>
          <w:u w:val="single"/>
        </w:rPr>
        <w:t>Session 12</w:t>
      </w:r>
    </w:p>
    <w:p w14:paraId="2B0BD8FA" w14:textId="77777777" w:rsidR="006A3875" w:rsidRPr="00436D0B" w:rsidRDefault="006A3875" w:rsidP="006A3875">
      <w:pPr>
        <w:pStyle w:val="NoSpacing"/>
        <w:suppressLineNumbers/>
        <w:rPr>
          <w:sz w:val="20"/>
        </w:rPr>
      </w:pPr>
      <w:r w:rsidRPr="00436D0B">
        <w:rPr>
          <w:sz w:val="20"/>
        </w:rPr>
        <w:t>AM</w:t>
      </w:r>
    </w:p>
    <w:p w14:paraId="008FAF30" w14:textId="77777777" w:rsidR="006A3875" w:rsidRPr="00436D0B" w:rsidRDefault="006A3875" w:rsidP="006A3875">
      <w:pPr>
        <w:pStyle w:val="NoSpacing"/>
        <w:suppressLineNumbers/>
        <w:rPr>
          <w:sz w:val="20"/>
        </w:rPr>
      </w:pPr>
      <w:r w:rsidRPr="00436D0B">
        <w:rPr>
          <w:sz w:val="20"/>
        </w:rPr>
        <w:t xml:space="preserve">LS # </w:t>
      </w:r>
      <w:r>
        <w:rPr>
          <w:sz w:val="20"/>
        </w:rPr>
        <w:t>7782</w:t>
      </w:r>
    </w:p>
    <w:p w14:paraId="2340790A" w14:textId="77777777" w:rsidR="006A3875" w:rsidRPr="00436D0B" w:rsidRDefault="006A3875" w:rsidP="006A3875">
      <w:pPr>
        <w:pStyle w:val="NoSpacing"/>
        <w:suppressLineNumbers/>
        <w:rPr>
          <w:sz w:val="20"/>
        </w:rPr>
      </w:pPr>
      <w:r>
        <w:rPr>
          <w:sz w:val="20"/>
        </w:rPr>
        <w:t>3/31/22</w:t>
      </w:r>
    </w:p>
    <w:p w14:paraId="7B703BBD" w14:textId="77777777" w:rsidR="006A3875" w:rsidRPr="00436D0B" w:rsidRDefault="006A3875" w:rsidP="006A3875">
      <w:pPr>
        <w:pStyle w:val="NoSpacing"/>
        <w:suppressLineNumbers/>
        <w:rPr>
          <w:sz w:val="20"/>
        </w:rPr>
      </w:pPr>
    </w:p>
    <w:p w14:paraId="1BB0B577" w14:textId="77777777" w:rsidR="006A3875" w:rsidRPr="00436D0B" w:rsidRDefault="006A3875" w:rsidP="006A3875">
      <w:pPr>
        <w:pStyle w:val="NoSpacing"/>
        <w:suppressLineNumbers/>
        <w:rPr>
          <w:sz w:val="20"/>
          <w:u w:val="single"/>
        </w:rPr>
      </w:pPr>
      <w:r w:rsidRPr="00436D0B">
        <w:rPr>
          <w:sz w:val="20"/>
          <w:u w:val="single"/>
        </w:rPr>
        <w:t>Session 11</w:t>
      </w:r>
    </w:p>
    <w:p w14:paraId="652E5265" w14:textId="77777777" w:rsidR="006A3875" w:rsidRPr="00436D0B" w:rsidRDefault="006A3875" w:rsidP="006A3875">
      <w:pPr>
        <w:pStyle w:val="NoSpacing"/>
        <w:suppressLineNumbers/>
        <w:rPr>
          <w:sz w:val="20"/>
        </w:rPr>
      </w:pPr>
      <w:r>
        <w:rPr>
          <w:sz w:val="20"/>
        </w:rPr>
        <w:t>BC</w:t>
      </w:r>
    </w:p>
    <w:p w14:paraId="3D1BE76D" w14:textId="77777777" w:rsidR="006A3875" w:rsidRPr="00436D0B" w:rsidRDefault="006A3875" w:rsidP="006A3875">
      <w:pPr>
        <w:pStyle w:val="NoSpacing"/>
        <w:suppressLineNumbers/>
        <w:rPr>
          <w:sz w:val="20"/>
        </w:rPr>
      </w:pPr>
      <w:r>
        <w:rPr>
          <w:sz w:val="20"/>
        </w:rPr>
        <w:t>LS # 3165</w:t>
      </w:r>
    </w:p>
    <w:p w14:paraId="728A084D" w14:textId="77777777" w:rsidR="006A3875" w:rsidRPr="005048EF" w:rsidRDefault="006A3875" w:rsidP="006A3875">
      <w:pPr>
        <w:pStyle w:val="NoSpacing"/>
        <w:suppressLineNumbers/>
        <w:rPr>
          <w:sz w:val="20"/>
        </w:rPr>
      </w:pPr>
      <w:r>
        <w:rPr>
          <w:sz w:val="20"/>
        </w:rPr>
        <w:t>Int. # 65 – 2018</w:t>
      </w:r>
    </w:p>
    <w:p w14:paraId="248EBD62" w14:textId="54959AC0" w:rsidR="00556388" w:rsidRPr="006713BF" w:rsidRDefault="00556388" w:rsidP="006A3875">
      <w:pPr>
        <w:spacing w:line="480" w:lineRule="auto"/>
        <w:jc w:val="both"/>
      </w:pPr>
    </w:p>
    <w:p w14:paraId="21A89AE4" w14:textId="5C4AE043" w:rsidR="00556388" w:rsidRPr="006713BF" w:rsidRDefault="00556388" w:rsidP="00556388">
      <w:pPr>
        <w:spacing w:line="480" w:lineRule="auto"/>
        <w:ind w:firstLine="720"/>
        <w:jc w:val="both"/>
      </w:pPr>
    </w:p>
    <w:p w14:paraId="0C0F7C07" w14:textId="4915D323" w:rsidR="00556388" w:rsidRPr="00AC76DF" w:rsidRDefault="00556388" w:rsidP="00CA56E4">
      <w:pPr>
        <w:spacing w:line="48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5A6B35" w:rsidRPr="00AC76DF" w14:paraId="21DC430C" w14:textId="77777777" w:rsidTr="005A6B35">
        <w:trPr>
          <w:tblCellSpacing w:w="0" w:type="dxa"/>
        </w:trPr>
        <w:tc>
          <w:tcPr>
            <w:tcW w:w="0" w:type="auto"/>
            <w:shd w:val="clear" w:color="auto" w:fill="FFFFFF"/>
            <w:vAlign w:val="center"/>
            <w:hideMark/>
          </w:tcPr>
          <w:p w14:paraId="3E621465" w14:textId="27A16547" w:rsidR="005A6B35" w:rsidRPr="00CA56E4" w:rsidRDefault="005A6B35" w:rsidP="005A6B35">
            <w:pPr>
              <w:shd w:val="clear" w:color="auto" w:fill="FFFFFF"/>
              <w:jc w:val="center"/>
              <w:rPr>
                <w:color w:val="000000"/>
                <w:sz w:val="27"/>
                <w:szCs w:val="27"/>
              </w:rPr>
            </w:pPr>
            <w:r w:rsidRPr="00AC76DF">
              <w:rPr>
                <w:color w:val="000000"/>
              </w:rPr>
              <w:t>Int. No.</w:t>
            </w:r>
            <w:r w:rsidR="002C7DCA" w:rsidRPr="00AC76DF">
              <w:rPr>
                <w:color w:val="000000"/>
              </w:rPr>
              <w:t xml:space="preserve"> 728</w:t>
            </w:r>
          </w:p>
          <w:p w14:paraId="53B5476C" w14:textId="77777777" w:rsidR="005A6B35" w:rsidRPr="00CA56E4" w:rsidRDefault="005A6B35" w:rsidP="005A6B35">
            <w:pPr>
              <w:shd w:val="clear" w:color="auto" w:fill="FFFFFF"/>
              <w:rPr>
                <w:color w:val="000000"/>
                <w:sz w:val="27"/>
                <w:szCs w:val="27"/>
              </w:rPr>
            </w:pPr>
            <w:r w:rsidRPr="00AC76DF">
              <w:rPr>
                <w:color w:val="000000"/>
                <w:sz w:val="27"/>
                <w:szCs w:val="27"/>
              </w:rPr>
              <w:t> </w:t>
            </w:r>
          </w:p>
          <w:p w14:paraId="6C81E72D" w14:textId="0E683B54" w:rsidR="005A6B35" w:rsidRPr="00CA56E4" w:rsidRDefault="005A6B35" w:rsidP="005A6B35">
            <w:pPr>
              <w:shd w:val="clear" w:color="auto" w:fill="FFFFFF"/>
              <w:jc w:val="both"/>
              <w:rPr>
                <w:color w:val="000000"/>
                <w:sz w:val="27"/>
                <w:szCs w:val="27"/>
              </w:rPr>
            </w:pPr>
            <w:r w:rsidRPr="00AC76DF">
              <w:rPr>
                <w:color w:val="000000"/>
              </w:rPr>
              <w:t>By Council Members Powers, Cabán, Rivera, Hanif, Brewer, Restler, Hudson, Ung, Joseph, Abreu</w:t>
            </w:r>
            <w:r w:rsidR="000F1D70" w:rsidRPr="00AC76DF">
              <w:rPr>
                <w:color w:val="000000"/>
              </w:rPr>
              <w:t xml:space="preserve">, </w:t>
            </w:r>
            <w:r w:rsidRPr="00AC76DF">
              <w:rPr>
                <w:color w:val="000000"/>
              </w:rPr>
              <w:t>Avilés</w:t>
            </w:r>
            <w:r w:rsidR="000F1D70" w:rsidRPr="00AC76DF">
              <w:rPr>
                <w:szCs w:val="23"/>
              </w:rPr>
              <w:t xml:space="preserve">, </w:t>
            </w:r>
            <w:r w:rsidR="000F1D70" w:rsidRPr="00E15714">
              <w:rPr>
                <w:szCs w:val="23"/>
              </w:rPr>
              <w:t>Ossé</w:t>
            </w:r>
            <w:r w:rsidR="000F1D70" w:rsidRPr="00891778">
              <w:rPr>
                <w:szCs w:val="23"/>
              </w:rPr>
              <w:t xml:space="preserve"> and Sanchez</w:t>
            </w:r>
          </w:p>
          <w:p w14:paraId="4E8EAD98" w14:textId="77777777" w:rsidR="005A6B35" w:rsidRPr="00CA56E4" w:rsidRDefault="005A6B35" w:rsidP="005A6B35">
            <w:pPr>
              <w:shd w:val="clear" w:color="auto" w:fill="FFFFFF"/>
              <w:jc w:val="both"/>
              <w:rPr>
                <w:color w:val="000000"/>
                <w:sz w:val="27"/>
                <w:szCs w:val="27"/>
              </w:rPr>
            </w:pPr>
            <w:r w:rsidRPr="00AC76DF">
              <w:rPr>
                <w:color w:val="000000"/>
              </w:rPr>
              <w:t> </w:t>
            </w:r>
          </w:p>
          <w:p w14:paraId="52A690FC" w14:textId="77777777" w:rsidR="005A6B35" w:rsidRPr="00CA56E4" w:rsidRDefault="005A6B35" w:rsidP="005A6B35">
            <w:pPr>
              <w:shd w:val="clear" w:color="auto" w:fill="FFFFFF"/>
              <w:jc w:val="both"/>
              <w:rPr>
                <w:color w:val="000000"/>
                <w:sz w:val="27"/>
                <w:szCs w:val="27"/>
              </w:rPr>
            </w:pPr>
            <w:r w:rsidRPr="00AC76DF">
              <w:rPr>
                <w:color w:val="000000"/>
              </w:rPr>
              <w:t>A Local Law to amend the administrative code of the city of New York, in relation to housing decisions for transgender, gender nonconforming and intersex individuals</w:t>
            </w:r>
          </w:p>
          <w:p w14:paraId="5B14FB8C" w14:textId="77777777" w:rsidR="005A6B35" w:rsidRPr="00CA56E4" w:rsidRDefault="005A6B35" w:rsidP="005A6B35">
            <w:pPr>
              <w:shd w:val="clear" w:color="auto" w:fill="FFFFFF"/>
              <w:jc w:val="both"/>
              <w:rPr>
                <w:color w:val="000000"/>
                <w:sz w:val="27"/>
                <w:szCs w:val="27"/>
              </w:rPr>
            </w:pPr>
            <w:r w:rsidRPr="00AC76DF">
              <w:rPr>
                <w:color w:val="000000"/>
              </w:rPr>
              <w:t> </w:t>
            </w:r>
          </w:p>
          <w:p w14:paraId="4F030832" w14:textId="77777777" w:rsidR="005A6B35" w:rsidRPr="00CA56E4" w:rsidRDefault="005A6B35" w:rsidP="005A6B35">
            <w:pPr>
              <w:shd w:val="clear" w:color="auto" w:fill="FFFFFF"/>
              <w:spacing w:line="480" w:lineRule="auto"/>
              <w:jc w:val="both"/>
              <w:rPr>
                <w:color w:val="000000"/>
                <w:sz w:val="27"/>
                <w:szCs w:val="27"/>
              </w:rPr>
            </w:pPr>
            <w:r w:rsidRPr="00AC76DF">
              <w:rPr>
                <w:color w:val="000000"/>
                <w:u w:val="single"/>
              </w:rPr>
              <w:t>Be it enacted by the Council as follows:</w:t>
            </w:r>
          </w:p>
          <w:p w14:paraId="425E33F1"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rPr>
              <w:t>Section 1. Chapter 1 of title 9 of the administrative code of the city of New York is amended by adding a new section 9-163 to read as follows:</w:t>
            </w:r>
          </w:p>
          <w:p w14:paraId="32FB6CDC"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9-163 Housing requests related to gender identity. a. Definitions. For the purposes of this section, the following terms have the following meanings:</w:t>
            </w:r>
          </w:p>
          <w:p w14:paraId="728BF242" w14:textId="329AACCA" w:rsidR="005A6B35" w:rsidRPr="00CA56E4" w:rsidRDefault="005A6B35" w:rsidP="005A6B35">
            <w:pPr>
              <w:shd w:val="clear" w:color="auto" w:fill="FFFFFF"/>
              <w:spacing w:line="480" w:lineRule="auto"/>
              <w:jc w:val="both"/>
              <w:rPr>
                <w:color w:val="000000"/>
                <w:sz w:val="27"/>
                <w:szCs w:val="27"/>
              </w:rPr>
            </w:pPr>
            <w:r w:rsidRPr="00AC76DF">
              <w:rPr>
                <w:color w:val="000000"/>
                <w:sz w:val="14"/>
                <w:szCs w:val="14"/>
              </w:rPr>
              <w:t>                     </w:t>
            </w:r>
            <w:r w:rsidRPr="00AC76DF">
              <w:rPr>
                <w:color w:val="000000"/>
                <w:u w:val="single"/>
              </w:rPr>
              <w:t xml:space="preserve">Gender identity. The term </w:t>
            </w:r>
            <w:r w:rsidR="005C5164" w:rsidRPr="00AC76DF">
              <w:rPr>
                <w:color w:val="000000"/>
                <w:u w:val="single"/>
              </w:rPr>
              <w:t>"</w:t>
            </w:r>
            <w:r w:rsidRPr="00AC76DF">
              <w:rPr>
                <w:color w:val="000000"/>
                <w:u w:val="single"/>
              </w:rPr>
              <w:t>gender identity</w:t>
            </w:r>
            <w:r w:rsidR="005C5164" w:rsidRPr="00AC76DF">
              <w:rPr>
                <w:color w:val="000000"/>
                <w:u w:val="single"/>
              </w:rPr>
              <w:t>"</w:t>
            </w:r>
            <w:r w:rsidRPr="00AC76DF">
              <w:rPr>
                <w:color w:val="000000"/>
                <w:u w:val="single"/>
              </w:rPr>
              <w:t xml:space="preserve"> means a person</w:t>
            </w:r>
            <w:r w:rsidR="005C5164" w:rsidRPr="00AC76DF">
              <w:rPr>
                <w:color w:val="000000"/>
                <w:u w:val="single"/>
              </w:rPr>
              <w:t>'</w:t>
            </w:r>
            <w:r w:rsidRPr="00AC76DF">
              <w:rPr>
                <w:color w:val="000000"/>
                <w:u w:val="single"/>
              </w:rPr>
              <w:t>s sense of their own gender which may be the same as or different from their sex assigned at birth</w:t>
            </w:r>
          </w:p>
          <w:p w14:paraId="7DD9D2F9" w14:textId="4404039A"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Gender nonconforming. The term </w:t>
            </w:r>
            <w:r w:rsidR="005C5164" w:rsidRPr="00AC76DF">
              <w:rPr>
                <w:color w:val="000000"/>
                <w:u w:val="single"/>
              </w:rPr>
              <w:t>"</w:t>
            </w:r>
            <w:r w:rsidRPr="00AC76DF">
              <w:rPr>
                <w:color w:val="000000"/>
                <w:u w:val="single"/>
              </w:rPr>
              <w:t>gender nonconforming</w:t>
            </w:r>
            <w:r w:rsidR="005C5164" w:rsidRPr="00AC76DF">
              <w:rPr>
                <w:color w:val="000000"/>
                <w:u w:val="single"/>
              </w:rPr>
              <w:t>"</w:t>
            </w:r>
            <w:r w:rsidRPr="00AC76DF">
              <w:rPr>
                <w:color w:val="000000"/>
                <w:u w:val="single"/>
              </w:rPr>
              <w:t xml:space="preserve"> means a person whose behavior or appearance does not conform to the traditional expectations of their gender, which includes a person who is transgender.</w:t>
            </w:r>
          </w:p>
          <w:p w14:paraId="287F842F" w14:textId="245B8FD6"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Intersex. The term </w:t>
            </w:r>
            <w:r w:rsidR="005C5164" w:rsidRPr="00AC76DF">
              <w:rPr>
                <w:color w:val="000000"/>
                <w:u w:val="single"/>
              </w:rPr>
              <w:t>"</w:t>
            </w:r>
            <w:r w:rsidRPr="00AC76DF">
              <w:rPr>
                <w:color w:val="000000"/>
                <w:u w:val="single"/>
              </w:rPr>
              <w:t>intersex</w:t>
            </w:r>
            <w:r w:rsidR="005C5164" w:rsidRPr="00AC76DF">
              <w:rPr>
                <w:color w:val="000000"/>
                <w:u w:val="single"/>
              </w:rPr>
              <w:t>"</w:t>
            </w:r>
            <w:r w:rsidRPr="00AC76DF">
              <w:rPr>
                <w:color w:val="000000"/>
                <w:u w:val="single"/>
              </w:rPr>
              <w:t xml:space="preserve"> refers to a person whose physical sex characteristics do not conform to a binary construction of sex as either male or female.</w:t>
            </w:r>
          </w:p>
          <w:p w14:paraId="3EFEBDF0" w14:textId="398A3590"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Transgender. The term </w:t>
            </w:r>
            <w:r w:rsidR="005C5164" w:rsidRPr="00AC76DF">
              <w:rPr>
                <w:color w:val="000000"/>
                <w:u w:val="single"/>
              </w:rPr>
              <w:t>"</w:t>
            </w:r>
            <w:r w:rsidRPr="00AC76DF">
              <w:rPr>
                <w:color w:val="000000"/>
                <w:u w:val="single"/>
              </w:rPr>
              <w:t>transgender</w:t>
            </w:r>
            <w:r w:rsidR="005C5164" w:rsidRPr="00AC76DF">
              <w:rPr>
                <w:color w:val="000000"/>
                <w:u w:val="single"/>
              </w:rPr>
              <w:t>"</w:t>
            </w:r>
            <w:r w:rsidRPr="00AC76DF">
              <w:rPr>
                <w:color w:val="000000"/>
                <w:u w:val="single"/>
              </w:rPr>
              <w:t xml:space="preserve"> refers to a person whose gender identity does not conform to the sex assigned at birth.</w:t>
            </w:r>
          </w:p>
          <w:p w14:paraId="4DC9893D" w14:textId="4EDBA9A8"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b. Subject to section 115 of title 28 of the code of federal regulations, the </w:t>
            </w:r>
            <w:r w:rsidR="005C5164" w:rsidRPr="00AC76DF">
              <w:rPr>
                <w:color w:val="000000"/>
                <w:u w:val="single"/>
              </w:rPr>
              <w:t>D</w:t>
            </w:r>
            <w:r w:rsidRPr="00AC76DF">
              <w:rPr>
                <w:color w:val="000000"/>
                <w:u w:val="single"/>
              </w:rPr>
              <w:t xml:space="preserve">epartment shall assess all incarcerated individuals during an intake screening and upon transfer to another facility for their risk of being sexually abused by other incarcerated individuals or sexually abusive toward other incarcerated individuals. The </w:t>
            </w:r>
            <w:r w:rsidR="005C5164" w:rsidRPr="00AC76DF">
              <w:rPr>
                <w:color w:val="000000"/>
                <w:u w:val="single"/>
              </w:rPr>
              <w:t>D</w:t>
            </w:r>
            <w:r w:rsidRPr="00AC76DF">
              <w:rPr>
                <w:color w:val="000000"/>
                <w:u w:val="single"/>
              </w:rPr>
              <w:t>epartment shall consider, at minimum, the following criteria to assess incarcerated individuals for risk of sexual victimization:</w:t>
            </w:r>
          </w:p>
          <w:p w14:paraId="47A2B5F6"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1. Whether the incarcerated individual has a mental, physical or developmental disability;</w:t>
            </w:r>
          </w:p>
          <w:p w14:paraId="482B7F2D"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2. The age of the incarcerated individual;</w:t>
            </w:r>
          </w:p>
          <w:p w14:paraId="47BAAEE6"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3. The physical build of the incarcerated individual;</w:t>
            </w:r>
          </w:p>
          <w:p w14:paraId="5FD48751"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4. Whether the incarcerated individual has previously been incarcerated;</w:t>
            </w:r>
          </w:p>
          <w:p w14:paraId="77581F7D" w14:textId="72271258"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5. Whether the incarcerated individual</w:t>
            </w:r>
            <w:r w:rsidR="005C5164" w:rsidRPr="00AC76DF">
              <w:rPr>
                <w:color w:val="000000"/>
                <w:u w:val="single"/>
              </w:rPr>
              <w:t>'</w:t>
            </w:r>
            <w:r w:rsidRPr="00AC76DF">
              <w:rPr>
                <w:color w:val="000000"/>
                <w:u w:val="single"/>
              </w:rPr>
              <w:t>s criminal history is exclusively nonviolent;</w:t>
            </w:r>
          </w:p>
          <w:p w14:paraId="0ABD024A"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6. Whether the incarcerated individual has prior convictions for sex offenses against an adult or child;</w:t>
            </w:r>
          </w:p>
          <w:p w14:paraId="100D7860"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7. Whether the incarcerated individual is or is perceived to be gay, lesbian, bisexual, transgender, intersex or gender nonconforming;</w:t>
            </w:r>
          </w:p>
          <w:p w14:paraId="6FCFA3C9"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8. Whether the incarcerated individual has previously experienced sexual victimization;</w:t>
            </w:r>
          </w:p>
          <w:p w14:paraId="0BCB369B" w14:textId="2986D759"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9. The incarcerated individual</w:t>
            </w:r>
            <w:r w:rsidR="005C5164" w:rsidRPr="00AC76DF">
              <w:rPr>
                <w:color w:val="000000"/>
                <w:u w:val="single"/>
              </w:rPr>
              <w:t>'</w:t>
            </w:r>
            <w:r w:rsidRPr="00AC76DF">
              <w:rPr>
                <w:color w:val="000000"/>
                <w:u w:val="single"/>
              </w:rPr>
              <w:t>s own perception of vulnerability; and</w:t>
            </w:r>
          </w:p>
          <w:p w14:paraId="0DFA9108"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10. Whether the incarcerated individual is detained solely for civil immigration purposes.</w:t>
            </w:r>
          </w:p>
          <w:p w14:paraId="609AA6A3" w14:textId="34D14E12"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c. Subject to section 115 of title 28 of the code of federal regulations, the </w:t>
            </w:r>
            <w:r w:rsidR="005C5164" w:rsidRPr="00AC76DF">
              <w:rPr>
                <w:color w:val="000000"/>
                <w:u w:val="single"/>
              </w:rPr>
              <w:t>D</w:t>
            </w:r>
            <w:r w:rsidRPr="00AC76DF">
              <w:rPr>
                <w:color w:val="000000"/>
                <w:u w:val="single"/>
              </w:rPr>
              <w:t xml:space="preserve">epartment shall establish a process for transgender, intersex and gender nonconforming individuals to self-identify as such during intake and to use such self-identification to make housing and programming assignments on an individualized basis. In determining such housing and programming assignments, the </w:t>
            </w:r>
            <w:r w:rsidR="005C5164" w:rsidRPr="00AC76DF">
              <w:rPr>
                <w:color w:val="000000"/>
                <w:u w:val="single"/>
              </w:rPr>
              <w:t>D</w:t>
            </w:r>
            <w:r w:rsidRPr="00AC76DF">
              <w:rPr>
                <w:color w:val="000000"/>
                <w:u w:val="single"/>
              </w:rPr>
              <w:t>epartment shall consider whether a placement would ensure the incarcerated individual</w:t>
            </w:r>
            <w:r w:rsidR="005C5164" w:rsidRPr="00AC76DF">
              <w:rPr>
                <w:color w:val="000000"/>
                <w:u w:val="single"/>
              </w:rPr>
              <w:t>'</w:t>
            </w:r>
            <w:r w:rsidRPr="00AC76DF">
              <w:rPr>
                <w:color w:val="000000"/>
                <w:u w:val="single"/>
              </w:rPr>
              <w:t xml:space="preserve">s health and safety and whether the placement would present management or security problems. The </w:t>
            </w:r>
            <w:r w:rsidR="005C5164" w:rsidRPr="00AC76DF">
              <w:rPr>
                <w:color w:val="000000"/>
                <w:u w:val="single"/>
              </w:rPr>
              <w:t>D</w:t>
            </w:r>
            <w:r w:rsidRPr="00AC76DF">
              <w:rPr>
                <w:color w:val="000000"/>
                <w:u w:val="single"/>
              </w:rPr>
              <w:t>epartment shall not prevent incarcerated individuals from identifying as transgender, intersex or gender nonconforming solely because of classification as a different gender while previously incarcerated or because of the absence of documents indicating medical transition.</w:t>
            </w:r>
          </w:p>
          <w:p w14:paraId="27F7A70A" w14:textId="1073B285"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d. Subject to section 115 of title 28 of the code of federal regulations, the </w:t>
            </w:r>
            <w:r w:rsidR="005C5164" w:rsidRPr="00AC76DF">
              <w:rPr>
                <w:color w:val="000000"/>
                <w:u w:val="single"/>
              </w:rPr>
              <w:t>D</w:t>
            </w:r>
            <w:r w:rsidRPr="00AC76DF">
              <w:rPr>
                <w:color w:val="000000"/>
                <w:u w:val="single"/>
              </w:rPr>
              <w:t xml:space="preserve">epartment shall establish a process for allowing transgender, intersex and gender nonconforming individuals who have requested entrance into a type of housing facility due to identifying as transgender, intersex or gender nonconforming to appeal denials of such requests. The </w:t>
            </w:r>
            <w:r w:rsidR="005C5164" w:rsidRPr="00AC76DF">
              <w:rPr>
                <w:color w:val="000000"/>
                <w:u w:val="single"/>
              </w:rPr>
              <w:t>D</w:t>
            </w:r>
            <w:r w:rsidRPr="00AC76DF">
              <w:rPr>
                <w:color w:val="000000"/>
                <w:u w:val="single"/>
              </w:rPr>
              <w:t>epartment shall maintain formal written procedures consistent with this policy and with the following provisions:</w:t>
            </w:r>
          </w:p>
          <w:p w14:paraId="62CFECB8" w14:textId="6E085E02"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1. The </w:t>
            </w:r>
            <w:r w:rsidR="005C5164" w:rsidRPr="00AC76DF">
              <w:rPr>
                <w:color w:val="000000"/>
                <w:u w:val="single"/>
              </w:rPr>
              <w:t>D</w:t>
            </w:r>
            <w:r w:rsidRPr="00AC76DF">
              <w:rPr>
                <w:color w:val="000000"/>
                <w:u w:val="single"/>
              </w:rPr>
              <w:t xml:space="preserve">epartment shall provide written notice to such individuals that such a determination may be appealed and shall describe the appeals process in plain and simple language. The </w:t>
            </w:r>
            <w:r w:rsidR="005C5164" w:rsidRPr="00AC76DF">
              <w:rPr>
                <w:color w:val="000000"/>
                <w:u w:val="single"/>
              </w:rPr>
              <w:t>D</w:t>
            </w:r>
            <w:r w:rsidRPr="00AC76DF">
              <w:rPr>
                <w:color w:val="000000"/>
                <w:u w:val="single"/>
              </w:rPr>
              <w:t>epartment shall ensure that such written notice is available in English and the designated citywide languages as defined in section 23-1101.</w:t>
            </w:r>
          </w:p>
          <w:p w14:paraId="5DB930A0" w14:textId="7341C1C6"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2. The </w:t>
            </w:r>
            <w:r w:rsidR="005C5164" w:rsidRPr="00AC76DF">
              <w:rPr>
                <w:color w:val="000000"/>
                <w:u w:val="single"/>
              </w:rPr>
              <w:t>D</w:t>
            </w:r>
            <w:r w:rsidRPr="00AC76DF">
              <w:rPr>
                <w:color w:val="000000"/>
                <w:u w:val="single"/>
              </w:rPr>
              <w:t>epartment shall create an appellate review board consisting of the commissioner of correction or their designee, the deputy commissioner responsible for determining housing classifications or their designee, and the vice president of correctional health services or their designee to review the initial decision. The appellate review board shall not include individuals who made the initial housing determinations.</w:t>
            </w:r>
          </w:p>
          <w:p w14:paraId="248B458A" w14:textId="48253D6A"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3. The </w:t>
            </w:r>
            <w:r w:rsidR="005C5164" w:rsidRPr="00AC76DF">
              <w:rPr>
                <w:color w:val="000000"/>
                <w:u w:val="single"/>
              </w:rPr>
              <w:t>D</w:t>
            </w:r>
            <w:r w:rsidRPr="00AC76DF">
              <w:rPr>
                <w:color w:val="000000"/>
                <w:u w:val="single"/>
              </w:rPr>
              <w:t>epartment shall immediately forward all appeals to the board of correction. The board of correction shall issue a written opinion within 24 hours of receipt of an appeal.</w:t>
            </w:r>
          </w:p>
          <w:p w14:paraId="0DF789B1"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4. The appellate review board shall issue a determination within 48 hours of receipt of any appeal and shall consider the written opinion of the board of correction in making its determination.</w:t>
            </w:r>
          </w:p>
          <w:p w14:paraId="6C69F482" w14:textId="1C824100"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5. Within 24 hours of making its determination, the appellate review board shall provide the incarcerated individual with a written copy of the determination specifying the facts and reasons underlying such determination. Whenever the appellate review board</w:t>
            </w:r>
            <w:r w:rsidR="005C5164" w:rsidRPr="00AC76DF">
              <w:rPr>
                <w:color w:val="000000"/>
                <w:u w:val="single"/>
              </w:rPr>
              <w:t>'</w:t>
            </w:r>
            <w:r w:rsidRPr="00AC76DF">
              <w:rPr>
                <w:color w:val="000000"/>
                <w:u w:val="single"/>
              </w:rPr>
              <w:t>s decision differs from the written opinion of the board of correction, the appellate review board shall explain why it did not follow the recommendation of the board of correction.</w:t>
            </w:r>
          </w:p>
          <w:p w14:paraId="37D61BAF" w14:textId="402E96E0"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6. The </w:t>
            </w:r>
            <w:r w:rsidR="005C5164" w:rsidRPr="00AC76DF">
              <w:rPr>
                <w:color w:val="000000"/>
                <w:u w:val="single"/>
              </w:rPr>
              <w:t>D</w:t>
            </w:r>
            <w:r w:rsidRPr="00AC76DF">
              <w:rPr>
                <w:color w:val="000000"/>
                <w:u w:val="single"/>
              </w:rPr>
              <w:t>epartment shall provide all written materials regarding the appeals process in English and the designated citywide languages as defined in section 23-1101 and shall ensure that incarcerated individuals are given any verbal assistance necessary to meaningfully understand such procedures.</w:t>
            </w:r>
          </w:p>
          <w:p w14:paraId="2BF0D72D"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rPr>
              <w:t>§ 2. Section 626 of the New York city charter, as amended by local law number 133 for the year 2019, is amended by adding a new subsection i to read as follows:</w:t>
            </w:r>
          </w:p>
          <w:p w14:paraId="517BA194" w14:textId="28536417" w:rsidR="005A6B35" w:rsidRPr="00CA56E4" w:rsidRDefault="005A6B35" w:rsidP="005A6B35">
            <w:pPr>
              <w:shd w:val="clear" w:color="auto" w:fill="FFFFFF"/>
              <w:spacing w:line="480" w:lineRule="auto"/>
              <w:ind w:firstLine="720"/>
              <w:jc w:val="both"/>
              <w:rPr>
                <w:color w:val="000000"/>
                <w:sz w:val="27"/>
                <w:szCs w:val="27"/>
              </w:rPr>
            </w:pPr>
            <w:r w:rsidRPr="00AC76DF">
              <w:rPr>
                <w:color w:val="000000"/>
                <w:u w:val="single"/>
              </w:rPr>
              <w:t xml:space="preserve">i. The board shall issue opinions to the </w:t>
            </w:r>
            <w:r w:rsidR="005C5164" w:rsidRPr="00AC76DF">
              <w:rPr>
                <w:color w:val="000000"/>
                <w:u w:val="single"/>
              </w:rPr>
              <w:t>D</w:t>
            </w:r>
            <w:r w:rsidRPr="00AC76DF">
              <w:rPr>
                <w:color w:val="000000"/>
                <w:u w:val="single"/>
              </w:rPr>
              <w:t>epartment regarding appeals of housing requests related to gender identity.</w:t>
            </w:r>
          </w:p>
          <w:p w14:paraId="0EF28881" w14:textId="77777777" w:rsidR="005A6B35" w:rsidRPr="00CA56E4" w:rsidRDefault="005A6B35" w:rsidP="005A6B35">
            <w:pPr>
              <w:shd w:val="clear" w:color="auto" w:fill="FFFFFF"/>
              <w:spacing w:line="480" w:lineRule="auto"/>
              <w:ind w:firstLine="720"/>
              <w:jc w:val="both"/>
              <w:rPr>
                <w:color w:val="000000"/>
                <w:sz w:val="27"/>
                <w:szCs w:val="27"/>
              </w:rPr>
            </w:pPr>
            <w:r w:rsidRPr="00AC76DF">
              <w:rPr>
                <w:color w:val="000000"/>
              </w:rPr>
              <w:t>§ 3. This local law takes effect 90 days after it becomes law.</w:t>
            </w:r>
          </w:p>
          <w:p w14:paraId="096B7942" w14:textId="77777777" w:rsidR="005A6B35" w:rsidRPr="00CA56E4" w:rsidRDefault="005A6B35" w:rsidP="005A6B35">
            <w:pPr>
              <w:shd w:val="clear" w:color="auto" w:fill="FFFFFF"/>
              <w:rPr>
                <w:color w:val="000000"/>
                <w:sz w:val="27"/>
                <w:szCs w:val="27"/>
              </w:rPr>
            </w:pPr>
            <w:r w:rsidRPr="00AC76DF">
              <w:rPr>
                <w:color w:val="000000"/>
                <w:sz w:val="20"/>
                <w:szCs w:val="20"/>
              </w:rPr>
              <w:t> </w:t>
            </w:r>
          </w:p>
          <w:p w14:paraId="7B179BE2" w14:textId="77777777" w:rsidR="005A6B35" w:rsidRPr="00CA56E4" w:rsidRDefault="005A6B35" w:rsidP="005A6B35">
            <w:pPr>
              <w:shd w:val="clear" w:color="auto" w:fill="FFFFFF"/>
              <w:rPr>
                <w:color w:val="000000"/>
                <w:sz w:val="27"/>
                <w:szCs w:val="27"/>
              </w:rPr>
            </w:pPr>
            <w:r w:rsidRPr="00AC76DF">
              <w:rPr>
                <w:color w:val="000000"/>
                <w:sz w:val="20"/>
                <w:szCs w:val="20"/>
              </w:rPr>
              <w:t> </w:t>
            </w:r>
          </w:p>
          <w:p w14:paraId="53C4352C" w14:textId="77777777" w:rsidR="005A6B35" w:rsidRPr="00CA56E4" w:rsidRDefault="005A6B35" w:rsidP="005A6B35">
            <w:pPr>
              <w:shd w:val="clear" w:color="auto" w:fill="FFFFFF"/>
              <w:rPr>
                <w:color w:val="000000"/>
                <w:sz w:val="27"/>
                <w:szCs w:val="27"/>
              </w:rPr>
            </w:pPr>
            <w:r w:rsidRPr="00AC76DF">
              <w:rPr>
                <w:color w:val="000000"/>
                <w:sz w:val="20"/>
                <w:szCs w:val="20"/>
              </w:rPr>
              <w:t> </w:t>
            </w:r>
          </w:p>
          <w:p w14:paraId="7E6223A2" w14:textId="4728F21E" w:rsidR="005A6B35" w:rsidRPr="00CA56E4" w:rsidRDefault="005A6B35" w:rsidP="005A6B35">
            <w:pPr>
              <w:shd w:val="clear" w:color="auto" w:fill="FFFFFF"/>
              <w:rPr>
                <w:color w:val="000000"/>
                <w:sz w:val="27"/>
                <w:szCs w:val="27"/>
              </w:rPr>
            </w:pPr>
            <w:r w:rsidRPr="00AC76DF">
              <w:rPr>
                <w:color w:val="000000"/>
                <w:sz w:val="20"/>
                <w:szCs w:val="20"/>
              </w:rPr>
              <w:t> </w:t>
            </w:r>
          </w:p>
          <w:p w14:paraId="15FDF36B" w14:textId="77777777" w:rsidR="005A6B35" w:rsidRPr="00CA56E4" w:rsidRDefault="005A6B35" w:rsidP="005A6B35">
            <w:pPr>
              <w:shd w:val="clear" w:color="auto" w:fill="FFFFFF"/>
              <w:rPr>
                <w:color w:val="000000"/>
                <w:sz w:val="27"/>
                <w:szCs w:val="27"/>
              </w:rPr>
            </w:pPr>
            <w:r w:rsidRPr="00AC76DF">
              <w:rPr>
                <w:color w:val="000000"/>
                <w:sz w:val="20"/>
                <w:szCs w:val="20"/>
              </w:rPr>
              <w:t> </w:t>
            </w:r>
          </w:p>
          <w:p w14:paraId="4A700332" w14:textId="77777777" w:rsidR="005A6B35" w:rsidRPr="00CA56E4" w:rsidRDefault="005A6B35" w:rsidP="005A6B35">
            <w:pPr>
              <w:shd w:val="clear" w:color="auto" w:fill="FFFFFF"/>
              <w:rPr>
                <w:color w:val="000000"/>
                <w:sz w:val="27"/>
                <w:szCs w:val="27"/>
              </w:rPr>
            </w:pPr>
            <w:r w:rsidRPr="00AC76DF">
              <w:rPr>
                <w:color w:val="000000"/>
                <w:sz w:val="20"/>
                <w:szCs w:val="20"/>
                <w:u w:val="single"/>
              </w:rPr>
              <w:t>Session 12</w:t>
            </w:r>
          </w:p>
          <w:p w14:paraId="46377F43" w14:textId="77777777" w:rsidR="005A6B35" w:rsidRPr="00CA56E4" w:rsidRDefault="005A6B35" w:rsidP="005A6B35">
            <w:pPr>
              <w:shd w:val="clear" w:color="auto" w:fill="FFFFFF"/>
              <w:rPr>
                <w:color w:val="000000"/>
                <w:sz w:val="27"/>
                <w:szCs w:val="27"/>
              </w:rPr>
            </w:pPr>
            <w:r w:rsidRPr="00AC76DF">
              <w:rPr>
                <w:color w:val="000000"/>
                <w:sz w:val="20"/>
                <w:szCs w:val="20"/>
              </w:rPr>
              <w:t>AM</w:t>
            </w:r>
          </w:p>
          <w:p w14:paraId="5A1A0EF8" w14:textId="77777777" w:rsidR="005A6B35" w:rsidRPr="00CA56E4" w:rsidRDefault="005A6B35" w:rsidP="005A6B35">
            <w:pPr>
              <w:shd w:val="clear" w:color="auto" w:fill="FFFFFF"/>
              <w:rPr>
                <w:color w:val="000000"/>
                <w:sz w:val="27"/>
                <w:szCs w:val="27"/>
              </w:rPr>
            </w:pPr>
            <w:r w:rsidRPr="00AC76DF">
              <w:rPr>
                <w:color w:val="000000"/>
                <w:sz w:val="20"/>
                <w:szCs w:val="20"/>
              </w:rPr>
              <w:t>LS # 8279/10322</w:t>
            </w:r>
          </w:p>
          <w:p w14:paraId="34BD33EF" w14:textId="77777777" w:rsidR="005A6B35" w:rsidRPr="00CA56E4" w:rsidRDefault="005A6B35" w:rsidP="005A6B35">
            <w:pPr>
              <w:shd w:val="clear" w:color="auto" w:fill="FFFFFF"/>
              <w:rPr>
                <w:color w:val="000000"/>
                <w:sz w:val="27"/>
                <w:szCs w:val="27"/>
              </w:rPr>
            </w:pPr>
            <w:r w:rsidRPr="00AC76DF">
              <w:rPr>
                <w:color w:val="000000"/>
                <w:sz w:val="20"/>
                <w:szCs w:val="20"/>
              </w:rPr>
              <w:t>7/26/22</w:t>
            </w:r>
          </w:p>
          <w:p w14:paraId="597E2A9E" w14:textId="77777777" w:rsidR="005A6B35" w:rsidRPr="00CA56E4" w:rsidRDefault="005A6B35" w:rsidP="005A6B35">
            <w:pPr>
              <w:shd w:val="clear" w:color="auto" w:fill="FFFFFF"/>
              <w:rPr>
                <w:color w:val="000000"/>
                <w:sz w:val="27"/>
                <w:szCs w:val="27"/>
              </w:rPr>
            </w:pPr>
            <w:r w:rsidRPr="00AC76DF">
              <w:rPr>
                <w:color w:val="000000"/>
                <w:sz w:val="20"/>
                <w:szCs w:val="20"/>
              </w:rPr>
              <w:t> </w:t>
            </w:r>
          </w:p>
          <w:p w14:paraId="5835E496" w14:textId="77777777" w:rsidR="005A6B35" w:rsidRPr="00CA56E4" w:rsidRDefault="005A6B35" w:rsidP="005A6B35">
            <w:pPr>
              <w:shd w:val="clear" w:color="auto" w:fill="FFFFFF"/>
              <w:rPr>
                <w:color w:val="000000"/>
                <w:sz w:val="27"/>
                <w:szCs w:val="27"/>
              </w:rPr>
            </w:pPr>
            <w:r w:rsidRPr="00AC76DF">
              <w:rPr>
                <w:color w:val="000000"/>
                <w:sz w:val="20"/>
                <w:szCs w:val="20"/>
                <w:u w:val="single"/>
              </w:rPr>
              <w:t>Session 11</w:t>
            </w:r>
          </w:p>
          <w:p w14:paraId="268F2BA1" w14:textId="77777777" w:rsidR="005A6B35" w:rsidRPr="00CA56E4" w:rsidRDefault="005A6B35" w:rsidP="005A6B35">
            <w:pPr>
              <w:shd w:val="clear" w:color="auto" w:fill="FFFFFF"/>
              <w:rPr>
                <w:color w:val="000000"/>
                <w:sz w:val="27"/>
                <w:szCs w:val="27"/>
              </w:rPr>
            </w:pPr>
            <w:r w:rsidRPr="00AC76DF">
              <w:rPr>
                <w:color w:val="000000"/>
                <w:sz w:val="20"/>
                <w:szCs w:val="20"/>
              </w:rPr>
              <w:t>AS</w:t>
            </w:r>
          </w:p>
          <w:p w14:paraId="5D8990DC" w14:textId="77777777" w:rsidR="005A6B35" w:rsidRPr="00CA56E4" w:rsidRDefault="005A6B35" w:rsidP="005A6B35">
            <w:pPr>
              <w:shd w:val="clear" w:color="auto" w:fill="FFFFFF"/>
              <w:rPr>
                <w:color w:val="000000"/>
                <w:sz w:val="27"/>
                <w:szCs w:val="27"/>
              </w:rPr>
            </w:pPr>
            <w:r w:rsidRPr="00AC76DF">
              <w:rPr>
                <w:color w:val="000000"/>
                <w:sz w:val="20"/>
                <w:szCs w:val="20"/>
              </w:rPr>
              <w:t>LS # 8238</w:t>
            </w:r>
          </w:p>
          <w:p w14:paraId="01872BCE" w14:textId="77777777" w:rsidR="005A6B35" w:rsidRPr="00CA56E4" w:rsidRDefault="005A6B35" w:rsidP="005A6B35">
            <w:pPr>
              <w:shd w:val="clear" w:color="auto" w:fill="FFFFFF"/>
              <w:rPr>
                <w:color w:val="000000"/>
                <w:sz w:val="27"/>
                <w:szCs w:val="27"/>
              </w:rPr>
            </w:pPr>
            <w:r w:rsidRPr="00AC76DF">
              <w:rPr>
                <w:color w:val="000000"/>
                <w:sz w:val="20"/>
                <w:szCs w:val="20"/>
              </w:rPr>
              <w:t>Int. # 1532 - 2019</w:t>
            </w:r>
          </w:p>
          <w:p w14:paraId="39A8362F" w14:textId="77777777" w:rsidR="005A6B35" w:rsidRPr="00CA56E4" w:rsidRDefault="005A6B35" w:rsidP="005A6B35">
            <w:pPr>
              <w:shd w:val="clear" w:color="auto" w:fill="FFFFFF"/>
              <w:rPr>
                <w:color w:val="000000"/>
                <w:sz w:val="27"/>
                <w:szCs w:val="27"/>
              </w:rPr>
            </w:pPr>
            <w:r w:rsidRPr="00AC76DF">
              <w:rPr>
                <w:color w:val="000000"/>
                <w:sz w:val="20"/>
                <w:szCs w:val="20"/>
              </w:rPr>
              <w:t> </w:t>
            </w:r>
          </w:p>
          <w:p w14:paraId="05337355" w14:textId="77777777" w:rsidR="005A6B35" w:rsidRPr="00CA56E4" w:rsidRDefault="005A6B35" w:rsidP="005A6B35">
            <w:pPr>
              <w:shd w:val="clear" w:color="auto" w:fill="FFFFFF"/>
              <w:rPr>
                <w:color w:val="000000"/>
                <w:sz w:val="27"/>
                <w:szCs w:val="27"/>
              </w:rPr>
            </w:pPr>
            <w:r w:rsidRPr="00AC76DF">
              <w:rPr>
                <w:color w:val="000000"/>
                <w:sz w:val="20"/>
                <w:szCs w:val="20"/>
              </w:rPr>
              <w:t> </w:t>
            </w:r>
          </w:p>
        </w:tc>
      </w:tr>
    </w:tbl>
    <w:p w14:paraId="4A7E1A37" w14:textId="39AF9F95" w:rsidR="005A6B35" w:rsidRPr="006A3875" w:rsidRDefault="005A6B35" w:rsidP="006A3875"/>
    <w:p w14:paraId="0B809889" w14:textId="749B01FF" w:rsidR="005A6B35" w:rsidRDefault="005A6B35" w:rsidP="006A3875">
      <w:pPr>
        <w:spacing w:line="480" w:lineRule="auto"/>
        <w:jc w:val="both"/>
        <w:rPr>
          <w:color w:val="FF0000"/>
          <w:sz w:val="22"/>
          <w:szCs w:val="20"/>
          <w:lang w:val="en"/>
        </w:rPr>
      </w:pPr>
    </w:p>
    <w:p w14:paraId="79A893E9" w14:textId="533F50A6" w:rsidR="00CB1497" w:rsidRDefault="00CB1497" w:rsidP="006A3875">
      <w:pPr>
        <w:spacing w:line="480" w:lineRule="auto"/>
        <w:jc w:val="both"/>
        <w:rPr>
          <w:color w:val="FF0000"/>
          <w:sz w:val="22"/>
          <w:szCs w:val="20"/>
          <w:lang w:val="en"/>
        </w:rPr>
      </w:pPr>
    </w:p>
    <w:p w14:paraId="3F05C5A6" w14:textId="5B7C46DF" w:rsidR="00CB1497" w:rsidRDefault="00CB1497" w:rsidP="006A3875">
      <w:pPr>
        <w:spacing w:line="480" w:lineRule="auto"/>
        <w:jc w:val="both"/>
        <w:rPr>
          <w:color w:val="FF0000"/>
          <w:sz w:val="22"/>
          <w:szCs w:val="20"/>
          <w:lang w:val="en"/>
        </w:rPr>
      </w:pPr>
    </w:p>
    <w:p w14:paraId="49B7C37C" w14:textId="29D34A29" w:rsidR="00CB1497" w:rsidRDefault="00CB1497" w:rsidP="006A3875">
      <w:pPr>
        <w:spacing w:line="480" w:lineRule="auto"/>
        <w:jc w:val="both"/>
        <w:rPr>
          <w:color w:val="FF0000"/>
          <w:sz w:val="22"/>
          <w:szCs w:val="20"/>
          <w:lang w:val="en"/>
        </w:rPr>
      </w:pPr>
    </w:p>
    <w:p w14:paraId="29D0BFC4" w14:textId="485996DF" w:rsidR="00CB1497" w:rsidRDefault="00CB1497" w:rsidP="006A3875">
      <w:pPr>
        <w:spacing w:line="480" w:lineRule="auto"/>
        <w:jc w:val="both"/>
        <w:rPr>
          <w:color w:val="FF0000"/>
          <w:sz w:val="22"/>
          <w:szCs w:val="20"/>
          <w:lang w:val="en"/>
        </w:rPr>
      </w:pPr>
    </w:p>
    <w:p w14:paraId="2FFDCC98" w14:textId="369EA60E" w:rsidR="00CB1497" w:rsidRDefault="00CB1497" w:rsidP="006A3875">
      <w:pPr>
        <w:spacing w:line="480" w:lineRule="auto"/>
        <w:jc w:val="both"/>
        <w:rPr>
          <w:color w:val="FF0000"/>
          <w:sz w:val="22"/>
          <w:szCs w:val="20"/>
          <w:lang w:val="en"/>
        </w:rPr>
      </w:pPr>
    </w:p>
    <w:p w14:paraId="7F5541D2" w14:textId="04CB1439" w:rsidR="00CB1497" w:rsidRDefault="00CB1497" w:rsidP="006A3875">
      <w:pPr>
        <w:spacing w:line="480" w:lineRule="auto"/>
        <w:jc w:val="both"/>
        <w:rPr>
          <w:color w:val="FF0000"/>
          <w:sz w:val="22"/>
          <w:szCs w:val="20"/>
          <w:lang w:val="en"/>
        </w:rPr>
      </w:pPr>
    </w:p>
    <w:p w14:paraId="7DD376CA" w14:textId="34812A68" w:rsidR="00CB1497" w:rsidRDefault="00CB1497" w:rsidP="006A3875">
      <w:pPr>
        <w:spacing w:line="480" w:lineRule="auto"/>
        <w:jc w:val="both"/>
        <w:rPr>
          <w:color w:val="FF0000"/>
          <w:sz w:val="22"/>
          <w:szCs w:val="20"/>
          <w:lang w:val="en"/>
        </w:rPr>
      </w:pPr>
    </w:p>
    <w:p w14:paraId="5A44978B" w14:textId="14769F71" w:rsidR="00CB1497" w:rsidRDefault="00CB1497" w:rsidP="006A3875">
      <w:pPr>
        <w:spacing w:line="480" w:lineRule="auto"/>
        <w:jc w:val="both"/>
        <w:rPr>
          <w:color w:val="FF0000"/>
          <w:sz w:val="22"/>
          <w:szCs w:val="20"/>
          <w:lang w:val="en"/>
        </w:rPr>
      </w:pPr>
    </w:p>
    <w:p w14:paraId="25CF73C4" w14:textId="2298E525" w:rsidR="00CB1497" w:rsidRDefault="00CB1497" w:rsidP="006A3875">
      <w:pPr>
        <w:spacing w:line="480" w:lineRule="auto"/>
        <w:jc w:val="both"/>
        <w:rPr>
          <w:color w:val="FF0000"/>
          <w:sz w:val="22"/>
          <w:szCs w:val="20"/>
          <w:lang w:val="en"/>
        </w:rPr>
      </w:pPr>
    </w:p>
    <w:p w14:paraId="5E9B8618" w14:textId="0F7435C4" w:rsidR="00CB1497" w:rsidRDefault="00CB1497" w:rsidP="006A3875">
      <w:pPr>
        <w:spacing w:line="480" w:lineRule="auto"/>
        <w:jc w:val="both"/>
        <w:rPr>
          <w:color w:val="FF0000"/>
          <w:sz w:val="22"/>
          <w:szCs w:val="20"/>
          <w:lang w:val="en"/>
        </w:rPr>
      </w:pPr>
    </w:p>
    <w:p w14:paraId="783F5B05" w14:textId="3193BF36" w:rsidR="00CB1497" w:rsidRDefault="00CB1497" w:rsidP="006A3875">
      <w:pPr>
        <w:spacing w:line="480" w:lineRule="auto"/>
        <w:jc w:val="both"/>
        <w:rPr>
          <w:color w:val="FF0000"/>
          <w:sz w:val="22"/>
          <w:szCs w:val="20"/>
          <w:lang w:val="en"/>
        </w:rPr>
      </w:pPr>
    </w:p>
    <w:p w14:paraId="0C1B3FC8" w14:textId="77777777" w:rsidR="00CB1497" w:rsidRPr="00E15714" w:rsidRDefault="00CB1497" w:rsidP="006A3875">
      <w:pPr>
        <w:spacing w:line="480" w:lineRule="auto"/>
        <w:jc w:val="both"/>
        <w:rPr>
          <w:color w:val="FF0000"/>
          <w:sz w:val="22"/>
          <w:szCs w:val="20"/>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5A6B35" w:rsidRPr="006713BF" w14:paraId="6888FBDF" w14:textId="77777777" w:rsidTr="005A6B35">
        <w:trPr>
          <w:tblCellSpacing w:w="0" w:type="dxa"/>
        </w:trPr>
        <w:tc>
          <w:tcPr>
            <w:tcW w:w="0" w:type="auto"/>
            <w:shd w:val="clear" w:color="auto" w:fill="FFFFFF"/>
            <w:vAlign w:val="center"/>
            <w:hideMark/>
          </w:tcPr>
          <w:p w14:paraId="195D3E41" w14:textId="4FB8D0F8" w:rsidR="005A6B35" w:rsidRPr="00CA56E4" w:rsidRDefault="005A6B35" w:rsidP="005A6B35">
            <w:pPr>
              <w:shd w:val="clear" w:color="auto" w:fill="FFFFFF"/>
              <w:jc w:val="center"/>
              <w:rPr>
                <w:color w:val="000000"/>
                <w:sz w:val="27"/>
                <w:szCs w:val="27"/>
              </w:rPr>
            </w:pPr>
            <w:r w:rsidRPr="00E15714">
              <w:rPr>
                <w:color w:val="000000"/>
              </w:rPr>
              <w:t>Int. No. </w:t>
            </w:r>
            <w:r w:rsidR="002C7DCA" w:rsidRPr="00E15714">
              <w:rPr>
                <w:color w:val="000000"/>
              </w:rPr>
              <w:t>831</w:t>
            </w:r>
          </w:p>
          <w:p w14:paraId="2929F0A6" w14:textId="77777777" w:rsidR="005A6B35" w:rsidRPr="00CA56E4" w:rsidRDefault="005A6B35" w:rsidP="005A6B35">
            <w:pPr>
              <w:shd w:val="clear" w:color="auto" w:fill="FFFFFF"/>
              <w:jc w:val="center"/>
              <w:rPr>
                <w:color w:val="000000"/>
                <w:sz w:val="27"/>
                <w:szCs w:val="27"/>
              </w:rPr>
            </w:pPr>
            <w:r w:rsidRPr="00E15714">
              <w:rPr>
                <w:color w:val="000000"/>
              </w:rPr>
              <w:t> </w:t>
            </w:r>
          </w:p>
          <w:p w14:paraId="4901CA26" w14:textId="00359091" w:rsidR="005A6B35" w:rsidRPr="00CA56E4" w:rsidRDefault="005A6B35" w:rsidP="005A6B35">
            <w:pPr>
              <w:shd w:val="clear" w:color="auto" w:fill="FFFFFF"/>
              <w:jc w:val="both"/>
              <w:rPr>
                <w:color w:val="000000"/>
                <w:sz w:val="27"/>
                <w:szCs w:val="27"/>
              </w:rPr>
            </w:pPr>
            <w:r w:rsidRPr="00E15714">
              <w:rPr>
                <w:color w:val="000000"/>
              </w:rPr>
              <w:t>By Council Members Rivera, Cabán, Hanif, Stevens, Restler, Hudson, De La Rosa</w:t>
            </w:r>
            <w:r w:rsidR="000F1D70" w:rsidRPr="00E15714">
              <w:rPr>
                <w:color w:val="000000"/>
              </w:rPr>
              <w:t xml:space="preserve">, </w:t>
            </w:r>
            <w:r w:rsidRPr="006713BF">
              <w:rPr>
                <w:color w:val="000000"/>
              </w:rPr>
              <w:t>Abreu</w:t>
            </w:r>
            <w:r w:rsidR="000F1D70" w:rsidRPr="006713BF">
              <w:rPr>
                <w:color w:val="000000"/>
              </w:rPr>
              <w:t xml:space="preserve"> and Sanchez</w:t>
            </w:r>
          </w:p>
          <w:p w14:paraId="64B4F655" w14:textId="77777777" w:rsidR="005A6B35" w:rsidRPr="00CA56E4" w:rsidRDefault="005A6B35" w:rsidP="005A6B35">
            <w:pPr>
              <w:shd w:val="clear" w:color="auto" w:fill="FFFFFF"/>
              <w:jc w:val="both"/>
              <w:rPr>
                <w:color w:val="000000"/>
                <w:sz w:val="27"/>
                <w:szCs w:val="27"/>
              </w:rPr>
            </w:pPr>
            <w:r w:rsidRPr="00E15714">
              <w:rPr>
                <w:color w:val="000000"/>
              </w:rPr>
              <w:t> </w:t>
            </w:r>
          </w:p>
          <w:p w14:paraId="0D5B159D" w14:textId="77777777" w:rsidR="005A6B35" w:rsidRPr="00CA56E4" w:rsidRDefault="005A6B35" w:rsidP="005A6B35">
            <w:pPr>
              <w:shd w:val="clear" w:color="auto" w:fill="FFFFFF"/>
              <w:jc w:val="both"/>
              <w:rPr>
                <w:color w:val="000000"/>
                <w:sz w:val="27"/>
                <w:szCs w:val="27"/>
              </w:rPr>
            </w:pPr>
            <w:r w:rsidRPr="00E15714">
              <w:rPr>
                <w:color w:val="000000"/>
              </w:rPr>
              <w:t>A Local Law to amend the administrative code of the city of New York, in relation to establishing a citywide resource navigator for women and gender-expansive persons</w:t>
            </w:r>
          </w:p>
          <w:p w14:paraId="7A58EFBD" w14:textId="77777777" w:rsidR="005A6B35" w:rsidRPr="00CA56E4" w:rsidRDefault="005A6B35" w:rsidP="005A6B35">
            <w:pPr>
              <w:shd w:val="clear" w:color="auto" w:fill="FFFFFF"/>
              <w:jc w:val="both"/>
              <w:rPr>
                <w:color w:val="000000"/>
                <w:sz w:val="27"/>
                <w:szCs w:val="27"/>
              </w:rPr>
            </w:pPr>
            <w:r w:rsidRPr="00E15714">
              <w:rPr>
                <w:color w:val="000000"/>
              </w:rPr>
              <w:t> </w:t>
            </w:r>
          </w:p>
          <w:p w14:paraId="40F21F58" w14:textId="77777777" w:rsidR="005A6B35" w:rsidRPr="00CA56E4" w:rsidRDefault="005A6B35" w:rsidP="005A6B35">
            <w:pPr>
              <w:shd w:val="clear" w:color="auto" w:fill="FFFFFF"/>
              <w:jc w:val="both"/>
              <w:rPr>
                <w:color w:val="000000"/>
                <w:sz w:val="27"/>
                <w:szCs w:val="27"/>
              </w:rPr>
            </w:pPr>
            <w:r w:rsidRPr="00E15714">
              <w:rPr>
                <w:color w:val="000000"/>
                <w:u w:val="single"/>
              </w:rPr>
              <w:t>Be it enacted by the Council as follows:</w:t>
            </w:r>
          </w:p>
          <w:p w14:paraId="23A94C36" w14:textId="77777777" w:rsidR="005A6B35" w:rsidRPr="00CA56E4" w:rsidRDefault="005A6B35" w:rsidP="005A6B35">
            <w:pPr>
              <w:shd w:val="clear" w:color="auto" w:fill="FFFFFF"/>
              <w:ind w:firstLine="720"/>
              <w:jc w:val="both"/>
              <w:rPr>
                <w:color w:val="000000"/>
                <w:sz w:val="27"/>
                <w:szCs w:val="27"/>
              </w:rPr>
            </w:pPr>
            <w:r w:rsidRPr="00E15714">
              <w:rPr>
                <w:color w:val="000000"/>
              </w:rPr>
              <w:t> </w:t>
            </w:r>
          </w:p>
          <w:p w14:paraId="30DD73E8"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rPr>
              <w:t>Section 1. Chapter 3 of title 9 of the administrative code of the city of New York is amended by adding a new section 9-310 to read as follows:</w:t>
            </w:r>
          </w:p>
          <w:p w14:paraId="3AB45F47"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 9-310 Resource navigator program. a. Definitions. For the purposes of this section, the following terms have the following meanings:</w:t>
            </w:r>
          </w:p>
          <w:p w14:paraId="34B7F206" w14:textId="2DE92AE0"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 xml:space="preserve">Gender-expansive. The term </w:t>
            </w:r>
            <w:r w:rsidR="005C5164" w:rsidRPr="00891778">
              <w:rPr>
                <w:color w:val="000000"/>
                <w:u w:val="single"/>
              </w:rPr>
              <w:t>"</w:t>
            </w:r>
            <w:r w:rsidRPr="000E4CAF">
              <w:rPr>
                <w:color w:val="000000"/>
                <w:u w:val="single"/>
              </w:rPr>
              <w:t>gender-expansive</w:t>
            </w:r>
            <w:r w:rsidR="005C5164" w:rsidRPr="000E4CAF">
              <w:rPr>
                <w:color w:val="000000"/>
                <w:u w:val="single"/>
              </w:rPr>
              <w:t>"</w:t>
            </w:r>
            <w:r w:rsidRPr="000E4CAF">
              <w:rPr>
                <w:color w:val="000000"/>
                <w:u w:val="single"/>
              </w:rPr>
              <w:t xml:space="preserve"> means a person whose gender identity or gender expression, or both, expands beyond gender stereotypes and roles including, but not limited to, persons who identify as transgender, gender nonconforming, non-binary and intersex.</w:t>
            </w:r>
          </w:p>
          <w:p w14:paraId="0FCC91BF" w14:textId="39B6EBCC"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 xml:space="preserve">Gender expression. The term </w:t>
            </w:r>
            <w:r w:rsidR="005C5164" w:rsidRPr="00E15714">
              <w:rPr>
                <w:color w:val="000000"/>
                <w:u w:val="single"/>
              </w:rPr>
              <w:t>"</w:t>
            </w:r>
            <w:r w:rsidRPr="00891778">
              <w:rPr>
                <w:color w:val="000000"/>
                <w:u w:val="single"/>
              </w:rPr>
              <w:t>gender expression</w:t>
            </w:r>
            <w:r w:rsidR="005C5164" w:rsidRPr="000E4CAF">
              <w:rPr>
                <w:color w:val="000000"/>
                <w:u w:val="single"/>
              </w:rPr>
              <w:t>"</w:t>
            </w:r>
            <w:r w:rsidRPr="000E4CAF">
              <w:rPr>
                <w:color w:val="000000"/>
                <w:u w:val="single"/>
              </w:rPr>
              <w:t xml:space="preserve"> means the way in which a person expresses their gender identity.</w:t>
            </w:r>
          </w:p>
          <w:p w14:paraId="35FFFD64" w14:textId="672B6A0E"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 xml:space="preserve">Gender identity. The term </w:t>
            </w:r>
            <w:r w:rsidR="005C5164" w:rsidRPr="00E15714">
              <w:rPr>
                <w:color w:val="000000"/>
                <w:u w:val="single"/>
              </w:rPr>
              <w:t>"</w:t>
            </w:r>
            <w:r w:rsidRPr="00891778">
              <w:rPr>
                <w:color w:val="000000"/>
                <w:u w:val="single"/>
              </w:rPr>
              <w:t>gender identity</w:t>
            </w:r>
            <w:r w:rsidR="005C5164" w:rsidRPr="000E4CAF">
              <w:rPr>
                <w:color w:val="000000"/>
                <w:u w:val="single"/>
              </w:rPr>
              <w:t>"</w:t>
            </w:r>
            <w:r w:rsidRPr="000E4CAF">
              <w:rPr>
                <w:color w:val="000000"/>
                <w:u w:val="single"/>
              </w:rPr>
              <w:t xml:space="preserve"> means a person</w:t>
            </w:r>
            <w:r w:rsidR="005C5164" w:rsidRPr="000E4CAF">
              <w:rPr>
                <w:color w:val="000000"/>
                <w:u w:val="single"/>
              </w:rPr>
              <w:t>'</w:t>
            </w:r>
            <w:r w:rsidRPr="000E4CAF">
              <w:rPr>
                <w:color w:val="000000"/>
                <w:u w:val="single"/>
              </w:rPr>
              <w:t>s sense of their own gender which may be the same as or different from their sex assigned at birth.</w:t>
            </w:r>
          </w:p>
          <w:p w14:paraId="38A8B73A" w14:textId="5FDFC8F5"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 xml:space="preserve">Resource navigator program. The term </w:t>
            </w:r>
            <w:r w:rsidR="005C5164" w:rsidRPr="00E15714">
              <w:rPr>
                <w:color w:val="000000"/>
                <w:u w:val="single"/>
              </w:rPr>
              <w:t>"</w:t>
            </w:r>
            <w:r w:rsidRPr="00891778">
              <w:rPr>
                <w:color w:val="000000"/>
                <w:u w:val="single"/>
              </w:rPr>
              <w:t>resource navigator program</w:t>
            </w:r>
            <w:r w:rsidR="005C5164" w:rsidRPr="000E4CAF">
              <w:rPr>
                <w:color w:val="000000"/>
                <w:u w:val="single"/>
              </w:rPr>
              <w:t>"</w:t>
            </w:r>
            <w:r w:rsidRPr="000E4CAF">
              <w:rPr>
                <w:color w:val="000000"/>
                <w:u w:val="single"/>
              </w:rPr>
              <w:t xml:space="preserve"> means the program established by this section to assist women and gender-expansive persons in custody, as well as relevant government agencies, in locating available and appropriate reentry programs.</w:t>
            </w:r>
          </w:p>
          <w:p w14:paraId="3B89F401"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b. The office shall establish a resource navigator program that shall:</w:t>
            </w:r>
          </w:p>
          <w:p w14:paraId="36628C3A"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1. Maintain a database on alternatives to incarceration, transitional and permanent housing and reentry programs, and services that specifically serve women and gender-expansive persons, which database shall include up-to-date information on services offered by the programs, eligibility, and availability;</w:t>
            </w:r>
          </w:p>
          <w:p w14:paraId="7DAA59F1"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2. Provide referrals to such programs and services and provide follow-up;</w:t>
            </w:r>
          </w:p>
          <w:p w14:paraId="0B4980B1" w14:textId="4751E056"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3. Provide outreach and education on such programs and services to women and gender-expansive persons in custody, d</w:t>
            </w:r>
            <w:r w:rsidRPr="006713BF">
              <w:rPr>
                <w:color w:val="000000"/>
                <w:u w:val="single"/>
              </w:rPr>
              <w:t xml:space="preserve">istrict attorneys, city-funded indigent criminal defense attorneys, the office of court administration, the </w:t>
            </w:r>
            <w:r w:rsidR="005C5164" w:rsidRPr="006713BF">
              <w:rPr>
                <w:color w:val="000000"/>
                <w:u w:val="single"/>
              </w:rPr>
              <w:t>D</w:t>
            </w:r>
            <w:r w:rsidRPr="006713BF">
              <w:rPr>
                <w:color w:val="000000"/>
                <w:u w:val="single"/>
              </w:rPr>
              <w:t>epartment of correction, and any other relevant agencies; and</w:t>
            </w:r>
          </w:p>
          <w:p w14:paraId="1DDACFCF"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4. Make recommendations to the mayor and the council to improve diversion and reentry resources for women and gender-expansive persons in custody.</w:t>
            </w:r>
          </w:p>
          <w:p w14:paraId="6E62F2F1"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u w:val="single"/>
              </w:rPr>
              <w:t>c. The office shall include persons who have direct lived experience in the criminal justice system in the administration of the resource navigator program.</w:t>
            </w:r>
          </w:p>
          <w:p w14:paraId="650EF0F9" w14:textId="77777777" w:rsidR="005A6B35" w:rsidRPr="00CA56E4" w:rsidRDefault="005A6B35" w:rsidP="005A6B35">
            <w:pPr>
              <w:shd w:val="clear" w:color="auto" w:fill="FFFFFF"/>
              <w:spacing w:line="480" w:lineRule="auto"/>
              <w:ind w:firstLine="720"/>
              <w:jc w:val="both"/>
              <w:rPr>
                <w:color w:val="000000"/>
                <w:sz w:val="27"/>
                <w:szCs w:val="27"/>
              </w:rPr>
            </w:pPr>
            <w:r w:rsidRPr="00E15714">
              <w:rPr>
                <w:color w:val="000000"/>
              </w:rPr>
              <w:t>§ 2. Section 9-307 of the administrative code of the city of New York, as added by local law number 220 for the year 2019, is redesignated section 9-308.</w:t>
            </w:r>
          </w:p>
          <w:p w14:paraId="61BF4184" w14:textId="2373A8C9" w:rsidR="005A6B35" w:rsidRPr="00CA56E4" w:rsidRDefault="005A6B35" w:rsidP="006A3875">
            <w:pPr>
              <w:shd w:val="clear" w:color="auto" w:fill="FFFFFF"/>
              <w:spacing w:line="480" w:lineRule="auto"/>
              <w:ind w:firstLine="720"/>
              <w:jc w:val="both"/>
              <w:rPr>
                <w:color w:val="000000"/>
                <w:sz w:val="27"/>
                <w:szCs w:val="27"/>
              </w:rPr>
            </w:pPr>
            <w:r w:rsidRPr="00E15714">
              <w:rPr>
                <w:color w:val="000000"/>
              </w:rPr>
              <w:t>§ 3. This local law takes effect in 90 days.</w:t>
            </w:r>
          </w:p>
          <w:p w14:paraId="014156A0" w14:textId="77777777" w:rsidR="005A6B35" w:rsidRPr="00CA56E4" w:rsidRDefault="005A6B35" w:rsidP="005A6B35">
            <w:pPr>
              <w:shd w:val="clear" w:color="auto" w:fill="FFFFFF"/>
              <w:jc w:val="both"/>
              <w:rPr>
                <w:color w:val="000000"/>
                <w:sz w:val="27"/>
                <w:szCs w:val="27"/>
              </w:rPr>
            </w:pPr>
            <w:r w:rsidRPr="00E15714">
              <w:rPr>
                <w:color w:val="000000"/>
                <w:sz w:val="18"/>
                <w:szCs w:val="18"/>
              </w:rPr>
              <w:t> </w:t>
            </w:r>
          </w:p>
          <w:p w14:paraId="42A4DA4B" w14:textId="77777777" w:rsidR="005A6B35" w:rsidRPr="00CA56E4" w:rsidRDefault="005A6B35" w:rsidP="005A6B35">
            <w:pPr>
              <w:shd w:val="clear" w:color="auto" w:fill="FFFFFF"/>
              <w:jc w:val="both"/>
              <w:rPr>
                <w:color w:val="000000"/>
                <w:sz w:val="27"/>
                <w:szCs w:val="27"/>
              </w:rPr>
            </w:pPr>
            <w:r w:rsidRPr="00E15714">
              <w:rPr>
                <w:color w:val="000000"/>
                <w:sz w:val="18"/>
                <w:szCs w:val="18"/>
              </w:rPr>
              <w:t> </w:t>
            </w:r>
          </w:p>
          <w:p w14:paraId="4957427E" w14:textId="77777777" w:rsidR="005A6B35" w:rsidRPr="00CA56E4" w:rsidRDefault="005A6B35" w:rsidP="005A6B35">
            <w:pPr>
              <w:shd w:val="clear" w:color="auto" w:fill="FFFFFF"/>
              <w:jc w:val="both"/>
              <w:rPr>
                <w:color w:val="000000"/>
                <w:sz w:val="27"/>
                <w:szCs w:val="27"/>
              </w:rPr>
            </w:pPr>
            <w:r w:rsidRPr="00E15714">
              <w:rPr>
                <w:color w:val="000000"/>
                <w:sz w:val="18"/>
                <w:szCs w:val="18"/>
              </w:rPr>
              <w:t> </w:t>
            </w:r>
          </w:p>
          <w:p w14:paraId="339EB983" w14:textId="77777777" w:rsidR="005A6B35" w:rsidRPr="00CA56E4" w:rsidRDefault="005A6B35" w:rsidP="005A6B35">
            <w:pPr>
              <w:shd w:val="clear" w:color="auto" w:fill="FFFFFF"/>
              <w:jc w:val="both"/>
              <w:rPr>
                <w:color w:val="000000"/>
                <w:sz w:val="27"/>
                <w:szCs w:val="27"/>
              </w:rPr>
            </w:pPr>
            <w:r w:rsidRPr="00E15714">
              <w:rPr>
                <w:color w:val="000000"/>
                <w:sz w:val="18"/>
                <w:szCs w:val="18"/>
              </w:rPr>
              <w:t> </w:t>
            </w:r>
          </w:p>
          <w:p w14:paraId="6B3F92FB" w14:textId="77777777" w:rsidR="005A6B35" w:rsidRPr="00CA56E4" w:rsidRDefault="005A6B35" w:rsidP="005A6B35">
            <w:pPr>
              <w:shd w:val="clear" w:color="auto" w:fill="FFFFFF"/>
              <w:jc w:val="both"/>
              <w:rPr>
                <w:color w:val="000000"/>
                <w:sz w:val="27"/>
                <w:szCs w:val="27"/>
              </w:rPr>
            </w:pPr>
            <w:r w:rsidRPr="00E15714">
              <w:rPr>
                <w:color w:val="000000"/>
                <w:sz w:val="18"/>
                <w:szCs w:val="18"/>
              </w:rPr>
              <w:t> </w:t>
            </w:r>
          </w:p>
          <w:p w14:paraId="00F69076" w14:textId="77777777" w:rsidR="005A6B35" w:rsidRPr="00CA56E4" w:rsidRDefault="005A6B35" w:rsidP="005A6B35">
            <w:pPr>
              <w:shd w:val="clear" w:color="auto" w:fill="FFFFFF"/>
              <w:jc w:val="both"/>
              <w:rPr>
                <w:color w:val="000000"/>
                <w:sz w:val="27"/>
                <w:szCs w:val="27"/>
              </w:rPr>
            </w:pPr>
            <w:r w:rsidRPr="00E15714">
              <w:rPr>
                <w:color w:val="000000"/>
                <w:sz w:val="18"/>
                <w:szCs w:val="18"/>
              </w:rPr>
              <w:t>SM</w:t>
            </w:r>
          </w:p>
          <w:p w14:paraId="0E10BA4A" w14:textId="77777777" w:rsidR="005A6B35" w:rsidRPr="00CA56E4" w:rsidRDefault="005A6B35" w:rsidP="005A6B35">
            <w:pPr>
              <w:shd w:val="clear" w:color="auto" w:fill="FFFFFF"/>
              <w:jc w:val="both"/>
              <w:rPr>
                <w:color w:val="000000"/>
                <w:sz w:val="27"/>
                <w:szCs w:val="27"/>
              </w:rPr>
            </w:pPr>
            <w:r w:rsidRPr="00E15714">
              <w:rPr>
                <w:color w:val="000000"/>
                <w:sz w:val="18"/>
                <w:szCs w:val="18"/>
              </w:rPr>
              <w:t>LS #9971/10776</w:t>
            </w:r>
          </w:p>
          <w:p w14:paraId="32C75DEF" w14:textId="77777777" w:rsidR="005A6B35" w:rsidRPr="00CA56E4" w:rsidRDefault="005A6B35" w:rsidP="005A6B35">
            <w:pPr>
              <w:shd w:val="clear" w:color="auto" w:fill="FFFFFF"/>
              <w:rPr>
                <w:color w:val="000000"/>
                <w:sz w:val="27"/>
                <w:szCs w:val="27"/>
              </w:rPr>
            </w:pPr>
            <w:r w:rsidRPr="00E15714">
              <w:rPr>
                <w:color w:val="000000"/>
                <w:sz w:val="18"/>
                <w:szCs w:val="18"/>
              </w:rPr>
              <w:t>11/16/2022 9:04 AM</w:t>
            </w:r>
          </w:p>
          <w:p w14:paraId="38F8E39F" w14:textId="77777777" w:rsidR="00BA51CF" w:rsidRPr="00E15714" w:rsidRDefault="00BA51CF" w:rsidP="005A6B35">
            <w:pPr>
              <w:shd w:val="clear" w:color="auto" w:fill="FFFFFF"/>
              <w:rPr>
                <w:color w:val="000000"/>
                <w:sz w:val="18"/>
                <w:szCs w:val="18"/>
              </w:rPr>
            </w:pPr>
          </w:p>
          <w:p w14:paraId="422E6DB8" w14:textId="77777777" w:rsidR="00BA51CF" w:rsidRPr="006713BF" w:rsidRDefault="00BA51CF" w:rsidP="005A6B35">
            <w:pPr>
              <w:shd w:val="clear" w:color="auto" w:fill="FFFFFF"/>
              <w:rPr>
                <w:color w:val="000000"/>
                <w:sz w:val="18"/>
                <w:szCs w:val="18"/>
              </w:rPr>
            </w:pPr>
          </w:p>
          <w:p w14:paraId="09661544" w14:textId="77777777" w:rsidR="00BA51CF" w:rsidRPr="006713BF" w:rsidRDefault="00BA51CF" w:rsidP="005A6B35">
            <w:pPr>
              <w:shd w:val="clear" w:color="auto" w:fill="FFFFFF"/>
              <w:rPr>
                <w:color w:val="000000"/>
                <w:sz w:val="18"/>
                <w:szCs w:val="18"/>
              </w:rPr>
            </w:pPr>
          </w:p>
          <w:p w14:paraId="7379C2B0" w14:textId="0C6A81E0" w:rsidR="00BA51CF" w:rsidRDefault="00BA51CF" w:rsidP="005A6B35">
            <w:pPr>
              <w:shd w:val="clear" w:color="auto" w:fill="FFFFFF"/>
              <w:rPr>
                <w:color w:val="000000"/>
                <w:sz w:val="18"/>
                <w:szCs w:val="18"/>
              </w:rPr>
            </w:pPr>
          </w:p>
          <w:p w14:paraId="6D0513E9" w14:textId="76D9D1EB" w:rsidR="00CB1497" w:rsidRDefault="00CB1497" w:rsidP="005A6B35">
            <w:pPr>
              <w:shd w:val="clear" w:color="auto" w:fill="FFFFFF"/>
              <w:rPr>
                <w:color w:val="000000"/>
                <w:sz w:val="18"/>
                <w:szCs w:val="18"/>
              </w:rPr>
            </w:pPr>
          </w:p>
          <w:p w14:paraId="1D572361" w14:textId="32F4EF38" w:rsidR="00CB1497" w:rsidRDefault="00CB1497" w:rsidP="005A6B35">
            <w:pPr>
              <w:shd w:val="clear" w:color="auto" w:fill="FFFFFF"/>
              <w:rPr>
                <w:color w:val="000000"/>
                <w:sz w:val="18"/>
                <w:szCs w:val="18"/>
              </w:rPr>
            </w:pPr>
          </w:p>
          <w:p w14:paraId="798A0CE9" w14:textId="401E311E" w:rsidR="00CB1497" w:rsidRDefault="00CB1497" w:rsidP="005A6B35">
            <w:pPr>
              <w:shd w:val="clear" w:color="auto" w:fill="FFFFFF"/>
              <w:rPr>
                <w:color w:val="000000"/>
                <w:sz w:val="18"/>
                <w:szCs w:val="18"/>
              </w:rPr>
            </w:pPr>
          </w:p>
          <w:p w14:paraId="614F2A15" w14:textId="350E4DD5" w:rsidR="00CB1497" w:rsidRDefault="00CB1497" w:rsidP="005A6B35">
            <w:pPr>
              <w:shd w:val="clear" w:color="auto" w:fill="FFFFFF"/>
              <w:rPr>
                <w:color w:val="000000"/>
                <w:sz w:val="18"/>
                <w:szCs w:val="18"/>
              </w:rPr>
            </w:pPr>
          </w:p>
          <w:p w14:paraId="00CCB4EE" w14:textId="4845CC0D" w:rsidR="00CB1497" w:rsidRDefault="00CB1497" w:rsidP="005A6B35">
            <w:pPr>
              <w:shd w:val="clear" w:color="auto" w:fill="FFFFFF"/>
              <w:rPr>
                <w:color w:val="000000"/>
                <w:sz w:val="18"/>
                <w:szCs w:val="18"/>
              </w:rPr>
            </w:pPr>
          </w:p>
          <w:p w14:paraId="38B1F467" w14:textId="1DF9E504" w:rsidR="00CB1497" w:rsidRDefault="00CB1497" w:rsidP="005A6B35">
            <w:pPr>
              <w:shd w:val="clear" w:color="auto" w:fill="FFFFFF"/>
              <w:rPr>
                <w:color w:val="000000"/>
                <w:sz w:val="18"/>
                <w:szCs w:val="18"/>
              </w:rPr>
            </w:pPr>
          </w:p>
          <w:p w14:paraId="16D39CE1" w14:textId="4F360FB8" w:rsidR="00CB1497" w:rsidRDefault="00CB1497" w:rsidP="005A6B35">
            <w:pPr>
              <w:shd w:val="clear" w:color="auto" w:fill="FFFFFF"/>
              <w:rPr>
                <w:color w:val="000000"/>
                <w:sz w:val="18"/>
                <w:szCs w:val="18"/>
              </w:rPr>
            </w:pPr>
          </w:p>
          <w:p w14:paraId="6805F795" w14:textId="47F804FE" w:rsidR="00CB1497" w:rsidRDefault="00CB1497" w:rsidP="005A6B35">
            <w:pPr>
              <w:shd w:val="clear" w:color="auto" w:fill="FFFFFF"/>
              <w:rPr>
                <w:color w:val="000000"/>
                <w:sz w:val="18"/>
                <w:szCs w:val="18"/>
              </w:rPr>
            </w:pPr>
          </w:p>
          <w:p w14:paraId="10E45367" w14:textId="226042B4" w:rsidR="00CB1497" w:rsidRDefault="00CB1497" w:rsidP="005A6B35">
            <w:pPr>
              <w:shd w:val="clear" w:color="auto" w:fill="FFFFFF"/>
              <w:rPr>
                <w:color w:val="000000"/>
                <w:sz w:val="18"/>
                <w:szCs w:val="18"/>
              </w:rPr>
            </w:pPr>
          </w:p>
          <w:p w14:paraId="61EBB447" w14:textId="2A6FED2C" w:rsidR="00CB1497" w:rsidRDefault="00CB1497" w:rsidP="005A6B35">
            <w:pPr>
              <w:shd w:val="clear" w:color="auto" w:fill="FFFFFF"/>
              <w:rPr>
                <w:color w:val="000000"/>
                <w:sz w:val="18"/>
                <w:szCs w:val="18"/>
              </w:rPr>
            </w:pPr>
          </w:p>
          <w:p w14:paraId="22EA819C" w14:textId="197B023C" w:rsidR="00CB1497" w:rsidRDefault="00CB1497" w:rsidP="005A6B35">
            <w:pPr>
              <w:shd w:val="clear" w:color="auto" w:fill="FFFFFF"/>
              <w:rPr>
                <w:color w:val="000000"/>
                <w:sz w:val="18"/>
                <w:szCs w:val="18"/>
              </w:rPr>
            </w:pPr>
          </w:p>
          <w:p w14:paraId="1F1172FE" w14:textId="7B7540C7" w:rsidR="00CB1497" w:rsidRDefault="00CB1497" w:rsidP="005A6B35">
            <w:pPr>
              <w:shd w:val="clear" w:color="auto" w:fill="FFFFFF"/>
              <w:rPr>
                <w:color w:val="000000"/>
                <w:sz w:val="18"/>
                <w:szCs w:val="18"/>
              </w:rPr>
            </w:pPr>
          </w:p>
          <w:p w14:paraId="5C430F92" w14:textId="13B948DB" w:rsidR="00CB1497" w:rsidRDefault="00CB1497" w:rsidP="005A6B35">
            <w:pPr>
              <w:shd w:val="clear" w:color="auto" w:fill="FFFFFF"/>
              <w:rPr>
                <w:color w:val="000000"/>
                <w:sz w:val="18"/>
                <w:szCs w:val="18"/>
              </w:rPr>
            </w:pPr>
          </w:p>
          <w:p w14:paraId="462CB3DA" w14:textId="3BFC982C" w:rsidR="00CB1497" w:rsidRDefault="00CB1497" w:rsidP="005A6B35">
            <w:pPr>
              <w:shd w:val="clear" w:color="auto" w:fill="FFFFFF"/>
              <w:rPr>
                <w:color w:val="000000"/>
                <w:sz w:val="18"/>
                <w:szCs w:val="18"/>
              </w:rPr>
            </w:pPr>
          </w:p>
          <w:p w14:paraId="6466B1FD" w14:textId="52C7273A" w:rsidR="00CB1497" w:rsidRDefault="00CB1497" w:rsidP="005A6B35">
            <w:pPr>
              <w:shd w:val="clear" w:color="auto" w:fill="FFFFFF"/>
              <w:rPr>
                <w:color w:val="000000"/>
                <w:sz w:val="18"/>
                <w:szCs w:val="18"/>
              </w:rPr>
            </w:pPr>
          </w:p>
          <w:p w14:paraId="3D38C0A0" w14:textId="45428AD3" w:rsidR="00CB1497" w:rsidRDefault="00CB1497" w:rsidP="005A6B35">
            <w:pPr>
              <w:shd w:val="clear" w:color="auto" w:fill="FFFFFF"/>
              <w:rPr>
                <w:color w:val="000000"/>
                <w:sz w:val="18"/>
                <w:szCs w:val="18"/>
              </w:rPr>
            </w:pPr>
          </w:p>
          <w:p w14:paraId="24D48C2F" w14:textId="09129E26" w:rsidR="00CB1497" w:rsidRDefault="00CB1497" w:rsidP="005A6B35">
            <w:pPr>
              <w:shd w:val="clear" w:color="auto" w:fill="FFFFFF"/>
              <w:rPr>
                <w:color w:val="000000"/>
                <w:sz w:val="18"/>
                <w:szCs w:val="18"/>
              </w:rPr>
            </w:pPr>
          </w:p>
          <w:p w14:paraId="2A49DEB0" w14:textId="6EF0D955" w:rsidR="00CB1497" w:rsidRDefault="00CB1497" w:rsidP="005A6B35">
            <w:pPr>
              <w:shd w:val="clear" w:color="auto" w:fill="FFFFFF"/>
              <w:rPr>
                <w:color w:val="000000"/>
                <w:sz w:val="18"/>
                <w:szCs w:val="18"/>
              </w:rPr>
            </w:pPr>
          </w:p>
          <w:p w14:paraId="28CE7217" w14:textId="12FB9887" w:rsidR="00CB1497" w:rsidRDefault="00CB1497" w:rsidP="005A6B35">
            <w:pPr>
              <w:shd w:val="clear" w:color="auto" w:fill="FFFFFF"/>
              <w:rPr>
                <w:color w:val="000000"/>
                <w:sz w:val="18"/>
                <w:szCs w:val="18"/>
              </w:rPr>
            </w:pPr>
          </w:p>
          <w:p w14:paraId="5917210C" w14:textId="77777777" w:rsidR="00CB1497" w:rsidRPr="006713BF" w:rsidRDefault="00CB1497" w:rsidP="005A6B35">
            <w:pPr>
              <w:shd w:val="clear" w:color="auto" w:fill="FFFFFF"/>
              <w:rPr>
                <w:color w:val="000000"/>
                <w:sz w:val="18"/>
                <w:szCs w:val="18"/>
              </w:rPr>
            </w:pPr>
          </w:p>
          <w:p w14:paraId="1B26236A" w14:textId="77777777" w:rsidR="00BA51CF" w:rsidRPr="006713BF" w:rsidRDefault="00BA51CF" w:rsidP="005A6B35">
            <w:pPr>
              <w:shd w:val="clear" w:color="auto" w:fill="FFFFFF"/>
              <w:rPr>
                <w:color w:val="000000"/>
                <w:sz w:val="18"/>
                <w:szCs w:val="18"/>
              </w:rPr>
            </w:pPr>
          </w:p>
          <w:p w14:paraId="4AA03884" w14:textId="77777777" w:rsidR="00BA51CF" w:rsidRPr="006713BF" w:rsidRDefault="00BA51CF" w:rsidP="005A6B35">
            <w:pPr>
              <w:shd w:val="clear" w:color="auto" w:fill="FFFFFF"/>
              <w:rPr>
                <w:color w:val="000000"/>
                <w:sz w:val="18"/>
                <w:szCs w:val="18"/>
              </w:rPr>
            </w:pPr>
          </w:p>
          <w:p w14:paraId="25AFE8F6" w14:textId="360D8973" w:rsidR="005A6B35" w:rsidRPr="00CA56E4" w:rsidRDefault="005A6B35" w:rsidP="005A6B35">
            <w:pPr>
              <w:shd w:val="clear" w:color="auto" w:fill="FFFFFF"/>
              <w:rPr>
                <w:color w:val="000000"/>
                <w:sz w:val="27"/>
                <w:szCs w:val="27"/>
              </w:rPr>
            </w:pPr>
          </w:p>
        </w:tc>
      </w:tr>
      <w:tr w:rsidR="0069520B" w:rsidRPr="006713BF" w14:paraId="4B1DB957" w14:textId="77777777" w:rsidTr="0069520B">
        <w:trPr>
          <w:tblCellSpacing w:w="0" w:type="dxa"/>
        </w:trPr>
        <w:tc>
          <w:tcPr>
            <w:tcW w:w="0" w:type="auto"/>
            <w:shd w:val="clear" w:color="auto" w:fill="FFFFFF"/>
            <w:vAlign w:val="center"/>
            <w:hideMark/>
          </w:tcPr>
          <w:p w14:paraId="39C10652" w14:textId="14C60B20" w:rsidR="0069520B" w:rsidRPr="00CA56E4" w:rsidRDefault="0069520B" w:rsidP="0069520B">
            <w:pPr>
              <w:shd w:val="clear" w:color="auto" w:fill="FFFFFF"/>
              <w:jc w:val="center"/>
              <w:rPr>
                <w:color w:val="000000"/>
                <w:sz w:val="27"/>
                <w:szCs w:val="27"/>
              </w:rPr>
            </w:pPr>
            <w:r w:rsidRPr="00AC76DF">
              <w:rPr>
                <w:color w:val="000000"/>
              </w:rPr>
              <w:t>Int. No.</w:t>
            </w:r>
            <w:r w:rsidR="009278B5">
              <w:rPr>
                <w:color w:val="000000"/>
              </w:rPr>
              <w:t xml:space="preserve"> 887</w:t>
            </w:r>
          </w:p>
          <w:p w14:paraId="3D1C5826" w14:textId="77777777" w:rsidR="0069520B" w:rsidRPr="00CA56E4" w:rsidRDefault="0069520B" w:rsidP="0069520B">
            <w:pPr>
              <w:shd w:val="clear" w:color="auto" w:fill="FFFFFF"/>
              <w:jc w:val="center"/>
              <w:rPr>
                <w:color w:val="000000"/>
                <w:sz w:val="27"/>
                <w:szCs w:val="27"/>
              </w:rPr>
            </w:pPr>
            <w:r w:rsidRPr="00E15714">
              <w:rPr>
                <w:color w:val="000000"/>
              </w:rPr>
              <w:t> </w:t>
            </w:r>
          </w:p>
          <w:p w14:paraId="036E73EA" w14:textId="77777777" w:rsidR="0069520B" w:rsidRPr="00CA56E4" w:rsidRDefault="0069520B" w:rsidP="0069520B">
            <w:pPr>
              <w:shd w:val="clear" w:color="auto" w:fill="FFFFFF"/>
              <w:jc w:val="both"/>
              <w:rPr>
                <w:color w:val="000000"/>
                <w:sz w:val="27"/>
                <w:szCs w:val="27"/>
              </w:rPr>
            </w:pPr>
            <w:r w:rsidRPr="00E15714">
              <w:rPr>
                <w:color w:val="000000"/>
              </w:rPr>
              <w:t>By the Public Advocate (Mr. Williams) and Council Members Rivera and Cabán</w:t>
            </w:r>
          </w:p>
          <w:p w14:paraId="3F617DC6" w14:textId="77777777" w:rsidR="0069520B" w:rsidRPr="00CA56E4" w:rsidRDefault="0069520B" w:rsidP="0069520B">
            <w:pPr>
              <w:shd w:val="clear" w:color="auto" w:fill="FFFFFF"/>
              <w:jc w:val="both"/>
              <w:rPr>
                <w:color w:val="000000"/>
                <w:sz w:val="27"/>
                <w:szCs w:val="27"/>
              </w:rPr>
            </w:pPr>
            <w:r w:rsidRPr="00E15714">
              <w:rPr>
                <w:color w:val="000000"/>
              </w:rPr>
              <w:t> </w:t>
            </w:r>
          </w:p>
          <w:p w14:paraId="1A22DD63" w14:textId="77777777" w:rsidR="0069520B" w:rsidRPr="00CA56E4" w:rsidRDefault="0069520B" w:rsidP="0069520B">
            <w:pPr>
              <w:shd w:val="clear" w:color="auto" w:fill="FFFFFF"/>
              <w:jc w:val="both"/>
              <w:rPr>
                <w:color w:val="000000"/>
                <w:sz w:val="27"/>
                <w:szCs w:val="27"/>
              </w:rPr>
            </w:pPr>
            <w:r w:rsidRPr="00E15714">
              <w:rPr>
                <w:color w:val="000000"/>
              </w:rPr>
              <w:t>A Local Law to amend the administrative code of the city of New York, in relation to reporting on gender identity of individuals in the custody of the department of correction</w:t>
            </w:r>
          </w:p>
          <w:p w14:paraId="4693EB3E" w14:textId="77777777" w:rsidR="0069520B" w:rsidRPr="00CA56E4" w:rsidRDefault="0069520B" w:rsidP="0069520B">
            <w:pPr>
              <w:shd w:val="clear" w:color="auto" w:fill="FFFFFF"/>
              <w:jc w:val="both"/>
              <w:rPr>
                <w:color w:val="000000"/>
                <w:sz w:val="27"/>
                <w:szCs w:val="27"/>
              </w:rPr>
            </w:pPr>
            <w:r w:rsidRPr="00E15714">
              <w:rPr>
                <w:color w:val="000000"/>
              </w:rPr>
              <w:t> </w:t>
            </w:r>
          </w:p>
          <w:p w14:paraId="33B47FEB" w14:textId="77777777" w:rsidR="0069520B" w:rsidRPr="00CA56E4" w:rsidRDefault="0069520B" w:rsidP="0069520B">
            <w:pPr>
              <w:shd w:val="clear" w:color="auto" w:fill="FFFFFF"/>
              <w:jc w:val="both"/>
              <w:rPr>
                <w:color w:val="000000"/>
                <w:sz w:val="27"/>
                <w:szCs w:val="27"/>
              </w:rPr>
            </w:pPr>
            <w:r w:rsidRPr="00E15714">
              <w:rPr>
                <w:color w:val="000000"/>
                <w:u w:val="single"/>
              </w:rPr>
              <w:t>Be it enacted by the Council as follows:</w:t>
            </w:r>
          </w:p>
          <w:p w14:paraId="2E9C1E68" w14:textId="77777777" w:rsidR="0069520B" w:rsidRPr="00CA56E4" w:rsidRDefault="0069520B" w:rsidP="0069520B">
            <w:pPr>
              <w:shd w:val="clear" w:color="auto" w:fill="FFFFFF"/>
              <w:ind w:firstLine="720"/>
              <w:jc w:val="both"/>
              <w:rPr>
                <w:color w:val="000000"/>
                <w:sz w:val="27"/>
                <w:szCs w:val="27"/>
              </w:rPr>
            </w:pPr>
            <w:r w:rsidRPr="00E15714">
              <w:rPr>
                <w:color w:val="000000"/>
              </w:rPr>
              <w:t> </w:t>
            </w:r>
          </w:p>
          <w:p w14:paraId="364752EC"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rPr>
              <w:t>Section 1. Chapter 1 of title 9 of the administrative code of the city of New York is amended by adding a new section 9-163 to read as follows:</w:t>
            </w:r>
          </w:p>
          <w:p w14:paraId="69450B16"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 9-163 Reporting on gender identity. a. Definitions. As used in this section, the following terms have the following meanings:</w:t>
            </w:r>
          </w:p>
          <w:p w14:paraId="18C745A7"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Commissioner. The term “commissioner” means the commissioner of correction.</w:t>
            </w:r>
          </w:p>
          <w:p w14:paraId="2FC7D868"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Correctional health authority. The term “correctional health authority" means the entity responsible for the delivery of health and mental health services to individuals in the custody of the department.</w:t>
            </w:r>
          </w:p>
          <w:p w14:paraId="20C5E53A"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Department. The term “department” means the department of correction.</w:t>
            </w:r>
          </w:p>
          <w:p w14:paraId="62F79492"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Gender identity. The term “gender identity” means an individual’s sense of such individual’s own gender which may be the same as or different from the sex assigned to such individual at birth.</w:t>
            </w:r>
          </w:p>
          <w:p w14:paraId="4F0B8F36"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Housing unit. The term “housing unit” means a structure or part of a structure that contains single occupancy housing units or multiple occupancy housing units, as such terms are defined in the rules of the New York state commission of correction.</w:t>
            </w:r>
          </w:p>
          <w:p w14:paraId="0981F339"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Relevant organization. The term “relevant organization” means any non-governmental organization that provides reentry services pursuant to a contract with the office of criminal justice.</w:t>
            </w:r>
          </w:p>
          <w:p w14:paraId="595C74B3"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b. Beginning July 15, 2023, and no later than the fifteenth day of each month thereafter, the commissioner shall submit to the mayor, the speaker of the council, and the public advocate, and post on the department’s website, a report containing the following information for the prior month:</w:t>
            </w:r>
          </w:p>
          <w:p w14:paraId="4AF5CA33"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1. The number of individuals in the custody of the department whose gender identity is different from the sex assigned to the individual at birth, further disaggregated by self-described gender identity including, but not limited to, transgender, gender nonconforming, non-binary, or i</w:t>
            </w:r>
            <w:r w:rsidRPr="00891778">
              <w:rPr>
                <w:color w:val="000000"/>
                <w:u w:val="single"/>
              </w:rPr>
              <w:t>ntersex;</w:t>
            </w:r>
          </w:p>
          <w:p w14:paraId="525AD1D4"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2. The housing units in which such individuals as described in paragraph 1 of this subdivision are currently housed and the number of such individuals housed in each housing unit;</w:t>
            </w:r>
          </w:p>
          <w:p w14:paraId="0130A0EA"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3. The number of such individuals as described in paragraph 1 of this subdivision who objected to their current housing unit placement or applied for a different housing unit placement;</w:t>
            </w:r>
          </w:p>
          <w:p w14:paraId="4199DDE4"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4. The number of such individuals as described in paragraph 1 of this subdivision who were denied a request for a different housing unit placement; and</w:t>
            </w:r>
          </w:p>
          <w:p w14:paraId="46E2461A"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5. The number of incidents involving violence against such individuals as described in paragraph 1 of this subdivision.</w:t>
            </w:r>
          </w:p>
          <w:p w14:paraId="71A82351"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c. Unless otherwise precluded by law, the correctional health authority and relevant organizations shall assist the department in collecting the information enumerated in subdivision b of this section.</w:t>
            </w:r>
          </w:p>
          <w:p w14:paraId="5A5FCC64"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u w:val="single"/>
              </w:rPr>
              <w:t>d. </w:t>
            </w:r>
            <w:r w:rsidRPr="00CA56E4">
              <w:rPr>
                <w:color w:val="000000"/>
                <w:u w:val="single"/>
              </w:rPr>
              <w:t>Reports required pursuant to this section shall not contain identifying information as defined in section 23-1201. If a category to be reported contains fewer than 10 individuals or contains an amount that would allow another category that contains fewer than 10 individuals to be deduced, the number shall be replaced with a symbol.</w:t>
            </w:r>
          </w:p>
          <w:p w14:paraId="2830FCCF" w14:textId="77777777" w:rsidR="0069520B" w:rsidRPr="00CA56E4" w:rsidRDefault="0069520B" w:rsidP="0069520B">
            <w:pPr>
              <w:shd w:val="clear" w:color="auto" w:fill="FFFFFF"/>
              <w:spacing w:line="480" w:lineRule="auto"/>
              <w:ind w:firstLine="720"/>
              <w:jc w:val="both"/>
              <w:rPr>
                <w:color w:val="000000"/>
                <w:sz w:val="27"/>
                <w:szCs w:val="27"/>
              </w:rPr>
            </w:pPr>
            <w:r w:rsidRPr="00E15714">
              <w:rPr>
                <w:color w:val="000000"/>
              </w:rPr>
              <w:t>§ 2. This local law takes effect immediately.</w:t>
            </w:r>
          </w:p>
          <w:p w14:paraId="7A5F5AED" w14:textId="77777777" w:rsidR="0069520B" w:rsidRPr="00CA56E4" w:rsidRDefault="0069520B" w:rsidP="0069520B">
            <w:pPr>
              <w:shd w:val="clear" w:color="auto" w:fill="FFFFFF"/>
              <w:jc w:val="both"/>
              <w:rPr>
                <w:color w:val="000000"/>
                <w:sz w:val="27"/>
                <w:szCs w:val="27"/>
              </w:rPr>
            </w:pPr>
            <w:r w:rsidRPr="00E15714">
              <w:rPr>
                <w:color w:val="000000"/>
                <w:sz w:val="18"/>
                <w:szCs w:val="18"/>
              </w:rPr>
              <w:t> </w:t>
            </w:r>
          </w:p>
          <w:p w14:paraId="37302C1C" w14:textId="77777777" w:rsidR="0069520B" w:rsidRPr="00CA56E4" w:rsidRDefault="0069520B" w:rsidP="0069520B">
            <w:pPr>
              <w:shd w:val="clear" w:color="auto" w:fill="FFFFFF"/>
              <w:jc w:val="both"/>
              <w:rPr>
                <w:color w:val="000000"/>
                <w:sz w:val="27"/>
                <w:szCs w:val="27"/>
              </w:rPr>
            </w:pPr>
            <w:r w:rsidRPr="00E15714">
              <w:rPr>
                <w:color w:val="000000"/>
                <w:sz w:val="18"/>
                <w:szCs w:val="18"/>
              </w:rPr>
              <w:t> </w:t>
            </w:r>
          </w:p>
          <w:p w14:paraId="3A838495" w14:textId="04F7F970" w:rsidR="0069520B" w:rsidRPr="00CA56E4" w:rsidRDefault="0069520B" w:rsidP="0069520B">
            <w:pPr>
              <w:shd w:val="clear" w:color="auto" w:fill="FFFFFF"/>
              <w:jc w:val="both"/>
              <w:rPr>
                <w:color w:val="000000"/>
                <w:sz w:val="27"/>
                <w:szCs w:val="27"/>
              </w:rPr>
            </w:pPr>
          </w:p>
          <w:p w14:paraId="62821262" w14:textId="77777777" w:rsidR="0069520B" w:rsidRPr="00CA56E4" w:rsidRDefault="0069520B" w:rsidP="0069520B">
            <w:pPr>
              <w:shd w:val="clear" w:color="auto" w:fill="FFFFFF"/>
              <w:jc w:val="both"/>
              <w:rPr>
                <w:color w:val="000000"/>
                <w:sz w:val="27"/>
                <w:szCs w:val="27"/>
              </w:rPr>
            </w:pPr>
            <w:r w:rsidRPr="00E15714">
              <w:rPr>
                <w:color w:val="000000"/>
                <w:sz w:val="18"/>
                <w:szCs w:val="18"/>
              </w:rPr>
              <w:t> </w:t>
            </w:r>
          </w:p>
          <w:p w14:paraId="330813AB" w14:textId="77777777" w:rsidR="0069520B" w:rsidRPr="00CA56E4" w:rsidRDefault="0069520B" w:rsidP="0069520B">
            <w:pPr>
              <w:shd w:val="clear" w:color="auto" w:fill="FFFFFF"/>
              <w:jc w:val="both"/>
              <w:rPr>
                <w:color w:val="000000"/>
                <w:sz w:val="27"/>
                <w:szCs w:val="27"/>
              </w:rPr>
            </w:pPr>
            <w:r w:rsidRPr="00E15714">
              <w:rPr>
                <w:color w:val="000000"/>
                <w:sz w:val="18"/>
                <w:szCs w:val="18"/>
              </w:rPr>
              <w:t>SM</w:t>
            </w:r>
          </w:p>
          <w:p w14:paraId="57E74755" w14:textId="77777777" w:rsidR="0069520B" w:rsidRPr="00CA56E4" w:rsidRDefault="0069520B" w:rsidP="0069520B">
            <w:pPr>
              <w:shd w:val="clear" w:color="auto" w:fill="FFFFFF"/>
              <w:jc w:val="both"/>
              <w:rPr>
                <w:color w:val="000000"/>
                <w:sz w:val="27"/>
                <w:szCs w:val="27"/>
              </w:rPr>
            </w:pPr>
            <w:r w:rsidRPr="00E15714">
              <w:rPr>
                <w:color w:val="000000"/>
                <w:sz w:val="18"/>
                <w:szCs w:val="18"/>
              </w:rPr>
              <w:t>LS #9196/9971/10775</w:t>
            </w:r>
          </w:p>
          <w:p w14:paraId="5EA87B44" w14:textId="77777777" w:rsidR="0069520B" w:rsidRPr="00CA56E4" w:rsidRDefault="0069520B" w:rsidP="0069520B">
            <w:pPr>
              <w:shd w:val="clear" w:color="auto" w:fill="FFFFFF"/>
              <w:rPr>
                <w:color w:val="000000"/>
                <w:sz w:val="27"/>
                <w:szCs w:val="27"/>
              </w:rPr>
            </w:pPr>
            <w:r w:rsidRPr="00E15714">
              <w:rPr>
                <w:color w:val="000000"/>
                <w:sz w:val="18"/>
                <w:szCs w:val="18"/>
              </w:rPr>
              <w:t>11/09/22 3:04 PM</w:t>
            </w:r>
          </w:p>
          <w:p w14:paraId="008DD56B" w14:textId="77777777" w:rsidR="0069520B" w:rsidRPr="00CA56E4" w:rsidRDefault="0069520B" w:rsidP="0069520B">
            <w:pPr>
              <w:shd w:val="clear" w:color="auto" w:fill="FFFFFF"/>
              <w:rPr>
                <w:color w:val="000000"/>
                <w:sz w:val="27"/>
                <w:szCs w:val="27"/>
              </w:rPr>
            </w:pPr>
            <w:r w:rsidRPr="00E15714">
              <w:rPr>
                <w:color w:val="000000"/>
                <w:sz w:val="18"/>
                <w:szCs w:val="18"/>
              </w:rPr>
              <w:t> </w:t>
            </w:r>
          </w:p>
          <w:p w14:paraId="5C412B0F" w14:textId="77777777" w:rsidR="0069520B" w:rsidRPr="00CA56E4" w:rsidRDefault="0069520B" w:rsidP="0069520B">
            <w:pPr>
              <w:shd w:val="clear" w:color="auto" w:fill="FFFFFF"/>
              <w:rPr>
                <w:color w:val="000000"/>
                <w:sz w:val="27"/>
                <w:szCs w:val="27"/>
              </w:rPr>
            </w:pPr>
            <w:r w:rsidRPr="00E15714">
              <w:rPr>
                <w:color w:val="000000"/>
                <w:sz w:val="18"/>
                <w:szCs w:val="18"/>
              </w:rPr>
              <w:t> </w:t>
            </w:r>
          </w:p>
        </w:tc>
      </w:tr>
    </w:tbl>
    <w:p w14:paraId="1BCC6EFF" w14:textId="342006F1" w:rsidR="00BA51CF" w:rsidRPr="00CA56E4" w:rsidRDefault="00BA51CF" w:rsidP="0069520B">
      <w:pPr>
        <w:rPr>
          <w:color w:val="000000"/>
          <w:sz w:val="27"/>
          <w:szCs w:val="27"/>
        </w:rPr>
      </w:pPr>
    </w:p>
    <w:p w14:paraId="5D639173" w14:textId="675BB76D" w:rsidR="00BA51CF" w:rsidRDefault="00BA51CF" w:rsidP="0069520B">
      <w:pPr>
        <w:rPr>
          <w:color w:val="000000"/>
          <w:sz w:val="27"/>
          <w:szCs w:val="27"/>
        </w:rPr>
      </w:pPr>
    </w:p>
    <w:p w14:paraId="4498CA48" w14:textId="34950566" w:rsidR="00CB1497" w:rsidRDefault="00CB1497" w:rsidP="0069520B">
      <w:pPr>
        <w:rPr>
          <w:color w:val="000000"/>
          <w:sz w:val="27"/>
          <w:szCs w:val="27"/>
        </w:rPr>
      </w:pPr>
    </w:p>
    <w:p w14:paraId="53FCDA58" w14:textId="265135F7" w:rsidR="00CB1497" w:rsidRDefault="00CB1497" w:rsidP="0069520B">
      <w:pPr>
        <w:rPr>
          <w:color w:val="000000"/>
          <w:sz w:val="27"/>
          <w:szCs w:val="27"/>
        </w:rPr>
      </w:pPr>
    </w:p>
    <w:p w14:paraId="14900FF6" w14:textId="75C111ED" w:rsidR="00CB1497" w:rsidRDefault="00CB1497" w:rsidP="0069520B">
      <w:pPr>
        <w:rPr>
          <w:color w:val="000000"/>
          <w:sz w:val="27"/>
          <w:szCs w:val="27"/>
        </w:rPr>
      </w:pPr>
    </w:p>
    <w:p w14:paraId="0AD9AED5" w14:textId="5C14CD10" w:rsidR="00CB1497" w:rsidRDefault="00CB1497" w:rsidP="0069520B">
      <w:pPr>
        <w:rPr>
          <w:color w:val="000000"/>
          <w:sz w:val="27"/>
          <w:szCs w:val="27"/>
        </w:rPr>
      </w:pPr>
    </w:p>
    <w:p w14:paraId="250BB4AF" w14:textId="4D1F5732" w:rsidR="00CB1497" w:rsidRDefault="00CB1497" w:rsidP="0069520B">
      <w:pPr>
        <w:rPr>
          <w:color w:val="000000"/>
          <w:sz w:val="27"/>
          <w:szCs w:val="27"/>
        </w:rPr>
      </w:pPr>
    </w:p>
    <w:p w14:paraId="4660E6CA" w14:textId="0E82B41E" w:rsidR="00CB1497" w:rsidRDefault="00CB1497" w:rsidP="0069520B">
      <w:pPr>
        <w:rPr>
          <w:color w:val="000000"/>
          <w:sz w:val="27"/>
          <w:szCs w:val="27"/>
        </w:rPr>
      </w:pPr>
    </w:p>
    <w:p w14:paraId="4744A97B" w14:textId="3026B192" w:rsidR="00CB1497" w:rsidRDefault="00CB1497" w:rsidP="0069520B">
      <w:pPr>
        <w:rPr>
          <w:color w:val="000000"/>
          <w:sz w:val="27"/>
          <w:szCs w:val="27"/>
        </w:rPr>
      </w:pPr>
    </w:p>
    <w:p w14:paraId="5776F85E" w14:textId="0A230F2F" w:rsidR="00CB1497" w:rsidRDefault="00CB1497" w:rsidP="0069520B">
      <w:pPr>
        <w:rPr>
          <w:color w:val="000000"/>
          <w:sz w:val="27"/>
          <w:szCs w:val="27"/>
        </w:rPr>
      </w:pPr>
    </w:p>
    <w:p w14:paraId="7E0A3A2A" w14:textId="69665105" w:rsidR="00CB1497" w:rsidRDefault="00CB1497" w:rsidP="0069520B">
      <w:pPr>
        <w:rPr>
          <w:color w:val="000000"/>
          <w:sz w:val="27"/>
          <w:szCs w:val="27"/>
        </w:rPr>
      </w:pPr>
    </w:p>
    <w:p w14:paraId="153F1F16" w14:textId="3198428B" w:rsidR="00CB1497" w:rsidRDefault="00CB1497" w:rsidP="0069520B">
      <w:pPr>
        <w:rPr>
          <w:color w:val="000000"/>
          <w:sz w:val="27"/>
          <w:szCs w:val="27"/>
        </w:rPr>
      </w:pPr>
    </w:p>
    <w:p w14:paraId="393DA723" w14:textId="0D41BEFD" w:rsidR="00CB1497" w:rsidRDefault="00CB1497" w:rsidP="0069520B">
      <w:pPr>
        <w:rPr>
          <w:color w:val="000000"/>
          <w:sz w:val="27"/>
          <w:szCs w:val="27"/>
        </w:rPr>
      </w:pPr>
    </w:p>
    <w:p w14:paraId="2E489826" w14:textId="3201B209" w:rsidR="00CB1497" w:rsidRDefault="00CB1497" w:rsidP="0069520B">
      <w:pPr>
        <w:rPr>
          <w:color w:val="000000"/>
          <w:sz w:val="27"/>
          <w:szCs w:val="27"/>
        </w:rPr>
      </w:pPr>
    </w:p>
    <w:p w14:paraId="0617E102" w14:textId="5D1FC61E" w:rsidR="00CB1497" w:rsidRDefault="00CB1497" w:rsidP="0069520B">
      <w:pPr>
        <w:rPr>
          <w:color w:val="000000"/>
          <w:sz w:val="27"/>
          <w:szCs w:val="27"/>
        </w:rPr>
      </w:pPr>
    </w:p>
    <w:p w14:paraId="2700562D" w14:textId="52F6B7B1" w:rsidR="00CB1497" w:rsidRDefault="00CB1497" w:rsidP="0069520B">
      <w:pPr>
        <w:rPr>
          <w:color w:val="000000"/>
          <w:sz w:val="27"/>
          <w:szCs w:val="27"/>
        </w:rPr>
      </w:pPr>
    </w:p>
    <w:p w14:paraId="5DF1D5BE" w14:textId="21A1CF10" w:rsidR="00CB1497" w:rsidRDefault="00CB1497" w:rsidP="0069520B">
      <w:pPr>
        <w:rPr>
          <w:color w:val="000000"/>
          <w:sz w:val="27"/>
          <w:szCs w:val="27"/>
        </w:rPr>
      </w:pPr>
    </w:p>
    <w:p w14:paraId="57916803" w14:textId="005014B5" w:rsidR="00CB1497" w:rsidRDefault="00CB1497" w:rsidP="0069520B">
      <w:pPr>
        <w:rPr>
          <w:color w:val="000000"/>
          <w:sz w:val="27"/>
          <w:szCs w:val="27"/>
        </w:rPr>
      </w:pPr>
    </w:p>
    <w:p w14:paraId="1B372086" w14:textId="2CE77412" w:rsidR="00CB1497" w:rsidRDefault="00CB1497" w:rsidP="0069520B">
      <w:pPr>
        <w:rPr>
          <w:color w:val="000000"/>
          <w:sz w:val="27"/>
          <w:szCs w:val="27"/>
        </w:rPr>
      </w:pPr>
    </w:p>
    <w:p w14:paraId="465CB207" w14:textId="6D268810" w:rsidR="00CB1497" w:rsidRDefault="00CB1497" w:rsidP="0069520B">
      <w:pPr>
        <w:rPr>
          <w:color w:val="000000"/>
          <w:sz w:val="27"/>
          <w:szCs w:val="27"/>
        </w:rPr>
      </w:pPr>
    </w:p>
    <w:p w14:paraId="7A3EBFA0" w14:textId="544A5A08" w:rsidR="00CB1497" w:rsidRDefault="00CB1497" w:rsidP="0069520B">
      <w:pPr>
        <w:rPr>
          <w:color w:val="000000"/>
          <w:sz w:val="27"/>
          <w:szCs w:val="27"/>
        </w:rPr>
      </w:pPr>
    </w:p>
    <w:p w14:paraId="436CB6F4" w14:textId="3CB38482" w:rsidR="00CB1497" w:rsidRDefault="00CB1497" w:rsidP="0069520B">
      <w:pPr>
        <w:rPr>
          <w:color w:val="000000"/>
          <w:sz w:val="27"/>
          <w:szCs w:val="27"/>
        </w:rPr>
      </w:pPr>
    </w:p>
    <w:p w14:paraId="4DEF4F36" w14:textId="70BE983E" w:rsidR="00CB1497" w:rsidRDefault="00CB1497" w:rsidP="0069520B">
      <w:pPr>
        <w:rPr>
          <w:color w:val="000000"/>
          <w:sz w:val="27"/>
          <w:szCs w:val="27"/>
        </w:rPr>
      </w:pPr>
    </w:p>
    <w:p w14:paraId="5AE36341" w14:textId="6063A1A2" w:rsidR="00CB1497" w:rsidRDefault="00CB1497" w:rsidP="0069520B">
      <w:pPr>
        <w:rPr>
          <w:color w:val="000000"/>
          <w:sz w:val="27"/>
          <w:szCs w:val="27"/>
        </w:rPr>
      </w:pPr>
    </w:p>
    <w:p w14:paraId="693CA8B4" w14:textId="5720EDF6" w:rsidR="00CB1497" w:rsidRDefault="00CB1497" w:rsidP="0069520B">
      <w:pPr>
        <w:rPr>
          <w:color w:val="000000"/>
          <w:sz w:val="27"/>
          <w:szCs w:val="27"/>
        </w:rPr>
      </w:pPr>
    </w:p>
    <w:p w14:paraId="2555D7C7" w14:textId="6943A5DD" w:rsidR="00CB1497" w:rsidRDefault="00CB1497" w:rsidP="0069520B">
      <w:pPr>
        <w:rPr>
          <w:color w:val="000000"/>
          <w:sz w:val="27"/>
          <w:szCs w:val="27"/>
        </w:rPr>
      </w:pPr>
    </w:p>
    <w:p w14:paraId="633EEE71" w14:textId="004E591E" w:rsidR="00CB1497" w:rsidRDefault="00CB1497" w:rsidP="0069520B">
      <w:pPr>
        <w:rPr>
          <w:color w:val="000000"/>
          <w:sz w:val="27"/>
          <w:szCs w:val="27"/>
        </w:rPr>
      </w:pPr>
    </w:p>
    <w:p w14:paraId="58BD953C" w14:textId="7C13079F" w:rsidR="00CB1497" w:rsidRDefault="00CB1497" w:rsidP="0069520B">
      <w:pPr>
        <w:rPr>
          <w:color w:val="000000"/>
          <w:sz w:val="27"/>
          <w:szCs w:val="27"/>
        </w:rPr>
      </w:pPr>
    </w:p>
    <w:p w14:paraId="01184B69" w14:textId="1C11BD4F" w:rsidR="00CB1497" w:rsidRDefault="00CB1497" w:rsidP="0069520B">
      <w:pPr>
        <w:rPr>
          <w:color w:val="000000"/>
          <w:sz w:val="27"/>
          <w:szCs w:val="27"/>
        </w:rPr>
      </w:pPr>
    </w:p>
    <w:p w14:paraId="6F984216" w14:textId="3F2C28C9" w:rsidR="00CB1497" w:rsidRDefault="00CB1497" w:rsidP="0069520B">
      <w:pPr>
        <w:rPr>
          <w:color w:val="000000"/>
          <w:sz w:val="27"/>
          <w:szCs w:val="27"/>
        </w:rPr>
      </w:pPr>
    </w:p>
    <w:p w14:paraId="1C2580B6" w14:textId="65C789DA" w:rsidR="00CB1497" w:rsidRDefault="00CB1497" w:rsidP="0069520B">
      <w:pPr>
        <w:rPr>
          <w:color w:val="000000"/>
          <w:sz w:val="27"/>
          <w:szCs w:val="27"/>
        </w:rPr>
      </w:pPr>
    </w:p>
    <w:p w14:paraId="330051D4" w14:textId="2E4FFF7E" w:rsidR="00CB1497" w:rsidRDefault="00CB1497" w:rsidP="0069520B">
      <w:pPr>
        <w:rPr>
          <w:color w:val="000000"/>
          <w:sz w:val="27"/>
          <w:szCs w:val="27"/>
        </w:rPr>
      </w:pPr>
    </w:p>
    <w:p w14:paraId="4E095792" w14:textId="57714ADD" w:rsidR="00CB1497" w:rsidRDefault="00CB1497" w:rsidP="0069520B">
      <w:pPr>
        <w:rPr>
          <w:color w:val="000000"/>
          <w:sz w:val="27"/>
          <w:szCs w:val="27"/>
        </w:rPr>
      </w:pPr>
    </w:p>
    <w:p w14:paraId="3051DD6C" w14:textId="4FA8499B" w:rsidR="00CB1497" w:rsidRDefault="00CB1497" w:rsidP="0069520B">
      <w:pPr>
        <w:rPr>
          <w:color w:val="000000"/>
          <w:sz w:val="27"/>
          <w:szCs w:val="27"/>
        </w:rPr>
      </w:pPr>
    </w:p>
    <w:p w14:paraId="061CA331" w14:textId="13AD4726" w:rsidR="00CB1497" w:rsidRDefault="00CB1497" w:rsidP="0069520B">
      <w:pPr>
        <w:rPr>
          <w:color w:val="000000"/>
          <w:sz w:val="27"/>
          <w:szCs w:val="27"/>
        </w:rPr>
      </w:pPr>
    </w:p>
    <w:p w14:paraId="798F470E" w14:textId="08A5E484" w:rsidR="00CB1497" w:rsidRDefault="00CB1497" w:rsidP="0069520B">
      <w:pPr>
        <w:rPr>
          <w:color w:val="000000"/>
          <w:sz w:val="27"/>
          <w:szCs w:val="27"/>
        </w:rPr>
      </w:pPr>
    </w:p>
    <w:p w14:paraId="0D571CF9" w14:textId="77777777" w:rsidR="00CB1497" w:rsidRPr="00CA56E4" w:rsidRDefault="00CB1497" w:rsidP="0069520B">
      <w:pPr>
        <w:rPr>
          <w:color w:val="000000"/>
          <w:sz w:val="27"/>
          <w:szCs w:val="27"/>
        </w:rPr>
      </w:pPr>
    </w:p>
    <w:p w14:paraId="467FF374" w14:textId="77777777" w:rsidR="006A3875" w:rsidRPr="003A3240" w:rsidRDefault="006A3875" w:rsidP="006A3875">
      <w:pPr>
        <w:jc w:val="center"/>
      </w:pPr>
      <w:r w:rsidRPr="003A3240">
        <w:t>Res</w:t>
      </w:r>
      <w:r>
        <w:t>.</w:t>
      </w:r>
      <w:r w:rsidRPr="003A3240">
        <w:t xml:space="preserve"> No.</w:t>
      </w:r>
      <w:r>
        <w:t xml:space="preserve"> 117</w:t>
      </w:r>
    </w:p>
    <w:p w14:paraId="35AB7066" w14:textId="77777777" w:rsidR="006A3875" w:rsidRPr="003A3240" w:rsidRDefault="006A3875" w:rsidP="006A3875">
      <w:pPr>
        <w:jc w:val="both"/>
      </w:pPr>
    </w:p>
    <w:p w14:paraId="0D03C8EF" w14:textId="77777777" w:rsidR="006A3875" w:rsidRPr="00321953" w:rsidRDefault="006A3875" w:rsidP="006A3875">
      <w:pPr>
        <w:jc w:val="both"/>
        <w:rPr>
          <w:vanish/>
        </w:rPr>
      </w:pPr>
      <w:r w:rsidRPr="00321953">
        <w:rPr>
          <w:vanish/>
        </w:rPr>
        <w:t>..Title</w:t>
      </w:r>
    </w:p>
    <w:p w14:paraId="65401E10" w14:textId="77777777" w:rsidR="006A3875" w:rsidRDefault="006A3875" w:rsidP="006A3875">
      <w:pPr>
        <w:jc w:val="both"/>
      </w:pPr>
      <w:r>
        <w:t>Resolution calling on the New York State Legislature to pass, and the Governor to sign, a bill that would mandate the Office of Court Administration to update the securing order form to include a gender X option.</w:t>
      </w:r>
    </w:p>
    <w:p w14:paraId="67CE3037" w14:textId="77777777" w:rsidR="006A3875" w:rsidRPr="00321953" w:rsidRDefault="006A3875" w:rsidP="006A3875">
      <w:pPr>
        <w:jc w:val="both"/>
        <w:rPr>
          <w:vanish/>
        </w:rPr>
      </w:pPr>
      <w:r w:rsidRPr="00321953">
        <w:rPr>
          <w:vanish/>
        </w:rPr>
        <w:t>..Body</w:t>
      </w:r>
    </w:p>
    <w:p w14:paraId="6C1C971A" w14:textId="77777777" w:rsidR="006A3875" w:rsidRPr="003A3240" w:rsidRDefault="006A3875" w:rsidP="006A3875">
      <w:pPr>
        <w:jc w:val="both"/>
      </w:pPr>
    </w:p>
    <w:p w14:paraId="1FDDBA95" w14:textId="77777777" w:rsidR="006A3875" w:rsidRDefault="006A3875" w:rsidP="006A3875">
      <w:pPr>
        <w:autoSpaceDE w:val="0"/>
        <w:autoSpaceDN w:val="0"/>
        <w:adjustRightInd w:val="0"/>
        <w:jc w:val="both"/>
      </w:pPr>
      <w:r>
        <w:t>By The Public Advocate (Mr. Williams) and Council Members Hudson, Schulman, Bottcher, Cabán, Ossé, Richardson Jordan, Hanif, Brewer, Won, Restler, Krishnan and Nurse</w:t>
      </w:r>
    </w:p>
    <w:p w14:paraId="184B9C9B" w14:textId="77777777" w:rsidR="006A3875" w:rsidRDefault="006A3875" w:rsidP="006A3875">
      <w:pPr>
        <w:jc w:val="both"/>
      </w:pPr>
    </w:p>
    <w:p w14:paraId="27C39BCF" w14:textId="77777777" w:rsidR="006A3875" w:rsidRPr="003A3240" w:rsidRDefault="006A3875" w:rsidP="006A3875">
      <w:pPr>
        <w:spacing w:line="480" w:lineRule="auto"/>
        <w:ind w:firstLine="720"/>
        <w:jc w:val="both"/>
      </w:pPr>
      <w:r w:rsidRPr="003A3240">
        <w:t xml:space="preserve">Whereas, The Office of Court Administration’s </w:t>
      </w:r>
      <w:r>
        <w:t xml:space="preserve">(OCA) </w:t>
      </w:r>
      <w:r w:rsidRPr="003A3240">
        <w:t>Securing Order</w:t>
      </w:r>
      <w:r>
        <w:t xml:space="preserve"> </w:t>
      </w:r>
      <w:r w:rsidRPr="003A3240">
        <w:t xml:space="preserve">form collects basic demographic information about a criminal defendant at arraignment; and </w:t>
      </w:r>
    </w:p>
    <w:p w14:paraId="163D2234" w14:textId="77777777" w:rsidR="006A3875" w:rsidRPr="003A3240" w:rsidRDefault="006A3875" w:rsidP="006A3875">
      <w:pPr>
        <w:spacing w:line="480" w:lineRule="auto"/>
        <w:ind w:firstLine="720"/>
        <w:jc w:val="both"/>
      </w:pPr>
      <w:r w:rsidRPr="003A3240">
        <w:t xml:space="preserve">Whereas, The </w:t>
      </w:r>
      <w:r>
        <w:t>Securing Order f</w:t>
      </w:r>
      <w:r w:rsidRPr="003A3240">
        <w:t xml:space="preserve">orm features a question with a check box for female and male only and auto-filled with information contained in the New York </w:t>
      </w:r>
      <w:r>
        <w:t xml:space="preserve">City </w:t>
      </w:r>
      <w:r w:rsidRPr="003A3240">
        <w:t xml:space="preserve">Police Department and the District Attorney’s paperwork where gender markers are frequently marked incorrectly as defendants are unable to self-identify; and </w:t>
      </w:r>
    </w:p>
    <w:p w14:paraId="4255DBBD" w14:textId="77777777" w:rsidR="006A3875" w:rsidRPr="003A3240" w:rsidRDefault="006A3875" w:rsidP="006A3875">
      <w:pPr>
        <w:spacing w:line="480" w:lineRule="auto"/>
        <w:ind w:firstLine="720"/>
        <w:jc w:val="both"/>
      </w:pPr>
      <w:r w:rsidRPr="003A3240">
        <w:t>Whereas, Consequently, this strict binary option excludes New Yorkers who do not identify as male or female, or do not wish to identify; and</w:t>
      </w:r>
    </w:p>
    <w:p w14:paraId="72DBB9FF" w14:textId="77777777" w:rsidR="006A3875" w:rsidRPr="003A3240" w:rsidRDefault="006A3875" w:rsidP="006A3875">
      <w:pPr>
        <w:spacing w:line="480" w:lineRule="auto"/>
        <w:ind w:firstLine="720"/>
        <w:jc w:val="both"/>
      </w:pPr>
      <w:r w:rsidRPr="003A3240">
        <w:t xml:space="preserve">Whereas, In an effort </w:t>
      </w:r>
      <w:r>
        <w:t>to be inclusive, the</w:t>
      </w:r>
      <w:r w:rsidRPr="003A3240">
        <w:t xml:space="preserve"> New York court system announced </w:t>
      </w:r>
      <w:r>
        <w:t>in 2019</w:t>
      </w:r>
      <w:r w:rsidRPr="003A3240">
        <w:t xml:space="preserve"> its plan to expand the gender options on jury forms to be more inclusive of New Yorkers who do not identify as male or female; and </w:t>
      </w:r>
    </w:p>
    <w:p w14:paraId="727B71C1" w14:textId="77777777" w:rsidR="006A3875" w:rsidRPr="003A3240" w:rsidRDefault="006A3875" w:rsidP="006A3875">
      <w:pPr>
        <w:spacing w:line="480" w:lineRule="auto"/>
        <w:ind w:firstLine="720"/>
        <w:jc w:val="both"/>
      </w:pPr>
      <w:r w:rsidRPr="003A3240">
        <w:t xml:space="preserve">Whereas, The new jury form, according to </w:t>
      </w:r>
      <w:r>
        <w:t>an OCA</w:t>
      </w:r>
      <w:r w:rsidRPr="003A3240">
        <w:t xml:space="preserve"> spokesman, would include the gender options female, male, transgender, non-binary, intersex and other; and </w:t>
      </w:r>
    </w:p>
    <w:p w14:paraId="04C7FEB7" w14:textId="77777777" w:rsidR="006A3875" w:rsidRPr="003A3240" w:rsidRDefault="006A3875" w:rsidP="006A3875">
      <w:pPr>
        <w:spacing w:line="480" w:lineRule="auto"/>
        <w:ind w:firstLine="720"/>
        <w:jc w:val="both"/>
      </w:pPr>
      <w:r w:rsidRPr="003A3240">
        <w:t xml:space="preserve">Whereas, The </w:t>
      </w:r>
      <w:r>
        <w:t>OCA</w:t>
      </w:r>
      <w:r w:rsidRPr="003A3240">
        <w:t xml:space="preserve"> has not made a similar public announcement about the Securing Order form; and </w:t>
      </w:r>
    </w:p>
    <w:p w14:paraId="078360DD" w14:textId="77777777" w:rsidR="006A3875" w:rsidRPr="003A3240" w:rsidRDefault="006A3875" w:rsidP="006A3875">
      <w:pPr>
        <w:spacing w:line="480" w:lineRule="auto"/>
        <w:ind w:firstLine="720"/>
        <w:jc w:val="both"/>
      </w:pPr>
      <w:r w:rsidRPr="003A3240">
        <w:t xml:space="preserve">Whereas, States and cities have moved to expand gender options on state-issued identification documents to acknowledge the existence of intersex, transgender, and non-binary individuals; and  </w:t>
      </w:r>
    </w:p>
    <w:p w14:paraId="5627C278" w14:textId="77777777" w:rsidR="006A3875" w:rsidRPr="003A3240" w:rsidRDefault="006A3875" w:rsidP="006A3875">
      <w:pPr>
        <w:spacing w:line="480" w:lineRule="auto"/>
        <w:ind w:firstLine="720"/>
        <w:jc w:val="both"/>
      </w:pPr>
      <w:r w:rsidRPr="003A3240">
        <w:t xml:space="preserve">Whereas, </w:t>
      </w:r>
      <w:r>
        <w:t>At</w:t>
      </w:r>
      <w:r w:rsidRPr="003A3240">
        <w:t xml:space="preserve"> least fourteen states, including the District of Columbia, offer a gender X option on driver’s licenses, so people who do not identify as female or male can choose X instead; and </w:t>
      </w:r>
    </w:p>
    <w:p w14:paraId="4E5C5AAC" w14:textId="77777777" w:rsidR="006A3875" w:rsidRPr="003A3240" w:rsidRDefault="006A3875" w:rsidP="006A3875">
      <w:pPr>
        <w:spacing w:line="480" w:lineRule="auto"/>
        <w:ind w:firstLine="720"/>
        <w:jc w:val="both"/>
      </w:pPr>
      <w:r w:rsidRPr="003A3240">
        <w:t>Whereas, New York City began offering a gender X option on birth certificate</w:t>
      </w:r>
      <w:r>
        <w:t>s in 2019</w:t>
      </w:r>
      <w:r w:rsidRPr="003A3240">
        <w:t>, allowing New Yorkers to make changes to their birth certificate to reflect a gender X designation without physician authorization; and</w:t>
      </w:r>
    </w:p>
    <w:p w14:paraId="480F5399" w14:textId="77777777" w:rsidR="006A3875" w:rsidRPr="003A3240" w:rsidRDefault="006A3875" w:rsidP="006A3875">
      <w:pPr>
        <w:spacing w:line="480" w:lineRule="auto"/>
        <w:ind w:firstLine="720"/>
        <w:jc w:val="both"/>
      </w:pPr>
      <w:r w:rsidRPr="003A3240">
        <w:t>Whereas, Updating the Securing Order form to reflect a gender X option would bring New York a step closer in recognizing the rights and dignity of intersex, transgender, and non-binary New Yorkers; and now, therefore, be it</w:t>
      </w:r>
    </w:p>
    <w:p w14:paraId="6E2406E8" w14:textId="66E43906" w:rsidR="006A3875" w:rsidRDefault="006A3875" w:rsidP="006A3875">
      <w:pPr>
        <w:spacing w:line="480" w:lineRule="auto"/>
        <w:ind w:firstLine="720"/>
        <w:jc w:val="both"/>
      </w:pPr>
      <w:r w:rsidRPr="003A3240">
        <w:t>Resolved, That the Council of the City of New York calls upon the New York State Legislature to pass, and the Governor to sign, a bill that would mandate the Office of Court Administration to update the securing order form to include a gender x option</w:t>
      </w:r>
      <w:r>
        <w:t>.</w:t>
      </w:r>
    </w:p>
    <w:p w14:paraId="7729D52F" w14:textId="77777777" w:rsidR="006A3875" w:rsidRDefault="006A3875" w:rsidP="006A3875">
      <w:pPr>
        <w:jc w:val="both"/>
      </w:pPr>
    </w:p>
    <w:p w14:paraId="1AE4634A" w14:textId="77777777" w:rsidR="006A3875" w:rsidRDefault="006A3875" w:rsidP="006A3875">
      <w:pPr>
        <w:jc w:val="both"/>
      </w:pPr>
    </w:p>
    <w:p w14:paraId="46C1C10F" w14:textId="77777777" w:rsidR="006A3875" w:rsidRDefault="006A3875" w:rsidP="006A3875">
      <w:pPr>
        <w:jc w:val="both"/>
      </w:pPr>
      <w:r>
        <w:t>Session 12</w:t>
      </w:r>
    </w:p>
    <w:p w14:paraId="1218389D" w14:textId="77777777" w:rsidR="006A3875" w:rsidRDefault="006A3875" w:rsidP="006A3875">
      <w:pPr>
        <w:jc w:val="both"/>
      </w:pPr>
      <w:r>
        <w:t>KMD</w:t>
      </w:r>
    </w:p>
    <w:p w14:paraId="4640A28C" w14:textId="77777777" w:rsidR="006A3875" w:rsidRDefault="006A3875" w:rsidP="006A3875">
      <w:pPr>
        <w:jc w:val="both"/>
      </w:pPr>
      <w:r>
        <w:t xml:space="preserve">LS #4274 </w:t>
      </w:r>
    </w:p>
    <w:p w14:paraId="38A8A196" w14:textId="77777777" w:rsidR="006A3875" w:rsidRDefault="006A3875" w:rsidP="006A3875">
      <w:pPr>
        <w:jc w:val="both"/>
      </w:pPr>
      <w:r>
        <w:t>3/2/2022</w:t>
      </w:r>
    </w:p>
    <w:p w14:paraId="384BD155" w14:textId="77777777" w:rsidR="006A3875" w:rsidRDefault="006A3875" w:rsidP="006A3875">
      <w:pPr>
        <w:jc w:val="both"/>
      </w:pPr>
    </w:p>
    <w:p w14:paraId="4FAA7B8D" w14:textId="77777777" w:rsidR="006A3875" w:rsidRPr="003A3240" w:rsidRDefault="006A3875" w:rsidP="006A3875">
      <w:pPr>
        <w:jc w:val="both"/>
      </w:pPr>
      <w:r>
        <w:t>Session 11</w:t>
      </w:r>
    </w:p>
    <w:p w14:paraId="5A52A99C" w14:textId="77777777" w:rsidR="006A3875" w:rsidRPr="003A3240" w:rsidRDefault="006A3875" w:rsidP="006A3875">
      <w:pPr>
        <w:jc w:val="both"/>
        <w:rPr>
          <w:sz w:val="22"/>
          <w:szCs w:val="22"/>
        </w:rPr>
      </w:pPr>
      <w:r w:rsidRPr="003A3240">
        <w:rPr>
          <w:sz w:val="22"/>
          <w:szCs w:val="22"/>
        </w:rPr>
        <w:t>KMD</w:t>
      </w:r>
    </w:p>
    <w:p w14:paraId="3041BA43" w14:textId="77777777" w:rsidR="006A3875" w:rsidRPr="003A3240" w:rsidRDefault="006A3875" w:rsidP="006A3875">
      <w:pPr>
        <w:jc w:val="both"/>
        <w:rPr>
          <w:sz w:val="22"/>
          <w:szCs w:val="22"/>
        </w:rPr>
      </w:pPr>
      <w:r w:rsidRPr="003A3240">
        <w:rPr>
          <w:sz w:val="22"/>
          <w:szCs w:val="22"/>
        </w:rPr>
        <w:t>LS</w:t>
      </w:r>
      <w:r>
        <w:rPr>
          <w:sz w:val="22"/>
          <w:szCs w:val="22"/>
        </w:rPr>
        <w:t xml:space="preserve"> #</w:t>
      </w:r>
      <w:r w:rsidRPr="003A3240">
        <w:rPr>
          <w:sz w:val="22"/>
          <w:szCs w:val="22"/>
        </w:rPr>
        <w:t>14268</w:t>
      </w:r>
    </w:p>
    <w:p w14:paraId="64936817" w14:textId="77777777" w:rsidR="006A3875" w:rsidRPr="003A3240" w:rsidRDefault="006A3875" w:rsidP="006A3875">
      <w:pPr>
        <w:jc w:val="both"/>
        <w:rPr>
          <w:sz w:val="22"/>
          <w:szCs w:val="22"/>
        </w:rPr>
      </w:pPr>
      <w:r>
        <w:rPr>
          <w:sz w:val="22"/>
          <w:szCs w:val="22"/>
        </w:rPr>
        <w:t>Res. No. 1379-2020</w:t>
      </w:r>
    </w:p>
    <w:p w14:paraId="706FB8CF" w14:textId="31B9694A" w:rsidR="00BA51CF" w:rsidRDefault="00BA51CF" w:rsidP="0069520B">
      <w:pPr>
        <w:rPr>
          <w:color w:val="000000"/>
          <w:sz w:val="27"/>
          <w:szCs w:val="27"/>
        </w:rPr>
      </w:pPr>
    </w:p>
    <w:p w14:paraId="3108F73A" w14:textId="61FF39BF" w:rsidR="006A3875" w:rsidRDefault="006A3875" w:rsidP="0069520B">
      <w:pPr>
        <w:rPr>
          <w:color w:val="000000"/>
          <w:sz w:val="27"/>
          <w:szCs w:val="27"/>
        </w:rPr>
      </w:pPr>
    </w:p>
    <w:p w14:paraId="1757448F" w14:textId="09EDD235" w:rsidR="00CB1497" w:rsidRDefault="00CB1497" w:rsidP="0069520B">
      <w:pPr>
        <w:rPr>
          <w:color w:val="000000"/>
          <w:sz w:val="27"/>
          <w:szCs w:val="27"/>
        </w:rPr>
      </w:pPr>
    </w:p>
    <w:p w14:paraId="03A5EDD6" w14:textId="0FA1CF29" w:rsidR="00CB1497" w:rsidRDefault="00CB1497" w:rsidP="0069520B">
      <w:pPr>
        <w:rPr>
          <w:color w:val="000000"/>
          <w:sz w:val="27"/>
          <w:szCs w:val="27"/>
        </w:rPr>
      </w:pPr>
    </w:p>
    <w:p w14:paraId="4D951602" w14:textId="6B7A3AD1" w:rsidR="00CB1497" w:rsidRDefault="00CB1497" w:rsidP="0069520B">
      <w:pPr>
        <w:rPr>
          <w:color w:val="000000"/>
          <w:sz w:val="27"/>
          <w:szCs w:val="27"/>
        </w:rPr>
      </w:pPr>
    </w:p>
    <w:p w14:paraId="4B2F59F0" w14:textId="729A2952" w:rsidR="00CB1497" w:rsidRDefault="00CB1497" w:rsidP="0069520B">
      <w:pPr>
        <w:rPr>
          <w:color w:val="000000"/>
          <w:sz w:val="27"/>
          <w:szCs w:val="27"/>
        </w:rPr>
      </w:pPr>
    </w:p>
    <w:p w14:paraId="1F302687" w14:textId="1542C6B6" w:rsidR="00CB1497" w:rsidRDefault="00CB1497" w:rsidP="0069520B">
      <w:pPr>
        <w:rPr>
          <w:color w:val="000000"/>
          <w:sz w:val="27"/>
          <w:szCs w:val="27"/>
        </w:rPr>
      </w:pPr>
    </w:p>
    <w:p w14:paraId="3DCDFA66" w14:textId="220C036F" w:rsidR="00CB1497" w:rsidRDefault="00CB1497" w:rsidP="0069520B">
      <w:pPr>
        <w:rPr>
          <w:color w:val="000000"/>
          <w:sz w:val="27"/>
          <w:szCs w:val="27"/>
        </w:rPr>
      </w:pPr>
    </w:p>
    <w:p w14:paraId="41EC6DC6" w14:textId="263C2477" w:rsidR="00CB1497" w:rsidRDefault="00CB1497" w:rsidP="0069520B">
      <w:pPr>
        <w:rPr>
          <w:color w:val="000000"/>
          <w:sz w:val="27"/>
          <w:szCs w:val="27"/>
        </w:rPr>
      </w:pPr>
    </w:p>
    <w:p w14:paraId="6C4FB368" w14:textId="48A2963D" w:rsidR="00CB1497" w:rsidRDefault="00CB1497" w:rsidP="0069520B">
      <w:pPr>
        <w:rPr>
          <w:color w:val="000000"/>
          <w:sz w:val="27"/>
          <w:szCs w:val="27"/>
        </w:rPr>
      </w:pPr>
    </w:p>
    <w:p w14:paraId="206A8CEF" w14:textId="32AD8072" w:rsidR="00CB1497" w:rsidRDefault="00CB1497" w:rsidP="0069520B">
      <w:pPr>
        <w:rPr>
          <w:color w:val="000000"/>
          <w:sz w:val="27"/>
          <w:szCs w:val="27"/>
        </w:rPr>
      </w:pPr>
    </w:p>
    <w:p w14:paraId="4525642A" w14:textId="4680756D" w:rsidR="00CB1497" w:rsidRDefault="00CB1497" w:rsidP="0069520B">
      <w:pPr>
        <w:rPr>
          <w:color w:val="000000"/>
          <w:sz w:val="27"/>
          <w:szCs w:val="27"/>
        </w:rPr>
      </w:pPr>
    </w:p>
    <w:p w14:paraId="4925AC17" w14:textId="4547D1DC" w:rsidR="00CB1497" w:rsidRDefault="00CB1497" w:rsidP="0069520B">
      <w:pPr>
        <w:rPr>
          <w:color w:val="000000"/>
          <w:sz w:val="27"/>
          <w:szCs w:val="27"/>
        </w:rPr>
      </w:pPr>
    </w:p>
    <w:p w14:paraId="6F4AC726" w14:textId="22C70208" w:rsidR="00CB1497" w:rsidRDefault="00CB1497" w:rsidP="0069520B">
      <w:pPr>
        <w:rPr>
          <w:color w:val="000000"/>
          <w:sz w:val="27"/>
          <w:szCs w:val="27"/>
        </w:rPr>
      </w:pPr>
    </w:p>
    <w:p w14:paraId="47A59EE2" w14:textId="37CD23DC" w:rsidR="00CB1497" w:rsidRDefault="00CB1497" w:rsidP="0069520B">
      <w:pPr>
        <w:rPr>
          <w:color w:val="000000"/>
          <w:sz w:val="27"/>
          <w:szCs w:val="27"/>
        </w:rPr>
      </w:pPr>
    </w:p>
    <w:p w14:paraId="53E58E01" w14:textId="2885A976" w:rsidR="00CB1497" w:rsidRDefault="00CB1497" w:rsidP="0069520B">
      <w:pPr>
        <w:rPr>
          <w:color w:val="000000"/>
          <w:sz w:val="27"/>
          <w:szCs w:val="27"/>
        </w:rPr>
      </w:pPr>
    </w:p>
    <w:p w14:paraId="2AC2D954" w14:textId="77777777" w:rsidR="00CB1497" w:rsidRDefault="00CB1497" w:rsidP="0069520B">
      <w:pPr>
        <w:rPr>
          <w:color w:val="000000"/>
          <w:sz w:val="27"/>
          <w:szCs w:val="27"/>
        </w:rPr>
      </w:pPr>
    </w:p>
    <w:p w14:paraId="2343F104" w14:textId="00F40787" w:rsidR="006A3875" w:rsidRPr="00C65DB8" w:rsidRDefault="006A3875" w:rsidP="006A3875">
      <w:pPr>
        <w:spacing w:line="480" w:lineRule="auto"/>
        <w:jc w:val="center"/>
      </w:pPr>
      <w:r w:rsidRPr="00C65DB8">
        <w:t>Res. No.</w:t>
      </w:r>
      <w:r w:rsidR="00097B32">
        <w:t xml:space="preserve"> 458</w:t>
      </w:r>
    </w:p>
    <w:p w14:paraId="0081EEEA" w14:textId="77777777" w:rsidR="006A3875" w:rsidRPr="00C65DB8" w:rsidRDefault="006A3875" w:rsidP="006A3875">
      <w:pPr>
        <w:jc w:val="both"/>
      </w:pPr>
      <w:r w:rsidRPr="00C65DB8">
        <w:t>Resolution calling on the New York State Legislature to pass, and the Governor to sign, A.7001B/S.6677A to enact the Gender Identity Respect, Dignity and Safety Act</w:t>
      </w:r>
      <w:r>
        <w:t>,</w:t>
      </w:r>
      <w:r w:rsidRPr="00C65DB8">
        <w:t xml:space="preserve"> which would allow for appropriate treatment and placement of incarcerated people based upon their gender identity</w:t>
      </w:r>
    </w:p>
    <w:p w14:paraId="13B72CED" w14:textId="77777777" w:rsidR="006A3875" w:rsidRPr="00C65DB8" w:rsidRDefault="006A3875" w:rsidP="006A3875">
      <w:pPr>
        <w:spacing w:line="480" w:lineRule="auto"/>
        <w:jc w:val="both"/>
      </w:pPr>
      <w:r w:rsidRPr="00C65DB8">
        <w:t>Council Member Bottcher</w:t>
      </w:r>
    </w:p>
    <w:p w14:paraId="75433020" w14:textId="77777777" w:rsidR="006A3875" w:rsidRPr="00C65DB8" w:rsidRDefault="006A3875" w:rsidP="006A3875">
      <w:pPr>
        <w:spacing w:line="480" w:lineRule="auto"/>
        <w:ind w:firstLine="720"/>
        <w:jc w:val="both"/>
      </w:pPr>
      <w:r w:rsidRPr="00C65DB8">
        <w:t>Whereas, The National Center for Transgender Equality (NCTE) confirmed transgender, gender nonconforming, non-binary, and intersex (TGNCNBI) people regularly experience social and economic discrimination based upon their race, gender and immigration status; and</w:t>
      </w:r>
    </w:p>
    <w:p w14:paraId="2D9A3187" w14:textId="77777777" w:rsidR="006A3875" w:rsidRPr="00211219" w:rsidRDefault="006A3875" w:rsidP="006A3875">
      <w:pPr>
        <w:spacing w:line="480" w:lineRule="auto"/>
        <w:ind w:firstLine="720"/>
        <w:jc w:val="both"/>
      </w:pPr>
      <w:r w:rsidRPr="00C65DB8">
        <w:t>Whereas, The New York Civil Liberties Union (NYCLU) found TGNCNBI New Yorkers experience persistent discrimination challenges in many fundamental aspects of daily life</w:t>
      </w:r>
      <w:r>
        <w:t>,</w:t>
      </w:r>
      <w:r w:rsidRPr="00C65DB8">
        <w:t xml:space="preserve"> such as trying to earn a living, going to school, finding housing and even “safely walking down the street”; and</w:t>
      </w:r>
    </w:p>
    <w:p w14:paraId="0F6AC783" w14:textId="77777777" w:rsidR="006A3875" w:rsidRPr="00211219" w:rsidRDefault="006A3875" w:rsidP="006A3875">
      <w:pPr>
        <w:spacing w:line="480" w:lineRule="auto"/>
        <w:ind w:firstLine="720"/>
        <w:jc w:val="both"/>
      </w:pPr>
      <w:r>
        <w:t xml:space="preserve"> </w:t>
      </w:r>
      <w:r w:rsidRPr="00211219">
        <w:t xml:space="preserve">Whereas, A 2021 McKinsey &amp; Co. report found transgender adults </w:t>
      </w:r>
      <w:r>
        <w:t xml:space="preserve">were </w:t>
      </w:r>
      <w:r w:rsidRPr="00211219">
        <w:t xml:space="preserve">twice as likely as cisgender adults with similar education levels to be unemployed, </w:t>
      </w:r>
      <w:r>
        <w:t xml:space="preserve">and when they did secure employment, </w:t>
      </w:r>
      <w:r w:rsidRPr="00211219">
        <w:t xml:space="preserve">cisgender employees </w:t>
      </w:r>
      <w:r>
        <w:t>earned</w:t>
      </w:r>
      <w:r w:rsidRPr="00211219">
        <w:t xml:space="preserve"> up to 32 percent more money each year than their transgender counterparts</w:t>
      </w:r>
      <w:r>
        <w:t xml:space="preserve">; </w:t>
      </w:r>
      <w:r w:rsidRPr="00211219">
        <w:t>and</w:t>
      </w:r>
    </w:p>
    <w:p w14:paraId="0E749A4D" w14:textId="77777777" w:rsidR="006A3875" w:rsidRPr="00211219" w:rsidRDefault="006A3875" w:rsidP="006A3875">
      <w:pPr>
        <w:spacing w:line="480" w:lineRule="auto"/>
        <w:ind w:firstLine="720"/>
        <w:jc w:val="both"/>
      </w:pPr>
      <w:r w:rsidRPr="00211219">
        <w:t>Whereas, According to a National Crime Victimization Survey, TGNCNBI individuals were found to be four times more likely than cisgender people to be victims of violent crimes; and</w:t>
      </w:r>
    </w:p>
    <w:p w14:paraId="2A5027CF" w14:textId="77777777" w:rsidR="006A3875" w:rsidRPr="00211219" w:rsidRDefault="006A3875" w:rsidP="006A3875">
      <w:pPr>
        <w:spacing w:line="480" w:lineRule="auto"/>
        <w:ind w:firstLine="720"/>
        <w:jc w:val="both"/>
      </w:pPr>
      <w:r w:rsidRPr="00211219">
        <w:t xml:space="preserve">Whereas, The NYCLU </w:t>
      </w:r>
      <w:r>
        <w:t>found</w:t>
      </w:r>
      <w:r w:rsidRPr="00211219">
        <w:t xml:space="preserve"> TGNCNBI individuals are </w:t>
      </w:r>
      <w:r>
        <w:t xml:space="preserve">more </w:t>
      </w:r>
      <w:r w:rsidRPr="00211219">
        <w:t>frequently policed and criminalized and therefore more likely to be at risk for incarceration</w:t>
      </w:r>
      <w:r>
        <w:t xml:space="preserve"> than their cisgender counterparts</w:t>
      </w:r>
      <w:r w:rsidRPr="00211219">
        <w:t xml:space="preserve">; and </w:t>
      </w:r>
    </w:p>
    <w:p w14:paraId="6013EDA4" w14:textId="77777777" w:rsidR="006A3875" w:rsidRPr="00211219" w:rsidRDefault="006A3875" w:rsidP="006A3875">
      <w:pPr>
        <w:spacing w:line="480" w:lineRule="auto"/>
        <w:ind w:firstLine="720"/>
        <w:jc w:val="both"/>
      </w:pPr>
      <w:r w:rsidRPr="006B5483">
        <w:t>Whereas</w:t>
      </w:r>
      <w:r>
        <w:t>,</w:t>
      </w:r>
      <w:r w:rsidRPr="006B5483">
        <w:t xml:space="preserve"> According to the NCTE, one in six transgender people—and one in two Black transgender women—report having been incarcerated at some point in their lifetime; and</w:t>
      </w:r>
    </w:p>
    <w:p w14:paraId="77908451" w14:textId="77777777" w:rsidR="006A3875" w:rsidRPr="00211219" w:rsidRDefault="006A3875" w:rsidP="006A3875">
      <w:pPr>
        <w:spacing w:line="480" w:lineRule="auto"/>
        <w:ind w:firstLine="720"/>
        <w:jc w:val="both"/>
      </w:pPr>
      <w:r w:rsidRPr="00211219">
        <w:t>Whereas, According to the NYCLU, TGNCNBI New Yorkers in the carceral system are increasingly and disproportionately vulnerable to acts of discrimination and violence, and are 10 times more likely to face sexual assault by fellow prisoners and guards than the general prison population; and</w:t>
      </w:r>
    </w:p>
    <w:p w14:paraId="7E310C29" w14:textId="77777777" w:rsidR="006A3875" w:rsidRPr="00211219" w:rsidRDefault="006A3875" w:rsidP="006A3875">
      <w:pPr>
        <w:spacing w:line="480" w:lineRule="auto"/>
        <w:ind w:firstLine="720"/>
        <w:jc w:val="both"/>
      </w:pPr>
      <w:r w:rsidRPr="00211219">
        <w:t>Whereas, According to a</w:t>
      </w:r>
      <w:r>
        <w:t>n NYCLU</w:t>
      </w:r>
      <w:r w:rsidRPr="00211219">
        <w:t xml:space="preserve"> survey</w:t>
      </w:r>
      <w:r>
        <w:t>,</w:t>
      </w:r>
      <w:r w:rsidRPr="00211219">
        <w:t xml:space="preserve"> 95 percent of TGNCNBI </w:t>
      </w:r>
      <w:r>
        <w:t xml:space="preserve">respondents </w:t>
      </w:r>
      <w:r w:rsidRPr="00211219">
        <w:t xml:space="preserve">reported </w:t>
      </w:r>
      <w:r>
        <w:t xml:space="preserve">having been </w:t>
      </w:r>
      <w:r w:rsidRPr="00211219">
        <w:t>verbally harassed by correction staff; and</w:t>
      </w:r>
    </w:p>
    <w:p w14:paraId="3AAC8119" w14:textId="77777777" w:rsidR="006A3875" w:rsidRPr="00211219" w:rsidRDefault="006A3875" w:rsidP="006A3875">
      <w:pPr>
        <w:spacing w:line="480" w:lineRule="auto"/>
        <w:ind w:firstLine="720"/>
        <w:jc w:val="both"/>
      </w:pPr>
      <w:r w:rsidRPr="00211219">
        <w:t xml:space="preserve">Whereas, A 2021 </w:t>
      </w:r>
      <w:r>
        <w:t>report</w:t>
      </w:r>
      <w:r w:rsidRPr="00211219">
        <w:t xml:space="preserve"> by the NY</w:t>
      </w:r>
      <w:r>
        <w:t>C</w:t>
      </w:r>
      <w:r w:rsidRPr="00211219">
        <w:t xml:space="preserve">LU </w:t>
      </w:r>
      <w:r>
        <w:t>found</w:t>
      </w:r>
      <w:r w:rsidRPr="00211219">
        <w:t xml:space="preserve"> TGNCNBI people being 10 times more likely to be sexually assaulted than the general prison population with 75 percent of respondents reporting at least one instance of sexual violence and assault by correction officers; and</w:t>
      </w:r>
    </w:p>
    <w:p w14:paraId="06E16DD5" w14:textId="77777777" w:rsidR="006A3875" w:rsidRDefault="006A3875" w:rsidP="006A3875">
      <w:pPr>
        <w:spacing w:line="480" w:lineRule="auto"/>
        <w:ind w:firstLine="720"/>
        <w:jc w:val="both"/>
      </w:pPr>
      <w:r w:rsidRPr="00211219">
        <w:t xml:space="preserve">Whereas, The NYCLU </w:t>
      </w:r>
      <w:r>
        <w:t>reports</w:t>
      </w:r>
      <w:r w:rsidRPr="00211219">
        <w:t xml:space="preserve"> discriminatory policies in New York jails and prisons exacerbate abuse, misgendering and </w:t>
      </w:r>
      <w:r>
        <w:t xml:space="preserve">the </w:t>
      </w:r>
      <w:r w:rsidRPr="00211219">
        <w:t xml:space="preserve">denial of essential medical care like hormone therapy for TGNCNBI incarcerated individuals; and </w:t>
      </w:r>
    </w:p>
    <w:p w14:paraId="113F3E60" w14:textId="77777777" w:rsidR="006A3875" w:rsidRPr="00211219" w:rsidRDefault="006A3875" w:rsidP="006A3875">
      <w:pPr>
        <w:spacing w:line="480" w:lineRule="auto"/>
        <w:ind w:firstLine="720"/>
        <w:jc w:val="both"/>
      </w:pPr>
      <w:r>
        <w:t xml:space="preserve">Whereas, The 2022 Report of the NYC Task Force on Issues Faced by TGNCNBI People in Custody, convened by the NYC Board of Correction, determined transgender women were routinely sent and kept in men’s NYC Department of Correction jail intake facilities and threatened by Correction officers with opposite-sex housing for minor rules infractions; and </w:t>
      </w:r>
    </w:p>
    <w:p w14:paraId="4248B2FB" w14:textId="77777777" w:rsidR="006A3875" w:rsidRPr="00211219" w:rsidRDefault="006A3875" w:rsidP="006A3875">
      <w:pPr>
        <w:spacing w:line="480" w:lineRule="auto"/>
        <w:ind w:firstLine="720"/>
        <w:jc w:val="both"/>
      </w:pPr>
      <w:r w:rsidRPr="00211219">
        <w:t>Whereas, According to the NYCLU the vast majority of incarcerated TGNCNBI individuals are placed in facilities that do not match their gender identities serving to further exacerbate incidences of violence from other detainees and correctional staff; and</w:t>
      </w:r>
    </w:p>
    <w:p w14:paraId="7A07134F" w14:textId="77777777" w:rsidR="006A3875" w:rsidRPr="00211219" w:rsidRDefault="006A3875" w:rsidP="006A3875">
      <w:pPr>
        <w:spacing w:line="480" w:lineRule="auto"/>
        <w:ind w:firstLine="720"/>
        <w:jc w:val="both"/>
      </w:pPr>
      <w:r w:rsidRPr="00211219">
        <w:t>Whereas, A.7001B</w:t>
      </w:r>
      <w:r>
        <w:t>,</w:t>
      </w:r>
      <w:r w:rsidRPr="00211219">
        <w:t xml:space="preserve"> sponsored by New York State Assembly Member Nily Rozic</w:t>
      </w:r>
      <w:r>
        <w:t>,</w:t>
      </w:r>
      <w:r w:rsidRPr="00211219">
        <w:t xml:space="preserve"> and  companion bill S.6677A</w:t>
      </w:r>
      <w:r>
        <w:t>,</w:t>
      </w:r>
      <w:r w:rsidRPr="00211219">
        <w:t xml:space="preserve"> sponsored by State Senator Julia Salazar</w:t>
      </w:r>
      <w:r>
        <w:t xml:space="preserve"> last session, </w:t>
      </w:r>
      <w:r w:rsidRPr="00211219">
        <w:t xml:space="preserve"> would increase safety for TGNCNBI individuals by requiring New York prisons and jails to presumptively house people consistent with their gender identities unless they opt out; and</w:t>
      </w:r>
    </w:p>
    <w:p w14:paraId="7C7CAC84" w14:textId="77777777" w:rsidR="006A3875" w:rsidRPr="00211219" w:rsidRDefault="006A3875" w:rsidP="006A3875">
      <w:pPr>
        <w:spacing w:line="480" w:lineRule="auto"/>
        <w:ind w:firstLine="720"/>
        <w:jc w:val="both"/>
      </w:pPr>
      <w:r w:rsidRPr="00211219">
        <w:t>Whereas</w:t>
      </w:r>
      <w:r>
        <w:t>,</w:t>
      </w:r>
      <w:r w:rsidRPr="00211219">
        <w:t xml:space="preserve"> A.7001B/S.6677A would ensure facilities staff respect a person’s gender identity in all contexts during incarceration including search procedures, as well as mandating access to clothing and toiletry items consistent with a person’s gender identification; and </w:t>
      </w:r>
    </w:p>
    <w:p w14:paraId="55F336AB" w14:textId="77777777" w:rsidR="006A3875" w:rsidRPr="00211219" w:rsidRDefault="006A3875" w:rsidP="006A3875">
      <w:pPr>
        <w:spacing w:line="480" w:lineRule="auto"/>
        <w:ind w:firstLine="720"/>
        <w:jc w:val="both"/>
      </w:pPr>
      <w:r w:rsidRPr="00211219">
        <w:t xml:space="preserve">Whereas, A.7001B/S.6677A would place a 14-day limit on involuntary protective custody, also known as isolated confinement, which disincentivizes individuals from reporting incidence of harassment and assault; and </w:t>
      </w:r>
    </w:p>
    <w:p w14:paraId="6E851B8E" w14:textId="77777777" w:rsidR="006A3875" w:rsidRPr="00211219" w:rsidRDefault="006A3875" w:rsidP="006A3875">
      <w:pPr>
        <w:spacing w:line="480" w:lineRule="auto"/>
        <w:ind w:firstLine="720"/>
        <w:jc w:val="both"/>
      </w:pPr>
      <w:r w:rsidRPr="00211219">
        <w:t xml:space="preserve">Whereas, Respecting </w:t>
      </w:r>
      <w:r>
        <w:t xml:space="preserve">and upholding </w:t>
      </w:r>
      <w:r w:rsidRPr="00211219">
        <w:t>the rights of TGNCNBI people during incarceration will serve to decrease violence and save lives; therefore, be it</w:t>
      </w:r>
    </w:p>
    <w:p w14:paraId="037F03D6" w14:textId="77777777" w:rsidR="006A3875" w:rsidRPr="00211219" w:rsidRDefault="006A3875" w:rsidP="006A3875">
      <w:pPr>
        <w:spacing w:line="480" w:lineRule="auto"/>
        <w:ind w:firstLine="720"/>
        <w:jc w:val="both"/>
      </w:pPr>
      <w:r w:rsidRPr="00211219">
        <w:t>Resolved, That the New York City Council calls on the New York State Legislature to pass, and the Governor to sign, A.7001B/S.6677A</w:t>
      </w:r>
      <w:r>
        <w:t xml:space="preserve"> </w:t>
      </w:r>
      <w:r w:rsidRPr="00211219">
        <w:t>to enact the Gender Identity Respect, Dignity and Safety Act</w:t>
      </w:r>
      <w:r>
        <w:t>,</w:t>
      </w:r>
      <w:r w:rsidRPr="00211219">
        <w:t xml:space="preserve"> which would allow for appropriate treatment and placement of incarcerated people based upon their gender identity.</w:t>
      </w:r>
    </w:p>
    <w:p w14:paraId="3AC2D5ED" w14:textId="77777777" w:rsidR="006A3875" w:rsidRDefault="006A3875" w:rsidP="006A3875">
      <w:pPr>
        <w:spacing w:line="480" w:lineRule="auto"/>
        <w:jc w:val="both"/>
      </w:pPr>
    </w:p>
    <w:p w14:paraId="5F95ACE1" w14:textId="77777777" w:rsidR="006A3875" w:rsidRDefault="006A3875" w:rsidP="006A3875">
      <w:pPr>
        <w:contextualSpacing/>
        <w:jc w:val="both"/>
        <w:rPr>
          <w:sz w:val="20"/>
          <w:szCs w:val="20"/>
        </w:rPr>
      </w:pPr>
      <w:r>
        <w:rPr>
          <w:sz w:val="20"/>
          <w:szCs w:val="20"/>
        </w:rPr>
        <w:t>CD</w:t>
      </w:r>
    </w:p>
    <w:p w14:paraId="0C160E08" w14:textId="77777777" w:rsidR="006A3875" w:rsidRDefault="006A3875" w:rsidP="006A3875">
      <w:pPr>
        <w:contextualSpacing/>
        <w:jc w:val="both"/>
        <w:rPr>
          <w:sz w:val="20"/>
          <w:szCs w:val="20"/>
        </w:rPr>
      </w:pPr>
      <w:r>
        <w:rPr>
          <w:sz w:val="20"/>
          <w:szCs w:val="20"/>
        </w:rPr>
        <w:t>LS 9459</w:t>
      </w:r>
    </w:p>
    <w:p w14:paraId="4524F7A9" w14:textId="77777777" w:rsidR="006A3875" w:rsidRDefault="006A3875" w:rsidP="006A3875">
      <w:pPr>
        <w:contextualSpacing/>
        <w:jc w:val="both"/>
        <w:rPr>
          <w:sz w:val="20"/>
          <w:szCs w:val="20"/>
        </w:rPr>
      </w:pPr>
      <w:r>
        <w:rPr>
          <w:sz w:val="20"/>
          <w:szCs w:val="20"/>
        </w:rPr>
        <w:t>1/9/23</w:t>
      </w:r>
    </w:p>
    <w:p w14:paraId="363DF56C" w14:textId="77777777" w:rsidR="006A3875" w:rsidRPr="00211219" w:rsidRDefault="006A3875" w:rsidP="006A3875">
      <w:pPr>
        <w:spacing w:line="480" w:lineRule="auto"/>
        <w:jc w:val="both"/>
        <w:rPr>
          <w:sz w:val="20"/>
          <w:szCs w:val="20"/>
        </w:rPr>
      </w:pPr>
    </w:p>
    <w:p w14:paraId="0BCF76C3" w14:textId="3A70C258" w:rsidR="00AC76DF" w:rsidRPr="00CA56E4" w:rsidRDefault="00AC76DF" w:rsidP="00017EF6">
      <w:pPr>
        <w:rPr>
          <w:b/>
          <w:bCs/>
          <w:color w:val="000000"/>
          <w:sz w:val="27"/>
          <w:szCs w:val="27"/>
        </w:rPr>
      </w:pPr>
    </w:p>
    <w:p w14:paraId="2A271094" w14:textId="37B3B703" w:rsidR="00AC76DF" w:rsidRDefault="00AC76DF" w:rsidP="0069520B">
      <w:pPr>
        <w:rPr>
          <w:color w:val="000000"/>
          <w:sz w:val="27"/>
          <w:szCs w:val="27"/>
        </w:rPr>
      </w:pPr>
    </w:p>
    <w:p w14:paraId="0480BF3E" w14:textId="5A355622" w:rsidR="00AC76DF" w:rsidRDefault="00AC76DF" w:rsidP="0069520B">
      <w:pPr>
        <w:rPr>
          <w:color w:val="000000"/>
          <w:sz w:val="27"/>
          <w:szCs w:val="27"/>
        </w:rPr>
      </w:pPr>
    </w:p>
    <w:p w14:paraId="4B36416C" w14:textId="7B78BBB9" w:rsidR="00AC76DF" w:rsidRDefault="00AC76DF" w:rsidP="0069520B">
      <w:pPr>
        <w:rPr>
          <w:color w:val="000000"/>
          <w:sz w:val="27"/>
          <w:szCs w:val="27"/>
        </w:rPr>
      </w:pPr>
    </w:p>
    <w:p w14:paraId="61C6B333" w14:textId="1ED58345" w:rsidR="00AC76DF" w:rsidRDefault="00AC76DF" w:rsidP="0069520B">
      <w:pPr>
        <w:rPr>
          <w:color w:val="000000"/>
          <w:sz w:val="27"/>
          <w:szCs w:val="27"/>
        </w:rPr>
      </w:pPr>
    </w:p>
    <w:p w14:paraId="0019BC72" w14:textId="29B31E0C" w:rsidR="00AC76DF" w:rsidRDefault="00AC76DF" w:rsidP="0069520B">
      <w:pPr>
        <w:rPr>
          <w:color w:val="000000"/>
          <w:sz w:val="27"/>
          <w:szCs w:val="27"/>
        </w:rPr>
      </w:pPr>
    </w:p>
    <w:p w14:paraId="57948A8D" w14:textId="77777777" w:rsidR="00AC76DF" w:rsidRDefault="00AC76DF" w:rsidP="0069520B">
      <w:pPr>
        <w:rPr>
          <w:color w:val="000000"/>
          <w:sz w:val="27"/>
          <w:szCs w:val="27"/>
        </w:rPr>
      </w:pPr>
    </w:p>
    <w:p w14:paraId="38AB80C3" w14:textId="267781E6" w:rsidR="00AC76DF" w:rsidRDefault="00AC76DF" w:rsidP="0069520B">
      <w:pPr>
        <w:rPr>
          <w:color w:val="000000"/>
          <w:sz w:val="27"/>
          <w:szCs w:val="27"/>
        </w:rPr>
      </w:pPr>
    </w:p>
    <w:p w14:paraId="51BF0BDA" w14:textId="7BFDDE2A" w:rsidR="00AC76DF" w:rsidRDefault="00AC76DF" w:rsidP="0069520B">
      <w:pPr>
        <w:rPr>
          <w:color w:val="000000"/>
          <w:sz w:val="27"/>
          <w:szCs w:val="27"/>
        </w:rPr>
      </w:pPr>
    </w:p>
    <w:p w14:paraId="395F7955" w14:textId="2DB2FBAE" w:rsidR="00BA51CF" w:rsidRPr="00CA56E4" w:rsidRDefault="00BA51CF" w:rsidP="0069520B">
      <w:pPr>
        <w:rPr>
          <w:color w:val="000000"/>
          <w:sz w:val="27"/>
          <w:szCs w:val="27"/>
        </w:rPr>
      </w:pPr>
    </w:p>
    <w:sectPr w:rsidR="00BA51CF" w:rsidRPr="00CA56E4" w:rsidSect="00D83690">
      <w:footerReference w:type="even" r:id="rId9"/>
      <w:footerReference w:type="defaul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07B3" w14:textId="77777777" w:rsidR="00EA5ADD" w:rsidRDefault="00EA5ADD" w:rsidP="009F7AB3">
      <w:r>
        <w:separator/>
      </w:r>
    </w:p>
  </w:endnote>
  <w:endnote w:type="continuationSeparator" w:id="0">
    <w:p w14:paraId="2E1FE825" w14:textId="77777777" w:rsidR="00EA5ADD" w:rsidRDefault="00EA5ADD" w:rsidP="009F7AB3">
      <w:r>
        <w:continuationSeparator/>
      </w:r>
    </w:p>
  </w:endnote>
  <w:endnote w:type="continuationNotice" w:id="1">
    <w:p w14:paraId="05E639B1" w14:textId="77777777" w:rsidR="00EA5ADD" w:rsidRDefault="00EA5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5289231"/>
      <w:docPartObj>
        <w:docPartGallery w:val="Page Numbers (Bottom of Page)"/>
        <w:docPartUnique/>
      </w:docPartObj>
    </w:sdtPr>
    <w:sdtEndPr>
      <w:rPr>
        <w:rStyle w:val="PageNumber"/>
      </w:rPr>
    </w:sdtEndPr>
    <w:sdtContent>
      <w:p w14:paraId="1A19C122" w14:textId="15D3FAAE" w:rsidR="0044607F" w:rsidRDefault="0044607F" w:rsidP="00CA5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DFE83" w14:textId="77777777" w:rsidR="0044607F" w:rsidRDefault="0044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07832"/>
      <w:docPartObj>
        <w:docPartGallery w:val="Page Numbers (Bottom of Page)"/>
        <w:docPartUnique/>
      </w:docPartObj>
    </w:sdtPr>
    <w:sdtEndPr>
      <w:rPr>
        <w:noProof/>
      </w:rPr>
    </w:sdtEndPr>
    <w:sdtContent>
      <w:p w14:paraId="4AE51928" w14:textId="1F79DD1A" w:rsidR="0044607F" w:rsidRDefault="0044607F">
        <w:pPr>
          <w:pStyle w:val="Footer"/>
          <w:jc w:val="center"/>
        </w:pPr>
        <w:r>
          <w:fldChar w:fldCharType="begin"/>
        </w:r>
        <w:r>
          <w:instrText xml:space="preserve"> PAGE   \* MERGEFORMAT </w:instrText>
        </w:r>
        <w:r>
          <w:fldChar w:fldCharType="separate"/>
        </w:r>
        <w:r w:rsidR="00C112CF">
          <w:rPr>
            <w:noProof/>
          </w:rPr>
          <w:t>20</w:t>
        </w:r>
        <w:r>
          <w:rPr>
            <w:noProof/>
          </w:rPr>
          <w:fldChar w:fldCharType="end"/>
        </w:r>
      </w:p>
    </w:sdtContent>
  </w:sdt>
  <w:p w14:paraId="2D702DCB" w14:textId="3CD4CDB9" w:rsidR="0044607F" w:rsidRPr="00126B66" w:rsidRDefault="0044607F" w:rsidP="00477627">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A43B" w14:textId="77777777" w:rsidR="00EA5ADD" w:rsidRDefault="00EA5ADD" w:rsidP="009F7AB3">
      <w:r>
        <w:separator/>
      </w:r>
    </w:p>
  </w:footnote>
  <w:footnote w:type="continuationSeparator" w:id="0">
    <w:p w14:paraId="09264841" w14:textId="77777777" w:rsidR="00EA5ADD" w:rsidRDefault="00EA5ADD" w:rsidP="009F7AB3">
      <w:r>
        <w:continuationSeparator/>
      </w:r>
    </w:p>
  </w:footnote>
  <w:footnote w:type="continuationNotice" w:id="1">
    <w:p w14:paraId="6FCC8931" w14:textId="77777777" w:rsidR="00EA5ADD" w:rsidRDefault="00EA5ADD"/>
  </w:footnote>
  <w:footnote w:id="2">
    <w:p w14:paraId="3DD281DC" w14:textId="77777777" w:rsidR="0044607F" w:rsidRPr="00875768" w:rsidRDefault="0044607F" w:rsidP="0049386A">
      <w:pPr>
        <w:pStyle w:val="NoSpacing"/>
        <w:rPr>
          <w:rFonts w:ascii="Times New Roman" w:hAnsi="Times New Roman" w:cs="Times New Roman"/>
          <w:color w:val="000000" w:themeColor="text1"/>
          <w:sz w:val="20"/>
          <w:szCs w:val="20"/>
        </w:rPr>
      </w:pPr>
      <w:r w:rsidRPr="00875768">
        <w:rPr>
          <w:rStyle w:val="FootnoteReference"/>
          <w:rFonts w:ascii="Times New Roman" w:hAnsi="Times New Roman"/>
          <w:sz w:val="20"/>
        </w:rPr>
        <w:footnoteRef/>
      </w:r>
      <w:r w:rsidRPr="00875768">
        <w:rPr>
          <w:rFonts w:ascii="Times New Roman" w:eastAsia="Times New Roman" w:hAnsi="Times New Roman" w:cs="Times New Roman"/>
          <w:sz w:val="20"/>
          <w:szCs w:val="20"/>
        </w:rPr>
        <w:t xml:space="preserve"> “Facilities Overview.” New York City Department of Correction, </w:t>
      </w:r>
      <w:r w:rsidRPr="00875768">
        <w:rPr>
          <w:rFonts w:ascii="Times New Roman" w:hAnsi="Times New Roman" w:cs="Times New Roman"/>
          <w:sz w:val="20"/>
          <w:szCs w:val="20"/>
        </w:rPr>
        <w:t>https://www1.nyc.gov/site/doc/about/facilities.page</w:t>
      </w:r>
    </w:p>
  </w:footnote>
  <w:footnote w:id="3">
    <w:p w14:paraId="4FCC9FC6" w14:textId="77777777" w:rsidR="0044607F" w:rsidRPr="00875768" w:rsidRDefault="0044607F" w:rsidP="0049386A">
      <w:pPr>
        <w:pStyle w:val="NoSpacing"/>
        <w:rPr>
          <w:rFonts w:ascii="Times New Roman" w:hAnsi="Times New Roman" w:cs="Times New Roman"/>
          <w:color w:val="000000" w:themeColor="text1"/>
          <w:sz w:val="20"/>
          <w:szCs w:val="20"/>
        </w:rPr>
      </w:pPr>
      <w:r w:rsidRPr="00875768">
        <w:rPr>
          <w:rStyle w:val="FootnoteReference"/>
          <w:rFonts w:ascii="Times New Roman" w:hAnsi="Times New Roman"/>
          <w:sz w:val="20"/>
        </w:rPr>
        <w:footnoteRef/>
      </w:r>
      <w:r w:rsidRPr="00875768">
        <w:rPr>
          <w:rFonts w:ascii="Times New Roman" w:hAnsi="Times New Roman" w:cs="Times New Roman"/>
          <w:sz w:val="20"/>
          <w:szCs w:val="20"/>
        </w:rPr>
        <w:t xml:space="preserve"> </w:t>
      </w:r>
      <w:r w:rsidRPr="00765F47">
        <w:rPr>
          <w:rFonts w:ascii="Times New Roman" w:eastAsia="Times New Roman" w:hAnsi="Times New Roman" w:cs="Times New Roman"/>
          <w:i/>
          <w:sz w:val="20"/>
          <w:szCs w:val="20"/>
        </w:rPr>
        <w:t>Id.</w:t>
      </w:r>
    </w:p>
  </w:footnote>
  <w:footnote w:id="4">
    <w:p w14:paraId="781A5A60" w14:textId="77777777" w:rsidR="0044607F" w:rsidRPr="00875768" w:rsidRDefault="0044607F" w:rsidP="0049386A">
      <w:pPr>
        <w:pStyle w:val="NoSpacing"/>
        <w:rPr>
          <w:rFonts w:ascii="Times New Roman" w:hAnsi="Times New Roman" w:cs="Times New Roman"/>
          <w:color w:val="000000" w:themeColor="text1"/>
          <w:sz w:val="20"/>
          <w:szCs w:val="20"/>
        </w:rPr>
      </w:pPr>
      <w:r w:rsidRPr="00875768">
        <w:rPr>
          <w:rStyle w:val="FootnoteReference"/>
          <w:rFonts w:ascii="Times New Roman" w:hAnsi="Times New Roman"/>
          <w:sz w:val="20"/>
        </w:rPr>
        <w:footnoteRef/>
      </w:r>
      <w:r w:rsidRPr="00875768">
        <w:rPr>
          <w:rFonts w:ascii="Times New Roman" w:hAnsi="Times New Roman" w:cs="Times New Roman"/>
          <w:sz w:val="20"/>
          <w:szCs w:val="20"/>
        </w:rPr>
        <w:t xml:space="preserve"> </w:t>
      </w:r>
      <w:r>
        <w:rPr>
          <w:rFonts w:ascii="Times New Roman" w:hAnsi="Times New Roman" w:cs="Times New Roman"/>
          <w:sz w:val="20"/>
          <w:szCs w:val="20"/>
        </w:rPr>
        <w:t>“</w:t>
      </w:r>
      <w:r w:rsidRPr="00875768">
        <w:rPr>
          <w:rFonts w:ascii="Times New Roman" w:eastAsia="Times New Roman" w:hAnsi="Times New Roman" w:cs="Times New Roman"/>
          <w:sz w:val="20"/>
          <w:szCs w:val="20"/>
        </w:rPr>
        <w:t>New York City Mayor’s</w:t>
      </w:r>
      <w:r>
        <w:rPr>
          <w:rFonts w:ascii="Times New Roman" w:eastAsia="Times New Roman" w:hAnsi="Times New Roman" w:cs="Times New Roman"/>
          <w:sz w:val="20"/>
          <w:szCs w:val="20"/>
        </w:rPr>
        <w:t xml:space="preserve"> Management Report.”</w:t>
      </w:r>
      <w:r w:rsidRPr="00875768">
        <w:rPr>
          <w:rFonts w:ascii="Times New Roman" w:eastAsia="Times New Roman" w:hAnsi="Times New Roman" w:cs="Times New Roman"/>
          <w:sz w:val="20"/>
          <w:szCs w:val="20"/>
        </w:rPr>
        <w:t xml:space="preserve"> September 2021, p. 121, available at https://www1.nyc.gov/assets/operations/downloads/pdf/mmr2021/2021_mmr.pdf</w:t>
      </w:r>
    </w:p>
  </w:footnote>
  <w:footnote w:id="5">
    <w:p w14:paraId="260A00D9" w14:textId="77777777" w:rsidR="0044607F" w:rsidRPr="00875768" w:rsidRDefault="0044607F" w:rsidP="0049386A">
      <w:pPr>
        <w:pStyle w:val="NoSpacing"/>
        <w:rPr>
          <w:rFonts w:ascii="Times New Roman" w:hAnsi="Times New Roman" w:cs="Times New Roman"/>
          <w:color w:val="000000" w:themeColor="text1"/>
          <w:sz w:val="20"/>
          <w:szCs w:val="20"/>
        </w:rPr>
      </w:pPr>
      <w:r w:rsidRPr="00875768">
        <w:rPr>
          <w:rStyle w:val="FootnoteReference"/>
          <w:rFonts w:ascii="Times New Roman" w:hAnsi="Times New Roman"/>
          <w:sz w:val="20"/>
        </w:rPr>
        <w:footnoteRef/>
      </w:r>
      <w:r w:rsidRPr="00875768">
        <w:rPr>
          <w:rFonts w:ascii="Times New Roman" w:hAnsi="Times New Roman" w:cs="Times New Roman"/>
          <w:sz w:val="20"/>
          <w:szCs w:val="20"/>
        </w:rPr>
        <w:t xml:space="preserve"> </w:t>
      </w:r>
      <w:r>
        <w:rPr>
          <w:rFonts w:ascii="Times New Roman" w:hAnsi="Times New Roman" w:cs="Times New Roman"/>
          <w:sz w:val="20"/>
          <w:szCs w:val="20"/>
        </w:rPr>
        <w:t>“</w:t>
      </w:r>
      <w:r w:rsidRPr="00875768">
        <w:rPr>
          <w:rFonts w:ascii="Times New Roman" w:eastAsia="Times New Roman" w:hAnsi="Times New Roman" w:cs="Times New Roman"/>
          <w:sz w:val="20"/>
          <w:szCs w:val="20"/>
        </w:rPr>
        <w:t>Daily Inmates in Custody.</w:t>
      </w:r>
      <w:r>
        <w:rPr>
          <w:rFonts w:ascii="Times New Roman" w:eastAsia="Times New Roman" w:hAnsi="Times New Roman" w:cs="Times New Roman"/>
          <w:sz w:val="20"/>
          <w:szCs w:val="20"/>
        </w:rPr>
        <w:t>”</w:t>
      </w:r>
      <w:r w:rsidRPr="00875768">
        <w:rPr>
          <w:rFonts w:ascii="Times New Roman" w:eastAsia="Times New Roman" w:hAnsi="Times New Roman" w:cs="Times New Roman"/>
          <w:sz w:val="20"/>
          <w:szCs w:val="20"/>
        </w:rPr>
        <w:t xml:space="preserve"> NYC OpenData https://data.cityofnewyork.us/Public-Safety/Daily-Inmates-In-Custody/7479-ugqb/data. On June 10, there were 5,535 people in DOC custody.</w:t>
      </w:r>
    </w:p>
  </w:footnote>
  <w:footnote w:id="6">
    <w:p w14:paraId="68CF54EE" w14:textId="77777777" w:rsidR="0044607F" w:rsidRPr="00875768" w:rsidRDefault="0044607F" w:rsidP="0049386A">
      <w:pPr>
        <w:pStyle w:val="NoSpacing"/>
        <w:rPr>
          <w:rFonts w:ascii="Times New Roman" w:hAnsi="Times New Roman" w:cs="Times New Roman"/>
          <w:color w:val="000000" w:themeColor="text1"/>
          <w:sz w:val="20"/>
          <w:szCs w:val="20"/>
        </w:rPr>
      </w:pPr>
      <w:r w:rsidRPr="00875768">
        <w:rPr>
          <w:rStyle w:val="FootnoteReference"/>
          <w:rFonts w:ascii="Times New Roman" w:hAnsi="Times New Roman"/>
          <w:sz w:val="20"/>
        </w:rPr>
        <w:footnoteRef/>
      </w:r>
      <w:r w:rsidRPr="00875768">
        <w:rPr>
          <w:rFonts w:ascii="Times New Roman" w:hAnsi="Times New Roman" w:cs="Times New Roman"/>
          <w:sz w:val="20"/>
          <w:szCs w:val="20"/>
        </w:rPr>
        <w:t xml:space="preserve"> </w:t>
      </w:r>
      <w:r w:rsidRPr="00875768">
        <w:rPr>
          <w:rFonts w:ascii="Times New Roman" w:eastAsia="Times New Roman" w:hAnsi="Times New Roman" w:cs="Times New Roman"/>
          <w:sz w:val="20"/>
          <w:szCs w:val="20"/>
        </w:rPr>
        <w:t>“Population Demographics Report – FY22 Q3.” Department of Correction, https://www1.nyc.gov/assets/doc/downloads/pdf/FY22_Q3_DEMOGRAPHICS.pdf</w:t>
      </w:r>
    </w:p>
  </w:footnote>
  <w:footnote w:id="7">
    <w:p w14:paraId="74FA0EF7" w14:textId="77777777" w:rsidR="0044607F" w:rsidRPr="00875768" w:rsidRDefault="0044607F" w:rsidP="0049386A">
      <w:pPr>
        <w:pStyle w:val="NoSpacing"/>
        <w:rPr>
          <w:rFonts w:ascii="Times New Roman" w:hAnsi="Times New Roman" w:cs="Times New Roman"/>
          <w:color w:val="000000" w:themeColor="text1"/>
          <w:sz w:val="20"/>
          <w:szCs w:val="20"/>
        </w:rPr>
      </w:pPr>
      <w:r w:rsidRPr="00875768">
        <w:rPr>
          <w:rStyle w:val="FootnoteReference"/>
          <w:rFonts w:ascii="Times New Roman" w:hAnsi="Times New Roman"/>
          <w:sz w:val="20"/>
        </w:rPr>
        <w:footnoteRef/>
      </w:r>
      <w:r w:rsidRPr="00875768">
        <w:rPr>
          <w:rFonts w:ascii="Times New Roman" w:hAnsi="Times New Roman" w:cs="Times New Roman"/>
          <w:sz w:val="20"/>
          <w:szCs w:val="20"/>
        </w:rPr>
        <w:t xml:space="preserve"> </w:t>
      </w:r>
      <w:r w:rsidRPr="00765F47">
        <w:rPr>
          <w:rFonts w:ascii="Times New Roman" w:eastAsia="Times New Roman" w:hAnsi="Times New Roman" w:cs="Times New Roman"/>
          <w:i/>
          <w:sz w:val="20"/>
          <w:szCs w:val="20"/>
        </w:rPr>
        <w:t>Id.</w:t>
      </w:r>
    </w:p>
  </w:footnote>
  <w:footnote w:id="8">
    <w:p w14:paraId="0F9183E0" w14:textId="3CACDCE8" w:rsidR="0044607F" w:rsidRDefault="0044607F" w:rsidP="00017D22">
      <w:pPr>
        <w:pStyle w:val="FootnoteText"/>
      </w:pPr>
      <w:r>
        <w:rPr>
          <w:rStyle w:val="FootnoteReference"/>
        </w:rPr>
        <w:footnoteRef/>
      </w:r>
      <w:r>
        <w:t xml:space="preserve"> </w:t>
      </w:r>
      <w:r w:rsidRPr="00017D22">
        <w:t xml:space="preserve">First Report of the Task Force on Issues Faced by TGNCNBI People in Custody (Aug. 15, 2022), </w:t>
      </w:r>
      <w:r w:rsidRPr="00017D22">
        <w:rPr>
          <w:i/>
          <w:iCs/>
        </w:rPr>
        <w:t>available at</w:t>
      </w:r>
      <w:r w:rsidRPr="00017D22">
        <w:t xml:space="preserve"> </w:t>
      </w:r>
      <w:hyperlink r:id="rId1" w:history="1">
        <w:r w:rsidRPr="00262C47">
          <w:rPr>
            <w:rStyle w:val="Hyperlink"/>
          </w:rPr>
          <w:t>https://www.nyc.gov/site/boc/jail-regulations/task-force-on-issues-faced-by-tgncbi.page</w:t>
        </w:r>
      </w:hyperlink>
      <w:r w:rsidRPr="00CA56E4">
        <w:rPr>
          <w:rStyle w:val="Hyperlink"/>
          <w:u w:val="none"/>
        </w:rPr>
        <w:t xml:space="preserve">. </w:t>
      </w:r>
    </w:p>
  </w:footnote>
  <w:footnote w:id="9">
    <w:p w14:paraId="4BEE98BF" w14:textId="321C8C1A" w:rsidR="0044607F" w:rsidRDefault="0044607F">
      <w:pPr>
        <w:pStyle w:val="FootnoteText"/>
      </w:pPr>
      <w:r>
        <w:rPr>
          <w:rStyle w:val="FootnoteReference"/>
        </w:rPr>
        <w:footnoteRef/>
      </w:r>
      <w:r>
        <w:t xml:space="preserve"> Alexi Jones, </w:t>
      </w:r>
      <w:r w:rsidRPr="006E05B2">
        <w:t xml:space="preserve">Visualizing the </w:t>
      </w:r>
      <w:r>
        <w:t>U</w:t>
      </w:r>
      <w:r w:rsidRPr="006E05B2">
        <w:t xml:space="preserve">nequal </w:t>
      </w:r>
      <w:r>
        <w:t>T</w:t>
      </w:r>
      <w:r w:rsidRPr="006E05B2">
        <w:t xml:space="preserve">reatment of LGBTQ people in the </w:t>
      </w:r>
      <w:r>
        <w:t>C</w:t>
      </w:r>
      <w:r w:rsidRPr="006E05B2">
        <w:t xml:space="preserve">riminal </w:t>
      </w:r>
      <w:r>
        <w:t>J</w:t>
      </w:r>
      <w:r w:rsidRPr="006E05B2">
        <w:t xml:space="preserve">ustice </w:t>
      </w:r>
      <w:r>
        <w:t>S</w:t>
      </w:r>
      <w:r w:rsidRPr="006E05B2">
        <w:t>ystem</w:t>
      </w:r>
      <w:r>
        <w:t xml:space="preserve"> (Mar. 2, 2021), available at </w:t>
      </w:r>
      <w:hyperlink r:id="rId2" w:history="1">
        <w:r w:rsidRPr="00B422C4">
          <w:rPr>
            <w:rStyle w:val="Hyperlink"/>
          </w:rPr>
          <w:t>https://www.prisonpolicy.org/blog/2021/03/02/lgbtq/</w:t>
        </w:r>
      </w:hyperlink>
      <w:r>
        <w:t>.</w:t>
      </w:r>
    </w:p>
  </w:footnote>
  <w:footnote w:id="10">
    <w:p w14:paraId="5CA78FC2" w14:textId="4403D4CB" w:rsidR="0044607F" w:rsidRDefault="0044607F">
      <w:pPr>
        <w:pStyle w:val="FootnoteText"/>
      </w:pPr>
      <w:r>
        <w:rPr>
          <w:rStyle w:val="FootnoteReference"/>
        </w:rPr>
        <w:footnoteRef/>
      </w:r>
      <w:r>
        <w:t xml:space="preserve"> UCLA School of Law, Williams Institute, </w:t>
      </w:r>
      <w:r w:rsidRPr="00CA56E4">
        <w:rPr>
          <w:i/>
          <w:iCs/>
        </w:rPr>
        <w:t>Incarceration Rates and Traits of Sexual Minorities in the United States</w:t>
      </w:r>
      <w:r>
        <w:t xml:space="preserve"> (2017), </w:t>
      </w:r>
      <w:r w:rsidRPr="00CA56E4">
        <w:rPr>
          <w:i/>
          <w:iCs/>
        </w:rPr>
        <w:t xml:space="preserve">available at </w:t>
      </w:r>
      <w:r w:rsidRPr="00F340C4">
        <w:t>https://williamsinstitute.law.ucla.edu/publications/incarceration-sexual-minorities-us/</w:t>
      </w:r>
    </w:p>
  </w:footnote>
  <w:footnote w:id="11">
    <w:p w14:paraId="3130D241" w14:textId="64B1A090" w:rsidR="0044607F" w:rsidRDefault="0044607F">
      <w:pPr>
        <w:pStyle w:val="FootnoteText"/>
      </w:pPr>
      <w:r>
        <w:rPr>
          <w:rStyle w:val="FootnoteReference"/>
        </w:rPr>
        <w:footnoteRef/>
      </w:r>
      <w:r>
        <w:t xml:space="preserve"> </w:t>
      </w:r>
      <w:r w:rsidRPr="00CA56E4">
        <w:rPr>
          <w:i/>
          <w:iCs/>
        </w:rPr>
        <w:t>Id.</w:t>
      </w:r>
    </w:p>
  </w:footnote>
  <w:footnote w:id="12">
    <w:p w14:paraId="26E170E9" w14:textId="44B7D7A6" w:rsidR="0044607F" w:rsidRDefault="0044607F" w:rsidP="00AB192C">
      <w:pPr>
        <w:pStyle w:val="FootnoteText"/>
      </w:pPr>
      <w:r>
        <w:rPr>
          <w:rStyle w:val="FootnoteReference"/>
        </w:rPr>
        <w:footnoteRef/>
      </w:r>
      <w:r>
        <w:t xml:space="preserve"> </w:t>
      </w:r>
      <w:r w:rsidRPr="00CA56E4">
        <w:rPr>
          <w:i/>
          <w:iCs/>
        </w:rPr>
        <w:t>Id.</w:t>
      </w:r>
    </w:p>
  </w:footnote>
  <w:footnote w:id="13">
    <w:p w14:paraId="7BB52B6C" w14:textId="77777777" w:rsidR="0044607F" w:rsidRDefault="0044607F" w:rsidP="002F6624">
      <w:pPr>
        <w:pStyle w:val="FootnoteText"/>
      </w:pPr>
      <w:r>
        <w:rPr>
          <w:rStyle w:val="FootnoteReference"/>
        </w:rPr>
        <w:footnoteRef/>
      </w:r>
      <w:r>
        <w:t xml:space="preserve"> UCLA Williams Institute, </w:t>
      </w:r>
      <w:r w:rsidRPr="00CA56E4">
        <w:rPr>
          <w:i/>
          <w:iCs/>
        </w:rPr>
        <w:t>Violence and Law Enforcement Interactions with LGBT People in the US</w:t>
      </w:r>
      <w:r>
        <w:t xml:space="preserve"> (Mar. 2020), </w:t>
      </w:r>
      <w:r w:rsidRPr="00691FDB">
        <w:t>https://williamsinstitute.law.ucla.edu/publications/violence-law-lgbt-us/</w:t>
      </w:r>
    </w:p>
  </w:footnote>
  <w:footnote w:id="14">
    <w:p w14:paraId="63F99128" w14:textId="4F15B15E" w:rsidR="0044607F" w:rsidRDefault="0044607F">
      <w:pPr>
        <w:pStyle w:val="FootnoteText"/>
      </w:pPr>
      <w:r>
        <w:rPr>
          <w:rStyle w:val="FootnoteReference"/>
        </w:rPr>
        <w:footnoteRef/>
      </w:r>
      <w:r>
        <w:t xml:space="preserve"> Allen J. Beck, et al, </w:t>
      </w:r>
      <w:r w:rsidRPr="006E05B2">
        <w:t>Sexual Victimization in Prisons and Jails Reported by Inmates, 2011-12-Update</w:t>
      </w:r>
      <w:r>
        <w:t xml:space="preserve">, available at </w:t>
      </w:r>
      <w:r w:rsidRPr="006E05B2">
        <w:t>https://bjs.ojp.gov/library/publications/sexual-victimization-prisons-and-jails-reported-inmates-2011-12-update</w:t>
      </w:r>
    </w:p>
  </w:footnote>
  <w:footnote w:id="15">
    <w:p w14:paraId="592AB7D0" w14:textId="1413C59A" w:rsidR="0044607F" w:rsidRDefault="0044607F">
      <w:pPr>
        <w:pStyle w:val="FootnoteText"/>
      </w:pPr>
      <w:r>
        <w:rPr>
          <w:rStyle w:val="FootnoteReference"/>
        </w:rPr>
        <w:footnoteRef/>
      </w:r>
      <w:r>
        <w:t xml:space="preserve"> NYCLU, </w:t>
      </w:r>
      <w:r w:rsidRPr="00CA56E4">
        <w:rPr>
          <w:i/>
          <w:iCs/>
        </w:rPr>
        <w:t>Protect trans New Yorkers in Jails and Prisons</w:t>
      </w:r>
      <w:r>
        <w:t xml:space="preserve"> (2022), </w:t>
      </w:r>
      <w:r w:rsidRPr="00CA56E4">
        <w:rPr>
          <w:i/>
          <w:iCs/>
        </w:rPr>
        <w:t>available at</w:t>
      </w:r>
      <w:r>
        <w:t xml:space="preserve"> </w:t>
      </w:r>
      <w:r w:rsidRPr="00B21042">
        <w:t>https://www.nyclu.org/sites/default/files/field_documents/2022-nyclu-protecttransppljailsprisons-onepager.pdf</w:t>
      </w:r>
      <w:r>
        <w:t>.</w:t>
      </w:r>
    </w:p>
  </w:footnote>
  <w:footnote w:id="16">
    <w:p w14:paraId="7CCF6594" w14:textId="7047FD75" w:rsidR="0044607F" w:rsidRDefault="0044607F">
      <w:pPr>
        <w:pStyle w:val="FootnoteText"/>
      </w:pPr>
      <w:r>
        <w:rPr>
          <w:rStyle w:val="FootnoteReference"/>
        </w:rPr>
        <w:footnoteRef/>
      </w:r>
      <w:r>
        <w:t xml:space="preserve"> </w:t>
      </w:r>
      <w:r w:rsidRPr="00F86429">
        <w:t>https://epgn.com/2020/03/04/our-history-our-future-in-1979-rikers-island-gave-gay-prisoners-hope/</w:t>
      </w:r>
    </w:p>
  </w:footnote>
  <w:footnote w:id="17">
    <w:p w14:paraId="6E154925" w14:textId="0C371212" w:rsidR="0044607F" w:rsidRDefault="0044607F">
      <w:pPr>
        <w:pStyle w:val="FootnoteText"/>
      </w:pPr>
      <w:r>
        <w:rPr>
          <w:rStyle w:val="FootnoteReference"/>
        </w:rPr>
        <w:footnoteRef/>
      </w:r>
      <w:r>
        <w:t xml:space="preserve"> </w:t>
      </w:r>
      <w:r w:rsidRPr="00F86429">
        <w:t>https://epgn.com/2020/03/04/our-history-our-future-in-1979-rikers-island-gave-gay-prisoners-hope/</w:t>
      </w:r>
    </w:p>
  </w:footnote>
  <w:footnote w:id="18">
    <w:p w14:paraId="4B5F56AF" w14:textId="77777777" w:rsidR="0044607F" w:rsidRDefault="0044607F" w:rsidP="002F6624">
      <w:pPr>
        <w:pStyle w:val="FootnoteText"/>
      </w:pPr>
      <w:r>
        <w:rPr>
          <w:rStyle w:val="FootnoteReference"/>
        </w:rPr>
        <w:footnoteRef/>
      </w:r>
      <w:r>
        <w:t xml:space="preserve"> Paul von Zielbauer, </w:t>
      </w:r>
      <w:r w:rsidRPr="00CC3098">
        <w:t>New York Set to Close Jail Unit for Gays</w:t>
      </w:r>
      <w:r>
        <w:t xml:space="preserve"> (Dec. 30, 2005), </w:t>
      </w:r>
      <w:r w:rsidRPr="00CC3098">
        <w:rPr>
          <w:i/>
          <w:iCs/>
        </w:rPr>
        <w:t xml:space="preserve">available at </w:t>
      </w:r>
      <w:hyperlink r:id="rId3" w:history="1">
        <w:r w:rsidRPr="00B422C4">
          <w:rPr>
            <w:rStyle w:val="Hyperlink"/>
          </w:rPr>
          <w:t>https://www.nytimes.com/2005/12/30/nyregion/new-york-set-to-close-jail-unit-for-gays.html</w:t>
        </w:r>
      </w:hyperlink>
      <w:r>
        <w:t xml:space="preserve">; Jason Villamez, </w:t>
      </w:r>
      <w:r w:rsidRPr="00CC3098">
        <w:t xml:space="preserve">In 1979, Rikers Island </w:t>
      </w:r>
      <w:r>
        <w:t>G</w:t>
      </w:r>
      <w:r w:rsidRPr="00CC3098">
        <w:t xml:space="preserve">ave </w:t>
      </w:r>
      <w:r>
        <w:t>G</w:t>
      </w:r>
      <w:r w:rsidRPr="00CC3098">
        <w:t xml:space="preserve">ay </w:t>
      </w:r>
      <w:r>
        <w:t>P</w:t>
      </w:r>
      <w:r w:rsidRPr="00CC3098">
        <w:t xml:space="preserve">risoners </w:t>
      </w:r>
      <w:r>
        <w:t>H</w:t>
      </w:r>
      <w:r w:rsidRPr="00CC3098">
        <w:t>ope</w:t>
      </w:r>
      <w:r>
        <w:t xml:space="preserve"> (Mar. 4, 2020), </w:t>
      </w:r>
      <w:r w:rsidRPr="00CC3098">
        <w:rPr>
          <w:i/>
          <w:iCs/>
        </w:rPr>
        <w:t>available at</w:t>
      </w:r>
      <w:r>
        <w:t xml:space="preserve"> </w:t>
      </w:r>
      <w:hyperlink r:id="rId4" w:history="1">
        <w:r w:rsidRPr="00B422C4">
          <w:rPr>
            <w:rStyle w:val="Hyperlink"/>
          </w:rPr>
          <w:t>https://epgn.com/2020/03/04/our-history-our-future-in-1979-rikers-island-gave-gay-prisoners-hope/</w:t>
        </w:r>
      </w:hyperlink>
      <w:r>
        <w:t xml:space="preserve">. </w:t>
      </w:r>
    </w:p>
  </w:footnote>
  <w:footnote w:id="19">
    <w:p w14:paraId="1D7918FB" w14:textId="333E7EAD" w:rsidR="0044607F" w:rsidRDefault="0044607F" w:rsidP="002F6624">
      <w:pPr>
        <w:pStyle w:val="FootnoteText"/>
      </w:pPr>
      <w:r>
        <w:rPr>
          <w:rStyle w:val="FootnoteReference"/>
        </w:rPr>
        <w:footnoteRef/>
      </w:r>
      <w:r>
        <w:t xml:space="preserve"> NYC Department of Corrections, Press Release: DOC Opens New Housing Unit for Transgender Women on Rikers Island (Nov. 18 2014), </w:t>
      </w:r>
      <w:r w:rsidRPr="00BA578D">
        <w:rPr>
          <w:i/>
          <w:iCs/>
        </w:rPr>
        <w:t>available at</w:t>
      </w:r>
      <w:r>
        <w:t xml:space="preserve"> </w:t>
      </w:r>
      <w:hyperlink r:id="rId5" w:history="1">
        <w:r w:rsidRPr="00B422C4">
          <w:rPr>
            <w:rStyle w:val="Hyperlink"/>
          </w:rPr>
          <w:t>https://www.nyc.gov/html/doc/downloads/pdf/press/DOC_OPENS_NEW_HOUSING_UNIT.pdf</w:t>
        </w:r>
      </w:hyperlink>
      <w:r>
        <w:t>.</w:t>
      </w:r>
    </w:p>
  </w:footnote>
  <w:footnote w:id="20">
    <w:p w14:paraId="7F35AA03" w14:textId="77777777" w:rsidR="0044607F" w:rsidRDefault="0044607F" w:rsidP="002F6624">
      <w:pPr>
        <w:pStyle w:val="FootnoteText"/>
      </w:pPr>
      <w:r>
        <w:rPr>
          <w:rStyle w:val="FootnoteReference"/>
        </w:rPr>
        <w:footnoteRef/>
      </w:r>
      <w:r>
        <w:t xml:space="preserve"> Christopher Mathias, </w:t>
      </w:r>
      <w:r w:rsidRPr="00BA578D">
        <w:t>New York's Largest Jail To Open Housing Unit For Transgender Women</w:t>
      </w:r>
      <w:r>
        <w:t xml:space="preserve"> (Nov. 18, 2014), available at </w:t>
      </w:r>
      <w:hyperlink r:id="rId6" w:history="1">
        <w:r w:rsidRPr="00B422C4">
          <w:rPr>
            <w:rStyle w:val="Hyperlink"/>
          </w:rPr>
          <w:t>https://www.huffpost.com/entry/rikers-transgender-women_n_6181552</w:t>
        </w:r>
      </w:hyperlink>
    </w:p>
  </w:footnote>
  <w:footnote w:id="21">
    <w:p w14:paraId="22601AED" w14:textId="1B5346A1" w:rsidR="0044607F" w:rsidRDefault="0044607F">
      <w:pPr>
        <w:pStyle w:val="FootnoteText"/>
      </w:pPr>
      <w:r>
        <w:rPr>
          <w:rStyle w:val="FootnoteReference"/>
        </w:rPr>
        <w:footnoteRef/>
      </w:r>
      <w:r>
        <w:t xml:space="preserve"> NYC Department of Corrections, Press Release: DOC Opens New Housing Unit for Transgender Women on Rikers Island (Nov. 18 2014), </w:t>
      </w:r>
      <w:r w:rsidRPr="00BA578D">
        <w:rPr>
          <w:i/>
          <w:iCs/>
        </w:rPr>
        <w:t>available at</w:t>
      </w:r>
      <w:r>
        <w:t xml:space="preserve"> </w:t>
      </w:r>
      <w:hyperlink r:id="rId7" w:history="1">
        <w:r w:rsidRPr="00B422C4">
          <w:rPr>
            <w:rStyle w:val="Hyperlink"/>
          </w:rPr>
          <w:t>https://www.nyc.gov/html/doc/downloads/pdf/press/DOC_OPENS_NEW_HOUSING_UNIT.pdf</w:t>
        </w:r>
      </w:hyperlink>
      <w:r>
        <w:t>.</w:t>
      </w:r>
    </w:p>
  </w:footnote>
  <w:footnote w:id="22">
    <w:p w14:paraId="23600FB2" w14:textId="5275C1D0" w:rsidR="0044607F" w:rsidRDefault="0044607F">
      <w:pPr>
        <w:pStyle w:val="FootnoteText"/>
      </w:pPr>
      <w:r>
        <w:rPr>
          <w:rStyle w:val="FootnoteReference"/>
        </w:rPr>
        <w:footnoteRef/>
      </w:r>
      <w:r>
        <w:t xml:space="preserve"> </w:t>
      </w:r>
      <w:r w:rsidRPr="005C5164">
        <w:t>https://www.silive.com/news/2017/05/transgender_rikers.html</w:t>
      </w:r>
    </w:p>
  </w:footnote>
  <w:footnote w:id="23">
    <w:p w14:paraId="5149DC39" w14:textId="537E8F04" w:rsidR="0044607F" w:rsidRDefault="0044607F">
      <w:pPr>
        <w:pStyle w:val="FootnoteText"/>
      </w:pPr>
      <w:r>
        <w:rPr>
          <w:rStyle w:val="FootnoteReference"/>
        </w:rPr>
        <w:footnoteRef/>
      </w:r>
      <w:r>
        <w:t xml:space="preserve"> </w:t>
      </w:r>
      <w:r w:rsidRPr="005C5164">
        <w:t>https://www.silive.com/news/2017/05/transgender_rikers.html</w:t>
      </w:r>
    </w:p>
  </w:footnote>
  <w:footnote w:id="24">
    <w:p w14:paraId="54CA15C0" w14:textId="223B6A13" w:rsidR="0044607F" w:rsidRDefault="0044607F">
      <w:pPr>
        <w:pStyle w:val="FootnoteText"/>
      </w:pPr>
      <w:r>
        <w:rPr>
          <w:rStyle w:val="FootnoteReference"/>
        </w:rPr>
        <w:footnoteRef/>
      </w:r>
      <w:r>
        <w:t xml:space="preserve"> </w:t>
      </w:r>
      <w:r w:rsidRPr="00765F47">
        <w:rPr>
          <w:i/>
        </w:rPr>
        <w:t>Supra Note 7</w:t>
      </w:r>
    </w:p>
  </w:footnote>
  <w:footnote w:id="25">
    <w:p w14:paraId="4A0731BA" w14:textId="349E9716" w:rsidR="0044607F" w:rsidRDefault="0044607F">
      <w:pPr>
        <w:pStyle w:val="FootnoteText"/>
      </w:pPr>
      <w:r>
        <w:rPr>
          <w:rStyle w:val="FootnoteReference"/>
        </w:rPr>
        <w:footnoteRef/>
      </w:r>
      <w:r>
        <w:t xml:space="preserve"> </w:t>
      </w:r>
      <w:r w:rsidRPr="00765F47">
        <w:rPr>
          <w:i/>
        </w:rPr>
        <w:t>Id.</w:t>
      </w:r>
    </w:p>
  </w:footnote>
  <w:footnote w:id="26">
    <w:p w14:paraId="14D2052A" w14:textId="1002C049" w:rsidR="0044607F" w:rsidRDefault="0044607F">
      <w:pPr>
        <w:pStyle w:val="FootnoteText"/>
      </w:pPr>
      <w:r>
        <w:rPr>
          <w:rStyle w:val="FootnoteReference"/>
        </w:rPr>
        <w:footnoteRef/>
      </w:r>
      <w:r>
        <w:t xml:space="preserve"> </w:t>
      </w:r>
      <w:r w:rsidRPr="00765F47">
        <w:rPr>
          <w:i/>
        </w:rPr>
        <w:t>Id.</w:t>
      </w:r>
    </w:p>
  </w:footnote>
  <w:footnote w:id="27">
    <w:p w14:paraId="08217756" w14:textId="77777777" w:rsidR="0044607F" w:rsidRDefault="0044607F" w:rsidP="007471F0">
      <w:pPr>
        <w:pStyle w:val="FootnoteText"/>
      </w:pPr>
      <w:r>
        <w:rPr>
          <w:rStyle w:val="FootnoteReference"/>
        </w:rPr>
        <w:footnoteRef/>
      </w:r>
      <w:r>
        <w:t xml:space="preserve"> NYC Board of Correction, The Death of Layleen Xtravaganza Cubilette-Polanco 1991-2019</w:t>
      </w:r>
      <w:r w:rsidRPr="00796633">
        <w:t xml:space="preserve"> </w:t>
      </w:r>
      <w:r>
        <w:t xml:space="preserve">(Jun. 23, 2020), available at </w:t>
      </w:r>
      <w:hyperlink r:id="rId8" w:history="1">
        <w:r w:rsidRPr="00B422C4">
          <w:rPr>
            <w:rStyle w:val="Hyperlink"/>
          </w:rPr>
          <w:t>https://www1.nyc.gov/assets/boc/downloads/pdf/Reports/BOC-Reports/2020.06_Polanco/Final_Polanco_Public_Report_1.pdf</w:t>
        </w:r>
      </w:hyperlink>
      <w:r>
        <w:t xml:space="preserve">. </w:t>
      </w:r>
      <w:r w:rsidRPr="00796633">
        <w:t xml:space="preserve"> </w:t>
      </w:r>
    </w:p>
  </w:footnote>
  <w:footnote w:id="28">
    <w:p w14:paraId="29C1A677" w14:textId="16B3F692" w:rsidR="0044607F" w:rsidRDefault="0044607F" w:rsidP="007471F0">
      <w:pPr>
        <w:pStyle w:val="FootnoteText"/>
      </w:pPr>
      <w:r>
        <w:rPr>
          <w:rStyle w:val="FootnoteReference"/>
        </w:rPr>
        <w:footnoteRef/>
      </w:r>
      <w:r>
        <w:t xml:space="preserve"> Mankaprr Conteh, How Layleen Cubilette-Polanco’s Family, the House of Xtravaganza, and Activists Are Mourning and Organizing a Month After Her Death (Jul. 12, 2019), </w:t>
      </w:r>
      <w:r w:rsidRPr="007471F0">
        <w:rPr>
          <w:i/>
          <w:iCs/>
        </w:rPr>
        <w:t>available at</w:t>
      </w:r>
      <w:r>
        <w:t xml:space="preserve"> </w:t>
      </w:r>
      <w:r w:rsidRPr="007471F0">
        <w:t>https://www.vogue.com/article/layleen-polanco-xtravaganza-mourning-organizing</w:t>
      </w:r>
    </w:p>
  </w:footnote>
  <w:footnote w:id="29">
    <w:p w14:paraId="75BE13DD" w14:textId="377C462F" w:rsidR="0044607F" w:rsidRDefault="0044607F">
      <w:pPr>
        <w:pStyle w:val="FootnoteText"/>
      </w:pPr>
      <w:r>
        <w:rPr>
          <w:rStyle w:val="FootnoteReference"/>
        </w:rPr>
        <w:footnoteRef/>
      </w:r>
      <w:r>
        <w:t xml:space="preserve"> </w:t>
      </w:r>
      <w:r w:rsidRPr="00892660">
        <w:t xml:space="preserve">NYC Board of Correction, The Death of Layleen Xtravaganza Cubilette-Polanco 1991-2019 (Jun. 23, 2020), available at </w:t>
      </w:r>
      <w:hyperlink r:id="rId9" w:history="1">
        <w:r w:rsidRPr="00892660">
          <w:rPr>
            <w:rStyle w:val="Hyperlink"/>
          </w:rPr>
          <w:t>https://www1.nyc.gov/assets/boc/downloads/pdf/Reports/BOC-Reports/2020.06_Polanco/Final_Polanco_Public_Report_1.pdf</w:t>
        </w:r>
      </w:hyperlink>
      <w:r w:rsidRPr="00892660">
        <w:t xml:space="preserve">.  </w:t>
      </w:r>
    </w:p>
  </w:footnote>
  <w:footnote w:id="30">
    <w:p w14:paraId="4037FC07" w14:textId="77777777" w:rsidR="0044607F" w:rsidRPr="0015530A" w:rsidRDefault="0044607F" w:rsidP="00EF037B">
      <w:pPr>
        <w:pStyle w:val="FootnoteText"/>
        <w:rPr>
          <w:sz w:val="19"/>
          <w:szCs w:val="19"/>
        </w:rPr>
      </w:pPr>
      <w:r w:rsidRPr="0015530A">
        <w:rPr>
          <w:rStyle w:val="FootnoteReference"/>
          <w:sz w:val="19"/>
          <w:szCs w:val="19"/>
        </w:rPr>
        <w:footnoteRef/>
      </w:r>
      <w:r w:rsidRPr="0015530A">
        <w:rPr>
          <w:sz w:val="19"/>
          <w:szCs w:val="19"/>
        </w:rPr>
        <w:t xml:space="preserve"> Benjamin Weiser, $1.2 Million City Settlement With Rikers Inmates Who Accused Guard of Rape (May 9, 2017), </w:t>
      </w:r>
      <w:r w:rsidRPr="0015530A">
        <w:rPr>
          <w:i/>
          <w:sz w:val="19"/>
          <w:szCs w:val="19"/>
        </w:rPr>
        <w:t>available at</w:t>
      </w:r>
      <w:r w:rsidRPr="0015530A">
        <w:rPr>
          <w:sz w:val="19"/>
          <w:szCs w:val="19"/>
        </w:rPr>
        <w:t xml:space="preserve"> </w:t>
      </w:r>
      <w:hyperlink r:id="rId10" w:history="1">
        <w:r w:rsidRPr="0015530A">
          <w:rPr>
            <w:rStyle w:val="Hyperlink"/>
            <w:sz w:val="19"/>
            <w:szCs w:val="19"/>
          </w:rPr>
          <w:t>rikers-inmates-who-accused-guard-of-rape-settle-suit-for-1-2-million.html</w:t>
        </w:r>
      </w:hyperlink>
      <w:r w:rsidRPr="0015530A">
        <w:rPr>
          <w:sz w:val="19"/>
          <w:szCs w:val="19"/>
        </w:rPr>
        <w:t xml:space="preserve">. </w:t>
      </w:r>
    </w:p>
  </w:footnote>
  <w:footnote w:id="31">
    <w:p w14:paraId="3ECC7322" w14:textId="77777777" w:rsidR="0044607F" w:rsidRPr="0015530A" w:rsidRDefault="0044607F" w:rsidP="00EF037B">
      <w:pPr>
        <w:pStyle w:val="FootnoteText"/>
        <w:rPr>
          <w:sz w:val="19"/>
          <w:szCs w:val="19"/>
        </w:rPr>
      </w:pPr>
      <w:r w:rsidRPr="0015530A">
        <w:rPr>
          <w:rStyle w:val="FootnoteReference"/>
          <w:sz w:val="19"/>
          <w:szCs w:val="19"/>
        </w:rPr>
        <w:footnoteRef/>
      </w:r>
      <w:r w:rsidRPr="0015530A">
        <w:rPr>
          <w:sz w:val="19"/>
          <w:szCs w:val="19"/>
        </w:rPr>
        <w:t xml:space="preserve"> Christina Carrega, Shampoo, watery soap to disinfect: Conditions on Rikers Island </w:t>
      </w:r>
      <w:r>
        <w:rPr>
          <w:sz w:val="19"/>
          <w:szCs w:val="19"/>
        </w:rPr>
        <w:t>D</w:t>
      </w:r>
      <w:r w:rsidRPr="0015530A">
        <w:rPr>
          <w:sz w:val="19"/>
          <w:szCs w:val="19"/>
        </w:rPr>
        <w:t xml:space="preserve">uring COVID-19 </w:t>
      </w:r>
      <w:r>
        <w:rPr>
          <w:sz w:val="19"/>
          <w:szCs w:val="19"/>
        </w:rPr>
        <w:t>U</w:t>
      </w:r>
      <w:r w:rsidRPr="0015530A">
        <w:rPr>
          <w:sz w:val="19"/>
          <w:szCs w:val="19"/>
        </w:rPr>
        <w:t xml:space="preserve">nsafe, </w:t>
      </w:r>
      <w:r>
        <w:rPr>
          <w:sz w:val="19"/>
          <w:szCs w:val="19"/>
        </w:rPr>
        <w:t>S</w:t>
      </w:r>
      <w:r w:rsidRPr="0015530A">
        <w:rPr>
          <w:sz w:val="19"/>
          <w:szCs w:val="19"/>
        </w:rPr>
        <w:t xml:space="preserve">ome </w:t>
      </w:r>
      <w:r>
        <w:rPr>
          <w:sz w:val="19"/>
          <w:szCs w:val="19"/>
        </w:rPr>
        <w:t>I</w:t>
      </w:r>
      <w:r w:rsidRPr="0015530A">
        <w:rPr>
          <w:sz w:val="19"/>
          <w:szCs w:val="19"/>
        </w:rPr>
        <w:t xml:space="preserve">nmates </w:t>
      </w:r>
      <w:r>
        <w:rPr>
          <w:sz w:val="19"/>
          <w:szCs w:val="19"/>
        </w:rPr>
        <w:t>S</w:t>
      </w:r>
      <w:r w:rsidRPr="0015530A">
        <w:rPr>
          <w:sz w:val="19"/>
          <w:szCs w:val="19"/>
        </w:rPr>
        <w:t xml:space="preserve">ay (Mar. 29, 2020), </w:t>
      </w:r>
      <w:r w:rsidRPr="0015530A">
        <w:rPr>
          <w:i/>
          <w:sz w:val="19"/>
          <w:szCs w:val="19"/>
        </w:rPr>
        <w:t>available at</w:t>
      </w:r>
      <w:r w:rsidRPr="0015530A">
        <w:rPr>
          <w:sz w:val="19"/>
          <w:szCs w:val="19"/>
        </w:rPr>
        <w:t xml:space="preserve"> </w:t>
      </w:r>
      <w:hyperlink r:id="rId11" w:history="1">
        <w:r w:rsidRPr="0015530A">
          <w:rPr>
            <w:rStyle w:val="Hyperlink"/>
            <w:sz w:val="19"/>
            <w:szCs w:val="19"/>
          </w:rPr>
          <w:t>shampoo-watery-soap-disinfect-conditions-rikers-island-covid</w:t>
        </w:r>
      </w:hyperlink>
      <w:r w:rsidRPr="0015530A">
        <w:rPr>
          <w:sz w:val="19"/>
          <w:szCs w:val="19"/>
        </w:rPr>
        <w:t xml:space="preserve">. </w:t>
      </w:r>
    </w:p>
  </w:footnote>
  <w:footnote w:id="32">
    <w:p w14:paraId="5629D30D" w14:textId="77777777" w:rsidR="0044607F" w:rsidRPr="0015530A" w:rsidRDefault="0044607F" w:rsidP="00D1105B">
      <w:pPr>
        <w:pStyle w:val="FootnoteText"/>
        <w:rPr>
          <w:sz w:val="19"/>
          <w:szCs w:val="19"/>
        </w:rPr>
      </w:pPr>
      <w:r w:rsidRPr="0015530A">
        <w:rPr>
          <w:rStyle w:val="FootnoteReference"/>
          <w:sz w:val="19"/>
          <w:szCs w:val="19"/>
        </w:rPr>
        <w:footnoteRef/>
      </w:r>
      <w:r w:rsidRPr="0015530A">
        <w:rPr>
          <w:sz w:val="19"/>
          <w:szCs w:val="19"/>
        </w:rPr>
        <w:t xml:space="preserve"> </w:t>
      </w:r>
      <w:r w:rsidRPr="00A96DF3">
        <w:rPr>
          <w:lang w:val="en"/>
        </w:rPr>
        <w:t>In October 2019, the City Council voted to close Rikers Island by 2026 and replace it with four smaller borough-based jails. In 2020, due to COVID-related delays, this deadline was pushed to 2027.</w:t>
      </w:r>
      <w:r w:rsidRPr="009A5327">
        <w:rPr>
          <w:rStyle w:val="FootnoteReference"/>
          <w:lang w:val="en"/>
        </w:rPr>
        <w:t xml:space="preserve"> </w:t>
      </w:r>
      <w:r w:rsidRPr="0015530A">
        <w:rPr>
          <w:sz w:val="19"/>
          <w:szCs w:val="19"/>
        </w:rPr>
        <w:t xml:space="preserve">Michael Winerip &amp; Michael Schwirtz, Rikers: Where Mental Illness Meets Brutality in Jail (Jul. 14, 2014), </w:t>
      </w:r>
      <w:r w:rsidRPr="0015530A">
        <w:rPr>
          <w:i/>
          <w:sz w:val="19"/>
          <w:szCs w:val="19"/>
        </w:rPr>
        <w:t>available at</w:t>
      </w:r>
      <w:r w:rsidRPr="0015530A">
        <w:rPr>
          <w:sz w:val="19"/>
          <w:szCs w:val="19"/>
        </w:rPr>
        <w:t xml:space="preserve"> </w:t>
      </w:r>
      <w:hyperlink r:id="rId12" w:history="1">
        <w:r w:rsidRPr="0015530A">
          <w:rPr>
            <w:rStyle w:val="Hyperlink"/>
            <w:sz w:val="19"/>
            <w:szCs w:val="19"/>
          </w:rPr>
          <w:t>rikers-study-finds-prisoners-injured-by-employees</w:t>
        </w:r>
      </w:hyperlink>
      <w:r w:rsidRPr="0015530A">
        <w:rPr>
          <w:sz w:val="19"/>
          <w:szCs w:val="19"/>
        </w:rPr>
        <w:t xml:space="preserve">. </w:t>
      </w:r>
      <w:r w:rsidRPr="009A5327">
        <w:rPr>
          <w:i/>
          <w:iCs/>
          <w:lang w:val="en"/>
        </w:rPr>
        <w:t xml:space="preserve">See </w:t>
      </w:r>
      <w:r w:rsidRPr="0015530A">
        <w:rPr>
          <w:sz w:val="19"/>
          <w:szCs w:val="19"/>
        </w:rPr>
        <w:t xml:space="preserve">Matthew Haag, “N.Y.C. Votes to Close Rikers. Now Comes the Hard Part.” NY Times (Oct. 17, 2019), </w:t>
      </w:r>
      <w:r w:rsidRPr="0015530A">
        <w:rPr>
          <w:i/>
          <w:sz w:val="19"/>
          <w:szCs w:val="19"/>
        </w:rPr>
        <w:t>available at</w:t>
      </w:r>
      <w:r w:rsidRPr="0015530A">
        <w:rPr>
          <w:sz w:val="19"/>
          <w:szCs w:val="19"/>
        </w:rPr>
        <w:t xml:space="preserve"> </w:t>
      </w:r>
      <w:hyperlink r:id="rId13" w:history="1">
        <w:r w:rsidRPr="0015530A">
          <w:rPr>
            <w:rStyle w:val="Hyperlink"/>
            <w:sz w:val="19"/>
            <w:szCs w:val="19"/>
          </w:rPr>
          <w:t>rikers-island-closing-vote</w:t>
        </w:r>
      </w:hyperlink>
      <w:r>
        <w:rPr>
          <w:sz w:val="19"/>
          <w:szCs w:val="19"/>
        </w:rPr>
        <w:t xml:space="preserve">; </w:t>
      </w:r>
      <w:r w:rsidRPr="0015530A">
        <w:rPr>
          <w:sz w:val="19"/>
          <w:szCs w:val="19"/>
        </w:rPr>
        <w:t xml:space="preserve">Rachel Holliday Smith, “Manhattan Jail Design Forges Ahead Even as Plan to Replace Rikers is Delayed to 2027” The City (Oct. 19, 2020), </w:t>
      </w:r>
      <w:r w:rsidRPr="0015530A">
        <w:rPr>
          <w:i/>
          <w:sz w:val="19"/>
          <w:szCs w:val="19"/>
        </w:rPr>
        <w:t>available at</w:t>
      </w:r>
      <w:r w:rsidRPr="0015530A">
        <w:rPr>
          <w:sz w:val="19"/>
          <w:szCs w:val="19"/>
        </w:rPr>
        <w:t xml:space="preserve"> </w:t>
      </w:r>
      <w:hyperlink r:id="rId14" w:history="1">
        <w:r w:rsidRPr="0015530A">
          <w:rPr>
            <w:rStyle w:val="Hyperlink"/>
            <w:sz w:val="19"/>
            <w:szCs w:val="19"/>
          </w:rPr>
          <w:t>manhattan-jail-tombs-replace-rikers-delayed-nyc</w:t>
        </w:r>
      </w:hyperlink>
      <w:r w:rsidRPr="0015530A">
        <w:rPr>
          <w:sz w:val="19"/>
          <w:szCs w:val="19"/>
        </w:rPr>
        <w:t xml:space="preserve">.  </w:t>
      </w:r>
    </w:p>
  </w:footnote>
  <w:footnote w:id="33">
    <w:p w14:paraId="6EB0B4B2" w14:textId="3A0069AA" w:rsidR="0044607F" w:rsidRDefault="0044607F">
      <w:pPr>
        <w:pStyle w:val="FootnoteText"/>
      </w:pPr>
      <w:r>
        <w:rPr>
          <w:rStyle w:val="FootnoteReference"/>
        </w:rPr>
        <w:footnoteRef/>
      </w:r>
      <w:r>
        <w:t xml:space="preserve"> New York City Council, Local Law 45 of 2019, </w:t>
      </w:r>
      <w:hyperlink r:id="rId15" w:history="1">
        <w:r w:rsidRPr="00B422C4">
          <w:rPr>
            <w:rStyle w:val="Hyperlink"/>
          </w:rPr>
          <w:t>https://legistar.council.nyc.gov/LegislationDetail.aspx?ID=3923931&amp;GUID=94F7EE69-D9E4-45D2-8A98-A67C055EAE20&amp;Options=ID|Text|&amp;Search=145</w:t>
        </w:r>
      </w:hyperlink>
      <w:r>
        <w:t xml:space="preserve"> (explaining the TF is required to issue its first report within one year of convening)</w:t>
      </w:r>
    </w:p>
  </w:footnote>
  <w:footnote w:id="34">
    <w:p w14:paraId="38F87405" w14:textId="21CF9FB2" w:rsidR="0044607F" w:rsidRDefault="0044607F" w:rsidP="00564DF1">
      <w:pPr>
        <w:pStyle w:val="FootnoteText"/>
      </w:pPr>
      <w:r>
        <w:rPr>
          <w:rStyle w:val="FootnoteReference"/>
        </w:rPr>
        <w:footnoteRef/>
      </w:r>
      <w:r>
        <w:t xml:space="preserve"> New York City Council, Local Law 45 of 2019, </w:t>
      </w:r>
      <w:hyperlink r:id="rId16" w:history="1">
        <w:r w:rsidRPr="00B422C4">
          <w:rPr>
            <w:rStyle w:val="Hyperlink"/>
          </w:rPr>
          <w:t>https://legistar.council.nyc.gov/LegislationDetail.aspx?ID=3923931&amp;GUID=94F7EE69-D9E4-45D2-8A98-A67C055EAE20&amp;Options=ID|Text|&amp;Search=145</w:t>
        </w:r>
      </w:hyperlink>
      <w:r>
        <w:t xml:space="preserve"> (explaining the TF is required to issue its first report within one year of convening)</w:t>
      </w:r>
    </w:p>
  </w:footnote>
  <w:footnote w:id="35">
    <w:p w14:paraId="7FB9C60A" w14:textId="1915D5E9" w:rsidR="0044607F" w:rsidRDefault="0044607F" w:rsidP="00564DF1">
      <w:pPr>
        <w:pStyle w:val="FootnoteText"/>
      </w:pPr>
      <w:r>
        <w:rPr>
          <w:rStyle w:val="FootnoteReference"/>
        </w:rPr>
        <w:footnoteRef/>
      </w:r>
      <w:r>
        <w:t xml:space="preserve"> </w:t>
      </w:r>
      <w:r w:rsidRPr="00765F47">
        <w:rPr>
          <w:i/>
        </w:rPr>
        <w:t>Supra Note 7</w:t>
      </w:r>
      <w:r>
        <w:t xml:space="preserve">; New York City Council, Local Law 45 of 2019, </w:t>
      </w:r>
      <w:hyperlink r:id="rId17" w:history="1">
        <w:r w:rsidRPr="00B422C4">
          <w:rPr>
            <w:rStyle w:val="Hyperlink"/>
          </w:rPr>
          <w:t>https://legistar.council.nyc.gov/LegislationDetail.aspx?ID=3923931&amp;GUID=94F7EE69-D9E4-45D2-8A98-A67C055EAE20&amp;Options=ID|Text|&amp;Search=145</w:t>
        </w:r>
      </w:hyperlink>
      <w:r>
        <w:t xml:space="preserve"> (explaining that, </w:t>
      </w:r>
      <w:r w:rsidRPr="00564DF1">
        <w:t>as required by Local Law 145 of 2019</w:t>
      </w:r>
      <w:r>
        <w:t xml:space="preserve">, the task force includes individuals from DOC, Correctional Health Services (CHS), </w:t>
      </w:r>
      <w:r w:rsidRPr="00D36B49">
        <w:t xml:space="preserve"> the </w:t>
      </w:r>
      <w:r>
        <w:t>C</w:t>
      </w:r>
      <w:r w:rsidRPr="00D36B49">
        <w:t xml:space="preserve">ommission on </w:t>
      </w:r>
      <w:r>
        <w:t>H</w:t>
      </w:r>
      <w:r w:rsidRPr="00D36B49">
        <w:t xml:space="preserve">uman </w:t>
      </w:r>
      <w:r>
        <w:t>R</w:t>
      </w:r>
      <w:r w:rsidRPr="00D36B49">
        <w:t>ights</w:t>
      </w:r>
      <w:r>
        <w:t xml:space="preserve"> (CCHR)</w:t>
      </w:r>
      <w:r w:rsidRPr="00D36B49">
        <w:t xml:space="preserve">, the </w:t>
      </w:r>
      <w:r>
        <w:t>M</w:t>
      </w:r>
      <w:r w:rsidRPr="00D36B49">
        <w:t xml:space="preserve">ayor’s </w:t>
      </w:r>
      <w:r>
        <w:t>O</w:t>
      </w:r>
      <w:r w:rsidRPr="00D36B49">
        <w:t xml:space="preserve">ffice to </w:t>
      </w:r>
      <w:r>
        <w:t>E</w:t>
      </w:r>
      <w:r w:rsidRPr="00D36B49">
        <w:t xml:space="preserve">nd </w:t>
      </w:r>
      <w:r>
        <w:t>D</w:t>
      </w:r>
      <w:r w:rsidRPr="00D36B49">
        <w:t xml:space="preserve">omestic and </w:t>
      </w:r>
      <w:r>
        <w:t>G</w:t>
      </w:r>
      <w:r w:rsidRPr="00D36B49">
        <w:t>ender-</w:t>
      </w:r>
      <w:r>
        <w:t>B</w:t>
      </w:r>
      <w:r w:rsidRPr="00D36B49">
        <w:t xml:space="preserve">ased </w:t>
      </w:r>
      <w:r>
        <w:t>V</w:t>
      </w:r>
      <w:r w:rsidRPr="00D36B49">
        <w:t>iolence</w:t>
      </w:r>
      <w:r>
        <w:t xml:space="preserve"> (ENDGBV)</w:t>
      </w:r>
      <w:r w:rsidRPr="00D36B49">
        <w:t xml:space="preserve">, the </w:t>
      </w:r>
      <w:r>
        <w:t>NYC</w:t>
      </w:r>
      <w:r w:rsidRPr="00D36B49">
        <w:t xml:space="preserve"> </w:t>
      </w:r>
      <w:r>
        <w:t>U</w:t>
      </w:r>
      <w:r w:rsidRPr="00D36B49">
        <w:t xml:space="preserve">nity </w:t>
      </w:r>
      <w:r>
        <w:t>P</w:t>
      </w:r>
      <w:r w:rsidRPr="00D36B49">
        <w:t xml:space="preserve">roject or similar organization, the </w:t>
      </w:r>
      <w:r>
        <w:t>City C</w:t>
      </w:r>
      <w:r w:rsidRPr="00D36B49">
        <w:t>ouncil</w:t>
      </w:r>
      <w:r>
        <w:t xml:space="preserve">, as well </w:t>
      </w:r>
      <w:r w:rsidRPr="00D36B49">
        <w:t xml:space="preserve">formerly incarcerated individuals; </w:t>
      </w:r>
      <w:r>
        <w:t xml:space="preserve">individual(s) </w:t>
      </w:r>
      <w:r w:rsidRPr="00D36B49">
        <w:t xml:space="preserve">formerly or currently incarcerated in the transgender housing unit, to the extent practicable; </w:t>
      </w:r>
      <w:r>
        <w:t xml:space="preserve">at least one </w:t>
      </w:r>
      <w:r w:rsidRPr="00D36B49">
        <w:t>service provider that address</w:t>
      </w:r>
      <w:r>
        <w:t>es</w:t>
      </w:r>
      <w:r w:rsidRPr="00D36B49">
        <w:t xml:space="preserve"> transgender, gender nonconforming, non-binary, and intersex individuals in custody; and </w:t>
      </w:r>
      <w:r>
        <w:t xml:space="preserve">at least one representative from a </w:t>
      </w:r>
      <w:r w:rsidRPr="00D36B49">
        <w:t xml:space="preserve">local </w:t>
      </w:r>
      <w:r>
        <w:t>or</w:t>
      </w:r>
      <w:r w:rsidRPr="00D36B49">
        <w:t xml:space="preserve"> national </w:t>
      </w:r>
      <w:r>
        <w:t>organization</w:t>
      </w:r>
      <w:r w:rsidRPr="00D36B49">
        <w:t xml:space="preserve"> that address</w:t>
      </w:r>
      <w:r>
        <w:t>es</w:t>
      </w:r>
      <w:r w:rsidRPr="00D36B49">
        <w:t xml:space="preserve"> issues related to transgender, gender nonconforming, non-binary, and intersex individuals</w:t>
      </w:r>
      <w:r>
        <w:t>).</w:t>
      </w:r>
    </w:p>
  </w:footnote>
  <w:footnote w:id="36">
    <w:p w14:paraId="48104B34" w14:textId="630E0562" w:rsidR="0044607F" w:rsidRDefault="0044607F">
      <w:pPr>
        <w:pStyle w:val="FootnoteText"/>
      </w:pPr>
      <w:r>
        <w:rPr>
          <w:rStyle w:val="FootnoteReference"/>
        </w:rPr>
        <w:footnoteRef/>
      </w:r>
      <w:r>
        <w:t xml:space="preserve"> </w:t>
      </w:r>
      <w:r w:rsidRPr="00765F47">
        <w:rPr>
          <w:i/>
        </w:rPr>
        <w:t>Supra Note 7</w:t>
      </w:r>
    </w:p>
  </w:footnote>
  <w:footnote w:id="37">
    <w:p w14:paraId="3B60063A" w14:textId="5E8B55AF" w:rsidR="0044607F" w:rsidRDefault="0044607F">
      <w:pPr>
        <w:pStyle w:val="FootnoteText"/>
      </w:pPr>
      <w:r>
        <w:rPr>
          <w:rStyle w:val="FootnoteReference"/>
        </w:rPr>
        <w:footnoteRef/>
      </w:r>
      <w:r>
        <w:t xml:space="preserve"> </w:t>
      </w:r>
      <w:r w:rsidRPr="00CA56E4">
        <w:rPr>
          <w:i/>
          <w:iCs/>
        </w:rPr>
        <w:t>Id.</w:t>
      </w:r>
    </w:p>
  </w:footnote>
  <w:footnote w:id="38">
    <w:p w14:paraId="58360C74" w14:textId="5E237DFB" w:rsidR="0044607F" w:rsidRDefault="0044607F">
      <w:pPr>
        <w:pStyle w:val="FootnoteText"/>
      </w:pPr>
      <w:r>
        <w:rPr>
          <w:rStyle w:val="FootnoteReference"/>
        </w:rPr>
        <w:footnoteRef/>
      </w:r>
      <w:r>
        <w:t xml:space="preserve"> </w:t>
      </w:r>
      <w:r>
        <w:rPr>
          <w:i/>
          <w:iCs/>
        </w:rPr>
        <w:t>Id</w:t>
      </w:r>
    </w:p>
  </w:footnote>
  <w:footnote w:id="39">
    <w:p w14:paraId="39866A0F" w14:textId="4815C35F" w:rsidR="0044607F" w:rsidRDefault="0044607F">
      <w:pPr>
        <w:pStyle w:val="FootnoteText"/>
      </w:pPr>
      <w:r>
        <w:rPr>
          <w:rStyle w:val="FootnoteReference"/>
        </w:rPr>
        <w:footnoteRef/>
      </w:r>
      <w:r>
        <w:t xml:space="preserve"> </w:t>
      </w:r>
      <w:r w:rsidRPr="00765F47">
        <w:rPr>
          <w:i/>
        </w:rPr>
        <w:t>Id.</w:t>
      </w:r>
    </w:p>
  </w:footnote>
  <w:footnote w:id="40">
    <w:p w14:paraId="03FA1E9C" w14:textId="42913D86" w:rsidR="0044607F" w:rsidRDefault="0044607F">
      <w:pPr>
        <w:pStyle w:val="FootnoteText"/>
      </w:pPr>
      <w:r>
        <w:rPr>
          <w:rStyle w:val="FootnoteReference"/>
        </w:rPr>
        <w:footnoteRef/>
      </w:r>
      <w:r>
        <w:t xml:space="preserve"> </w:t>
      </w:r>
      <w:r w:rsidRPr="00CA56E4">
        <w:rPr>
          <w:i/>
          <w:iCs/>
        </w:rPr>
        <w:t>Id.</w:t>
      </w:r>
    </w:p>
  </w:footnote>
  <w:footnote w:id="41">
    <w:p w14:paraId="71AFAB8E" w14:textId="5F80CFF0" w:rsidR="0044607F" w:rsidRDefault="0044607F">
      <w:pPr>
        <w:pStyle w:val="FootnoteText"/>
      </w:pPr>
      <w:r>
        <w:rPr>
          <w:rStyle w:val="FootnoteReference"/>
        </w:rPr>
        <w:footnoteRef/>
      </w:r>
      <w:r>
        <w:t xml:space="preserve"> </w:t>
      </w:r>
      <w:r w:rsidRPr="006A15F7">
        <w:rPr>
          <w:i/>
          <w:iCs/>
        </w:rPr>
        <w:t>Id.</w:t>
      </w:r>
    </w:p>
  </w:footnote>
  <w:footnote w:id="42">
    <w:p w14:paraId="15F1C208" w14:textId="6BB61003" w:rsidR="0044607F" w:rsidRDefault="0044607F">
      <w:pPr>
        <w:pStyle w:val="FootnoteText"/>
      </w:pPr>
      <w:r>
        <w:rPr>
          <w:rStyle w:val="FootnoteReference"/>
        </w:rPr>
        <w:footnoteRef/>
      </w:r>
      <w:r>
        <w:t xml:space="preserve"> </w:t>
      </w:r>
      <w:r w:rsidRPr="006A15F7">
        <w:rPr>
          <w:i/>
          <w:iCs/>
        </w:rPr>
        <w:t>Id.</w:t>
      </w:r>
    </w:p>
  </w:footnote>
  <w:footnote w:id="43">
    <w:p w14:paraId="40B618E3" w14:textId="5D233B5E" w:rsidR="0044607F" w:rsidRPr="00765F47" w:rsidRDefault="0044607F">
      <w:pPr>
        <w:pStyle w:val="FootnoteText"/>
        <w:rPr>
          <w:i/>
        </w:rPr>
      </w:pPr>
      <w:r>
        <w:rPr>
          <w:rStyle w:val="FootnoteReference"/>
        </w:rPr>
        <w:footnoteRef/>
      </w:r>
      <w:r>
        <w:t xml:space="preserve"> </w:t>
      </w:r>
      <w:r w:rsidRPr="00765F47">
        <w:rPr>
          <w:i/>
        </w:rPr>
        <w:t>Id.</w:t>
      </w:r>
    </w:p>
  </w:footnote>
  <w:footnote w:id="44">
    <w:p w14:paraId="595DA7EB" w14:textId="2D7CFBCC" w:rsidR="0044607F" w:rsidRDefault="0044607F">
      <w:pPr>
        <w:pStyle w:val="FootnoteText"/>
      </w:pPr>
      <w:r>
        <w:rPr>
          <w:rStyle w:val="FootnoteReference"/>
        </w:rPr>
        <w:footnoteRef/>
      </w:r>
      <w:r>
        <w:t xml:space="preserve"> </w:t>
      </w:r>
      <w:r w:rsidRPr="006A15F7">
        <w:rPr>
          <w:i/>
          <w:iCs/>
        </w:rPr>
        <w:t>Id.</w:t>
      </w:r>
    </w:p>
  </w:footnote>
  <w:footnote w:id="45">
    <w:p w14:paraId="7835447D" w14:textId="34679982" w:rsidR="0044607F" w:rsidRDefault="0044607F">
      <w:pPr>
        <w:pStyle w:val="FootnoteText"/>
      </w:pPr>
      <w:r>
        <w:rPr>
          <w:rStyle w:val="FootnoteReference"/>
        </w:rPr>
        <w:footnoteRef/>
      </w:r>
      <w:r>
        <w:t xml:space="preserve"> </w:t>
      </w:r>
      <w:r w:rsidRPr="006A15F7">
        <w:rPr>
          <w:i/>
          <w:iCs/>
        </w:rPr>
        <w:t>Id.</w:t>
      </w:r>
    </w:p>
  </w:footnote>
  <w:footnote w:id="46">
    <w:p w14:paraId="0B117BD8" w14:textId="0DCC19A3" w:rsidR="0044607F" w:rsidRDefault="0044607F">
      <w:pPr>
        <w:pStyle w:val="FootnoteText"/>
      </w:pPr>
      <w:r>
        <w:rPr>
          <w:rStyle w:val="FootnoteReference"/>
        </w:rPr>
        <w:footnoteRef/>
      </w:r>
      <w:r>
        <w:t xml:space="preserve"> </w:t>
      </w:r>
      <w:r w:rsidRPr="006A15F7">
        <w:rPr>
          <w:i/>
          <w:iCs/>
        </w:rPr>
        <w:t>Id.</w:t>
      </w:r>
    </w:p>
  </w:footnote>
  <w:footnote w:id="47">
    <w:p w14:paraId="67213CD7" w14:textId="6A003ADC" w:rsidR="0044607F" w:rsidRDefault="0044607F">
      <w:pPr>
        <w:pStyle w:val="FootnoteText"/>
      </w:pPr>
      <w:r>
        <w:rPr>
          <w:rStyle w:val="FootnoteReference"/>
        </w:rPr>
        <w:footnoteRef/>
      </w:r>
      <w:r>
        <w:t xml:space="preserve"> </w:t>
      </w:r>
      <w:r w:rsidRPr="006A15F7">
        <w:rPr>
          <w:i/>
          <w:iCs/>
        </w:rPr>
        <w:t>Id.</w:t>
      </w:r>
    </w:p>
  </w:footnote>
  <w:footnote w:id="48">
    <w:p w14:paraId="6487D587" w14:textId="25DEF00D" w:rsidR="0044607F" w:rsidRDefault="0044607F">
      <w:pPr>
        <w:pStyle w:val="FootnoteText"/>
      </w:pPr>
      <w:r>
        <w:rPr>
          <w:rStyle w:val="FootnoteReference"/>
        </w:rPr>
        <w:footnoteRef/>
      </w:r>
      <w:r>
        <w:t xml:space="preserve"> </w:t>
      </w:r>
      <w:r w:rsidRPr="006A15F7">
        <w:rPr>
          <w:i/>
          <w:iCs/>
        </w:rPr>
        <w:t>Id.</w:t>
      </w:r>
    </w:p>
  </w:footnote>
  <w:footnote w:id="49">
    <w:p w14:paraId="2A5767D1" w14:textId="74ABEC4D" w:rsidR="0044607F" w:rsidRDefault="0044607F">
      <w:pPr>
        <w:pStyle w:val="FootnoteText"/>
      </w:pPr>
      <w:r>
        <w:rPr>
          <w:rStyle w:val="FootnoteReference"/>
        </w:rPr>
        <w:footnoteRef/>
      </w:r>
      <w:r>
        <w:t xml:space="preserve"> </w:t>
      </w:r>
      <w:r w:rsidRPr="006A15F7">
        <w:rPr>
          <w:i/>
          <w:iCs/>
        </w:rPr>
        <w:t>Id.</w:t>
      </w:r>
    </w:p>
  </w:footnote>
  <w:footnote w:id="50">
    <w:p w14:paraId="27B58589" w14:textId="624758B3" w:rsidR="0044607F" w:rsidRDefault="0044607F">
      <w:pPr>
        <w:pStyle w:val="FootnoteText"/>
      </w:pPr>
      <w:r>
        <w:rPr>
          <w:rStyle w:val="FootnoteReference"/>
        </w:rPr>
        <w:footnoteRef/>
      </w:r>
      <w:r>
        <w:t xml:space="preserve"> </w:t>
      </w:r>
      <w:r w:rsidRPr="00765F47">
        <w:rPr>
          <w:i/>
        </w:rPr>
        <w:t>Id.</w:t>
      </w:r>
    </w:p>
  </w:footnote>
  <w:footnote w:id="51">
    <w:p w14:paraId="39665581" w14:textId="02952E0D" w:rsidR="0044607F" w:rsidRDefault="0044607F">
      <w:pPr>
        <w:pStyle w:val="FootnoteText"/>
      </w:pPr>
      <w:r>
        <w:rPr>
          <w:rStyle w:val="FootnoteReference"/>
        </w:rPr>
        <w:footnoteRef/>
      </w:r>
      <w:r>
        <w:t xml:space="preserve"> </w:t>
      </w:r>
      <w:r w:rsidRPr="006A15F7">
        <w:rPr>
          <w:i/>
          <w:iCs/>
        </w:rPr>
        <w:t>Id.</w:t>
      </w:r>
    </w:p>
  </w:footnote>
  <w:footnote w:id="52">
    <w:p w14:paraId="184FF2F7" w14:textId="45EA8FB6" w:rsidR="0044607F" w:rsidRDefault="0044607F">
      <w:pPr>
        <w:pStyle w:val="FootnoteText"/>
      </w:pPr>
      <w:r>
        <w:rPr>
          <w:rStyle w:val="FootnoteReference"/>
        </w:rPr>
        <w:footnoteRef/>
      </w:r>
      <w:r>
        <w:t xml:space="preserve"> </w:t>
      </w:r>
      <w:r w:rsidRPr="006A15F7">
        <w:rPr>
          <w:i/>
          <w:iCs/>
        </w:rPr>
        <w:t>Id.</w:t>
      </w:r>
    </w:p>
  </w:footnote>
  <w:footnote w:id="53">
    <w:p w14:paraId="0613A7B3" w14:textId="1BABCAAA" w:rsidR="0044607F" w:rsidRDefault="0044607F">
      <w:pPr>
        <w:pStyle w:val="FootnoteText"/>
      </w:pPr>
      <w:r>
        <w:rPr>
          <w:rStyle w:val="FootnoteReference"/>
        </w:rPr>
        <w:footnoteRef/>
      </w:r>
      <w:r>
        <w:t xml:space="preserve"> </w:t>
      </w:r>
      <w:r w:rsidRPr="00765F47">
        <w:rPr>
          <w:i/>
        </w:rPr>
        <w:t>Id.</w:t>
      </w:r>
    </w:p>
  </w:footnote>
  <w:footnote w:id="54">
    <w:p w14:paraId="6D694816" w14:textId="5298258A" w:rsidR="0044607F" w:rsidRDefault="0044607F">
      <w:pPr>
        <w:pStyle w:val="FootnoteText"/>
      </w:pPr>
      <w:r>
        <w:rPr>
          <w:rStyle w:val="FootnoteReference"/>
        </w:rPr>
        <w:footnoteRef/>
      </w:r>
      <w:r>
        <w:t xml:space="preserve"> </w:t>
      </w:r>
      <w:r w:rsidRPr="006A15F7">
        <w:rPr>
          <w:i/>
          <w:iCs/>
        </w:rPr>
        <w:t>Id.</w:t>
      </w:r>
    </w:p>
  </w:footnote>
  <w:footnote w:id="55">
    <w:p w14:paraId="21AA17D5" w14:textId="31E4F29B" w:rsidR="0044607F" w:rsidRDefault="0044607F">
      <w:pPr>
        <w:pStyle w:val="FootnoteText"/>
      </w:pPr>
      <w:r>
        <w:rPr>
          <w:rStyle w:val="FootnoteReference"/>
        </w:rPr>
        <w:footnoteRef/>
      </w:r>
      <w:r>
        <w:t xml:space="preserve"> </w:t>
      </w:r>
      <w:r w:rsidRPr="006A15F7">
        <w:rPr>
          <w:i/>
          <w:iCs/>
        </w:rPr>
        <w:t>Id.</w:t>
      </w:r>
    </w:p>
  </w:footnote>
  <w:footnote w:id="56">
    <w:p w14:paraId="782597CA" w14:textId="373BE51F" w:rsidR="0044607F" w:rsidRDefault="0044607F">
      <w:pPr>
        <w:pStyle w:val="FootnoteText"/>
      </w:pPr>
      <w:r>
        <w:rPr>
          <w:rStyle w:val="FootnoteReference"/>
        </w:rPr>
        <w:footnoteRef/>
      </w:r>
      <w:r>
        <w:t xml:space="preserve"> </w:t>
      </w:r>
      <w:r w:rsidRPr="006A15F7">
        <w:rPr>
          <w:i/>
          <w:iCs/>
        </w:rPr>
        <w:t>Id.</w:t>
      </w:r>
    </w:p>
  </w:footnote>
  <w:footnote w:id="57">
    <w:p w14:paraId="2C0F0191" w14:textId="18CB0477" w:rsidR="0044607F" w:rsidRDefault="0044607F">
      <w:pPr>
        <w:pStyle w:val="FootnoteText"/>
      </w:pPr>
      <w:r>
        <w:rPr>
          <w:rStyle w:val="FootnoteReference"/>
        </w:rPr>
        <w:footnoteRef/>
      </w:r>
      <w:r>
        <w:t xml:space="preserve"> </w:t>
      </w:r>
      <w:r w:rsidRPr="00765F47">
        <w:rPr>
          <w:i/>
        </w:rPr>
        <w:t>Id.</w:t>
      </w:r>
    </w:p>
  </w:footnote>
  <w:footnote w:id="58">
    <w:p w14:paraId="38FA93E3" w14:textId="24F89034" w:rsidR="0044607F" w:rsidRDefault="0044607F">
      <w:pPr>
        <w:pStyle w:val="FootnoteText"/>
      </w:pPr>
      <w:r>
        <w:rPr>
          <w:rStyle w:val="FootnoteReference"/>
        </w:rPr>
        <w:footnoteRef/>
      </w:r>
      <w:r>
        <w:t xml:space="preserve"> </w:t>
      </w:r>
      <w:r w:rsidRPr="006A15F7">
        <w:rPr>
          <w:i/>
          <w:iCs/>
        </w:rPr>
        <w:t>Id.</w:t>
      </w:r>
    </w:p>
  </w:footnote>
  <w:footnote w:id="59">
    <w:p w14:paraId="6664A17E" w14:textId="6EC0E0F2" w:rsidR="0044607F" w:rsidRDefault="0044607F">
      <w:pPr>
        <w:pStyle w:val="FootnoteText"/>
      </w:pPr>
      <w:r>
        <w:rPr>
          <w:rStyle w:val="FootnoteReference"/>
        </w:rPr>
        <w:footnoteRef/>
      </w:r>
      <w:r>
        <w:t xml:space="preserve"> </w:t>
      </w:r>
      <w:r w:rsidRPr="006A15F7">
        <w:rPr>
          <w:i/>
          <w:iCs/>
        </w:rPr>
        <w:t>Id.</w:t>
      </w:r>
    </w:p>
  </w:footnote>
  <w:footnote w:id="60">
    <w:p w14:paraId="3600E41C" w14:textId="78829DBF" w:rsidR="0044607F" w:rsidRDefault="0044607F">
      <w:pPr>
        <w:pStyle w:val="FootnoteText"/>
      </w:pPr>
      <w:r>
        <w:rPr>
          <w:rStyle w:val="FootnoteReference"/>
        </w:rPr>
        <w:footnoteRef/>
      </w:r>
      <w:r>
        <w:t xml:space="preserve"> </w:t>
      </w:r>
      <w:r w:rsidRPr="006A15F7">
        <w:rPr>
          <w:i/>
          <w:iCs/>
        </w:rPr>
        <w:t>Id.</w:t>
      </w:r>
    </w:p>
  </w:footnote>
  <w:footnote w:id="61">
    <w:p w14:paraId="4A608570" w14:textId="5AADDB95" w:rsidR="0044607F" w:rsidRDefault="0044607F">
      <w:pPr>
        <w:pStyle w:val="FootnoteText"/>
      </w:pPr>
      <w:r>
        <w:rPr>
          <w:rStyle w:val="FootnoteReference"/>
        </w:rPr>
        <w:footnoteRef/>
      </w:r>
      <w:r>
        <w:t xml:space="preserve"> </w:t>
      </w:r>
      <w:r w:rsidRPr="006A15F7">
        <w:rPr>
          <w:i/>
          <w:iCs/>
        </w:rPr>
        <w:t>Id.</w:t>
      </w:r>
    </w:p>
  </w:footnote>
  <w:footnote w:id="62">
    <w:p w14:paraId="4CBD7AF9" w14:textId="6DF21D4F" w:rsidR="0044607F" w:rsidRDefault="0044607F">
      <w:pPr>
        <w:pStyle w:val="FootnoteText"/>
      </w:pPr>
      <w:r>
        <w:rPr>
          <w:rStyle w:val="FootnoteReference"/>
        </w:rPr>
        <w:footnoteRef/>
      </w:r>
      <w:r>
        <w:t xml:space="preserve"> </w:t>
      </w:r>
      <w:r w:rsidRPr="006A15F7">
        <w:rPr>
          <w:i/>
          <w:iCs/>
        </w:rPr>
        <w:t>Id.</w:t>
      </w:r>
    </w:p>
  </w:footnote>
  <w:footnote w:id="63">
    <w:p w14:paraId="7F9A6D3C" w14:textId="7FE3714A" w:rsidR="0044607F" w:rsidRDefault="0044607F" w:rsidP="004B2A19">
      <w:pPr>
        <w:pStyle w:val="FootnoteText"/>
      </w:pPr>
      <w:r>
        <w:rPr>
          <w:rStyle w:val="FootnoteReference"/>
        </w:rPr>
        <w:footnoteRef/>
      </w:r>
      <w:r>
        <w:t xml:space="preserve"> TF Report,</w:t>
      </w:r>
      <w:r w:rsidRPr="00C96ED1" w:rsidDel="00F679E6">
        <w:t xml:space="preserve"> </w:t>
      </w:r>
      <w:r w:rsidRPr="009A2A0A">
        <w:rPr>
          <w:i/>
          <w:iCs/>
        </w:rPr>
        <w:t>available at</w:t>
      </w:r>
      <w:r>
        <w:t xml:space="preserve"> </w:t>
      </w:r>
      <w:hyperlink r:id="rId18" w:history="1">
        <w:r w:rsidRPr="00B422C4">
          <w:rPr>
            <w:rStyle w:val="Hyperlink"/>
          </w:rPr>
          <w:t>https://www.nyc.gov/site/boc/jail-regulations/task-force-on-issues-faced-by-tgncbi.page</w:t>
        </w:r>
      </w:hyperlink>
    </w:p>
  </w:footnote>
  <w:footnote w:id="64">
    <w:p w14:paraId="15D6FFB4" w14:textId="2A137D22" w:rsidR="0044607F" w:rsidRDefault="0044607F" w:rsidP="002D3F4C">
      <w:pPr>
        <w:pStyle w:val="FootnoteText"/>
      </w:pPr>
      <w:r>
        <w:rPr>
          <w:rStyle w:val="FootnoteReference"/>
        </w:rPr>
        <w:footnoteRef/>
      </w:r>
      <w:r>
        <w:t xml:space="preserve"> </w:t>
      </w:r>
      <w:r w:rsidRPr="00223591">
        <w:rPr>
          <w:sz w:val="19"/>
          <w:szCs w:val="19"/>
        </w:rPr>
        <w:t>NYC Department of Correction</w:t>
      </w:r>
      <w:r>
        <w:rPr>
          <w:sz w:val="19"/>
          <w:szCs w:val="19"/>
        </w:rPr>
        <w:t xml:space="preserve">, </w:t>
      </w:r>
      <w:r w:rsidRPr="00223591">
        <w:rPr>
          <w:sz w:val="19"/>
          <w:szCs w:val="19"/>
        </w:rPr>
        <w:t>Response to TGNCNBI Task Force Report</w:t>
      </w:r>
      <w:r>
        <w:rPr>
          <w:sz w:val="19"/>
          <w:szCs w:val="19"/>
        </w:rPr>
        <w:t xml:space="preserve"> (</w:t>
      </w:r>
      <w:r w:rsidRPr="00223591">
        <w:rPr>
          <w:sz w:val="19"/>
          <w:szCs w:val="19"/>
        </w:rPr>
        <w:t>No</w:t>
      </w:r>
      <w:r>
        <w:rPr>
          <w:sz w:val="19"/>
          <w:szCs w:val="19"/>
        </w:rPr>
        <w:t>v.</w:t>
      </w:r>
      <w:r w:rsidRPr="00223591">
        <w:rPr>
          <w:sz w:val="19"/>
          <w:szCs w:val="19"/>
        </w:rPr>
        <w:t xml:space="preserve"> 14, 2022</w:t>
      </w:r>
      <w:r>
        <w:rPr>
          <w:sz w:val="19"/>
          <w:szCs w:val="19"/>
        </w:rPr>
        <w:t xml:space="preserve">), </w:t>
      </w:r>
      <w:r w:rsidRPr="009A2A0A">
        <w:rPr>
          <w:i/>
          <w:iCs/>
          <w:sz w:val="19"/>
          <w:szCs w:val="19"/>
        </w:rPr>
        <w:t>available at</w:t>
      </w:r>
      <w:r>
        <w:rPr>
          <w:sz w:val="19"/>
          <w:szCs w:val="19"/>
        </w:rPr>
        <w:t xml:space="preserve"> </w:t>
      </w:r>
      <w:hyperlink r:id="rId19" w:history="1">
        <w:r w:rsidRPr="00B422C4">
          <w:rPr>
            <w:rStyle w:val="Hyperlink"/>
            <w:sz w:val="19"/>
            <w:szCs w:val="19"/>
          </w:rPr>
          <w:t>https://www.nyc.gov/site/boc/jail-regulations/task-force-on-issues-faced-by-tgncbi.page</w:t>
        </w:r>
      </w:hyperlink>
      <w:r>
        <w:rPr>
          <w:sz w:val="19"/>
          <w:szCs w:val="19"/>
        </w:rPr>
        <w:t xml:space="preserve">; </w:t>
      </w:r>
      <w:r>
        <w:t xml:space="preserve">New York City Council, Local Law 45 of 2019, </w:t>
      </w:r>
      <w:hyperlink r:id="rId20" w:history="1">
        <w:r w:rsidRPr="00B422C4">
          <w:rPr>
            <w:rStyle w:val="Hyperlink"/>
          </w:rPr>
          <w:t>https://legistar.council.nyc.gov/LegislationDetail.aspx?ID=3923931&amp;GUID=94F7EE69-D9E4-45D2-8A98-A67C055EAE20&amp;Options=ID|Text|&amp;Search=145</w:t>
        </w:r>
      </w:hyperlink>
      <w:r>
        <w:t>.</w:t>
      </w:r>
    </w:p>
  </w:footnote>
  <w:footnote w:id="65">
    <w:p w14:paraId="48BDBE5C" w14:textId="1A2536D3" w:rsidR="0044607F" w:rsidRDefault="0044607F">
      <w:pPr>
        <w:pStyle w:val="FootnoteText"/>
      </w:pPr>
      <w:r>
        <w:rPr>
          <w:rStyle w:val="FootnoteReference"/>
        </w:rPr>
        <w:footnoteRef/>
      </w:r>
      <w:r>
        <w:t xml:space="preserve"> </w:t>
      </w:r>
      <w:r w:rsidRPr="00CA56E4">
        <w:rPr>
          <w:i/>
          <w:iCs/>
        </w:rPr>
        <w:t>Id.</w:t>
      </w:r>
    </w:p>
  </w:footnote>
  <w:footnote w:id="66">
    <w:p w14:paraId="1B140504" w14:textId="7D9BD53F" w:rsidR="0044607F" w:rsidRDefault="0044607F">
      <w:pPr>
        <w:pStyle w:val="FootnoteText"/>
      </w:pPr>
      <w:r>
        <w:rPr>
          <w:rStyle w:val="FootnoteReference"/>
        </w:rPr>
        <w:footnoteRef/>
      </w:r>
      <w:r>
        <w:t xml:space="preserve"> </w:t>
      </w:r>
      <w:r w:rsidRPr="006A15F7">
        <w:rPr>
          <w:i/>
          <w:iCs/>
        </w:rPr>
        <w:t>Id.</w:t>
      </w:r>
    </w:p>
  </w:footnote>
  <w:footnote w:id="67">
    <w:p w14:paraId="06B2C628" w14:textId="5F8BB7E4" w:rsidR="0044607F" w:rsidRDefault="0044607F">
      <w:pPr>
        <w:pStyle w:val="FootnoteText"/>
      </w:pPr>
      <w:r>
        <w:rPr>
          <w:rStyle w:val="FootnoteReference"/>
        </w:rPr>
        <w:footnoteRef/>
      </w:r>
      <w:r>
        <w:t xml:space="preserve"> </w:t>
      </w:r>
      <w:r w:rsidRPr="006A15F7">
        <w:rPr>
          <w:i/>
          <w:iCs/>
        </w:rPr>
        <w:t>Id.</w:t>
      </w:r>
    </w:p>
  </w:footnote>
  <w:footnote w:id="68">
    <w:p w14:paraId="7CBC7D6B" w14:textId="7CD49987" w:rsidR="0044607F" w:rsidRDefault="0044607F">
      <w:pPr>
        <w:pStyle w:val="FootnoteText"/>
      </w:pPr>
      <w:r>
        <w:rPr>
          <w:rStyle w:val="FootnoteReference"/>
        </w:rPr>
        <w:footnoteRef/>
      </w:r>
      <w:r>
        <w:t xml:space="preserve"> </w:t>
      </w:r>
      <w:r w:rsidRPr="006A15F7">
        <w:rPr>
          <w:i/>
          <w:iCs/>
        </w:rPr>
        <w:t>Id.</w:t>
      </w:r>
    </w:p>
  </w:footnote>
  <w:footnote w:id="69">
    <w:p w14:paraId="02E7EDD2" w14:textId="733BBA17" w:rsidR="0044607F" w:rsidRDefault="0044607F">
      <w:pPr>
        <w:pStyle w:val="FootnoteText"/>
      </w:pPr>
      <w:r>
        <w:rPr>
          <w:rStyle w:val="FootnoteReference"/>
        </w:rPr>
        <w:footnoteRef/>
      </w:r>
      <w:r>
        <w:t xml:space="preserve"> </w:t>
      </w:r>
      <w:r w:rsidRPr="006A15F7">
        <w:rPr>
          <w:i/>
          <w:iCs/>
        </w:rPr>
        <w:t>Id.</w:t>
      </w:r>
    </w:p>
  </w:footnote>
  <w:footnote w:id="70">
    <w:p w14:paraId="34CC27EF" w14:textId="2D2F87A6" w:rsidR="0044607F" w:rsidRDefault="0044607F">
      <w:pPr>
        <w:pStyle w:val="FootnoteText"/>
      </w:pPr>
      <w:r>
        <w:rPr>
          <w:rStyle w:val="FootnoteReference"/>
        </w:rPr>
        <w:footnoteRef/>
      </w:r>
      <w:r>
        <w:t xml:space="preserve"> </w:t>
      </w:r>
      <w:r w:rsidRPr="00705334">
        <w:t>NYC Bo</w:t>
      </w:r>
      <w:r>
        <w:t>ard of Correction, An Assessment of the Transgender Housing Unit (Feb. 2018</w:t>
      </w:r>
      <w:r w:rsidRPr="00705334">
        <w:t xml:space="preserve">), available at </w:t>
      </w:r>
      <w:r>
        <w:t xml:space="preserve">Available at </w:t>
      </w:r>
      <w:r w:rsidRPr="00705334">
        <w:t>https://www1.nyc.gov/assets/boc/downloads/pdf/Reports/BOC-Reports/THU%20FINAL%20Feb%202018.pdf</w:t>
      </w:r>
    </w:p>
  </w:footnote>
  <w:footnote w:id="71">
    <w:p w14:paraId="028C2E2B" w14:textId="5BF3A6BF" w:rsidR="0044607F" w:rsidRDefault="0044607F">
      <w:pPr>
        <w:pStyle w:val="FootnoteText"/>
      </w:pPr>
      <w:r>
        <w:rPr>
          <w:rStyle w:val="FootnoteReference"/>
        </w:rPr>
        <w:footnoteRef/>
      </w:r>
      <w:r>
        <w:t xml:space="preserve"> </w:t>
      </w:r>
      <w:r w:rsidRPr="00E84D6A">
        <w:rPr>
          <w:i/>
        </w:rPr>
        <w:t>Supra Note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BF6"/>
    <w:multiLevelType w:val="multilevel"/>
    <w:tmpl w:val="E1088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D7BBD"/>
    <w:multiLevelType w:val="hybridMultilevel"/>
    <w:tmpl w:val="C248F388"/>
    <w:lvl w:ilvl="0" w:tplc="AB289F4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9F48DC"/>
    <w:multiLevelType w:val="hybridMultilevel"/>
    <w:tmpl w:val="D468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0335F"/>
    <w:multiLevelType w:val="hybridMultilevel"/>
    <w:tmpl w:val="CCB85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22B3"/>
    <w:multiLevelType w:val="hybridMultilevel"/>
    <w:tmpl w:val="AE3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6"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223B6ECE"/>
    <w:multiLevelType w:val="hybridMultilevel"/>
    <w:tmpl w:val="47EC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31D7C"/>
    <w:multiLevelType w:val="hybridMultilevel"/>
    <w:tmpl w:val="FAC4DEE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D488A"/>
    <w:multiLevelType w:val="hybridMultilevel"/>
    <w:tmpl w:val="7EF86018"/>
    <w:lvl w:ilvl="0" w:tplc="17BE58DA">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3098D"/>
    <w:multiLevelType w:val="hybridMultilevel"/>
    <w:tmpl w:val="B46AC346"/>
    <w:lvl w:ilvl="0" w:tplc="FFFFFFFF">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36E7D"/>
    <w:multiLevelType w:val="hybridMultilevel"/>
    <w:tmpl w:val="E1E4ADE2"/>
    <w:lvl w:ilvl="0" w:tplc="F2008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602D97"/>
    <w:multiLevelType w:val="hybridMultilevel"/>
    <w:tmpl w:val="B3A0AA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DE63DA"/>
    <w:multiLevelType w:val="multilevel"/>
    <w:tmpl w:val="B6E887B0"/>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63DDC"/>
    <w:multiLevelType w:val="hybridMultilevel"/>
    <w:tmpl w:val="9B78C016"/>
    <w:lvl w:ilvl="0" w:tplc="AF8C3AD6">
      <w:start w:val="1"/>
      <w:numFmt w:val="upperRoman"/>
      <w:lvlText w:val="%1."/>
      <w:lvlJc w:val="left"/>
      <w:pPr>
        <w:ind w:left="720" w:hanging="72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75B60"/>
    <w:multiLevelType w:val="hybridMultilevel"/>
    <w:tmpl w:val="0DB0651E"/>
    <w:lvl w:ilvl="0" w:tplc="1FC2E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9276B8"/>
    <w:multiLevelType w:val="hybridMultilevel"/>
    <w:tmpl w:val="2396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7977"/>
    <w:multiLevelType w:val="hybridMultilevel"/>
    <w:tmpl w:val="EF9A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4143F"/>
    <w:multiLevelType w:val="hybridMultilevel"/>
    <w:tmpl w:val="0C94F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50E23"/>
    <w:multiLevelType w:val="hybridMultilevel"/>
    <w:tmpl w:val="0F0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D6D0A"/>
    <w:multiLevelType w:val="hybridMultilevel"/>
    <w:tmpl w:val="E7FEB41A"/>
    <w:lvl w:ilvl="0" w:tplc="C4EE5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F2F00"/>
    <w:multiLevelType w:val="hybridMultilevel"/>
    <w:tmpl w:val="F1F85B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481CA6"/>
    <w:multiLevelType w:val="hybridMultilevel"/>
    <w:tmpl w:val="518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73D65"/>
    <w:multiLevelType w:val="hybridMultilevel"/>
    <w:tmpl w:val="7EF86018"/>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F81E6C"/>
    <w:multiLevelType w:val="hybridMultilevel"/>
    <w:tmpl w:val="B9D47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9"/>
  </w:num>
  <w:num w:numId="9">
    <w:abstractNumId w:val="17"/>
  </w:num>
  <w:num w:numId="10">
    <w:abstractNumId w:val="27"/>
  </w:num>
  <w:num w:numId="11">
    <w:abstractNumId w:val="11"/>
  </w:num>
  <w:num w:numId="12">
    <w:abstractNumId w:val="19"/>
  </w:num>
  <w:num w:numId="13">
    <w:abstractNumId w:val="18"/>
  </w:num>
  <w:num w:numId="14">
    <w:abstractNumId w:val="33"/>
  </w:num>
  <w:num w:numId="15">
    <w:abstractNumId w:val="1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25"/>
  </w:num>
  <w:num w:numId="28">
    <w:abstractNumId w:val="12"/>
  </w:num>
  <w:num w:numId="29">
    <w:abstractNumId w:val="3"/>
  </w:num>
  <w:num w:numId="30">
    <w:abstractNumId w:val="31"/>
  </w:num>
  <w:num w:numId="31">
    <w:abstractNumId w:val="22"/>
  </w:num>
  <w:num w:numId="32">
    <w:abstractNumId w:val="7"/>
  </w:num>
  <w:num w:numId="33">
    <w:abstractNumId w:val="4"/>
  </w:num>
  <w:num w:numId="34">
    <w:abstractNumId w:val="32"/>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NDEyMrEwMTSwNDRS0lEKTi0uzszPAymwrAUAxWZvLiwAAAA="/>
  </w:docVars>
  <w:rsids>
    <w:rsidRoot w:val="00922261"/>
    <w:rsid w:val="000010F7"/>
    <w:rsid w:val="00003A32"/>
    <w:rsid w:val="000054F1"/>
    <w:rsid w:val="000115E5"/>
    <w:rsid w:val="0001268D"/>
    <w:rsid w:val="00012B94"/>
    <w:rsid w:val="0001325F"/>
    <w:rsid w:val="0001395F"/>
    <w:rsid w:val="00013F69"/>
    <w:rsid w:val="00015E01"/>
    <w:rsid w:val="000174D0"/>
    <w:rsid w:val="00017932"/>
    <w:rsid w:val="00017D22"/>
    <w:rsid w:val="00017EF6"/>
    <w:rsid w:val="0002378F"/>
    <w:rsid w:val="000239DC"/>
    <w:rsid w:val="00024ECA"/>
    <w:rsid w:val="0002534A"/>
    <w:rsid w:val="00027045"/>
    <w:rsid w:val="0003180B"/>
    <w:rsid w:val="00032561"/>
    <w:rsid w:val="00034416"/>
    <w:rsid w:val="000360A5"/>
    <w:rsid w:val="00040E62"/>
    <w:rsid w:val="00046434"/>
    <w:rsid w:val="00046454"/>
    <w:rsid w:val="000467E5"/>
    <w:rsid w:val="00050072"/>
    <w:rsid w:val="000511DE"/>
    <w:rsid w:val="0005246A"/>
    <w:rsid w:val="00052D79"/>
    <w:rsid w:val="0005435D"/>
    <w:rsid w:val="000578D5"/>
    <w:rsid w:val="000612D5"/>
    <w:rsid w:val="00063640"/>
    <w:rsid w:val="000653C7"/>
    <w:rsid w:val="00075F92"/>
    <w:rsid w:val="000811EB"/>
    <w:rsid w:val="000825D2"/>
    <w:rsid w:val="0008702E"/>
    <w:rsid w:val="00087D85"/>
    <w:rsid w:val="000931E5"/>
    <w:rsid w:val="00095A54"/>
    <w:rsid w:val="00095C55"/>
    <w:rsid w:val="00097B32"/>
    <w:rsid w:val="000A05EA"/>
    <w:rsid w:val="000A25F6"/>
    <w:rsid w:val="000A2FA3"/>
    <w:rsid w:val="000A3232"/>
    <w:rsid w:val="000A3B6B"/>
    <w:rsid w:val="000A3DD4"/>
    <w:rsid w:val="000A58DF"/>
    <w:rsid w:val="000B0546"/>
    <w:rsid w:val="000B0656"/>
    <w:rsid w:val="000B3314"/>
    <w:rsid w:val="000B3534"/>
    <w:rsid w:val="000B623D"/>
    <w:rsid w:val="000C3CD7"/>
    <w:rsid w:val="000C50F7"/>
    <w:rsid w:val="000C5D1E"/>
    <w:rsid w:val="000C79B1"/>
    <w:rsid w:val="000D1473"/>
    <w:rsid w:val="000D4AEE"/>
    <w:rsid w:val="000D4EF9"/>
    <w:rsid w:val="000D62A7"/>
    <w:rsid w:val="000D62C5"/>
    <w:rsid w:val="000E0827"/>
    <w:rsid w:val="000E3394"/>
    <w:rsid w:val="000E38F9"/>
    <w:rsid w:val="000E4CAF"/>
    <w:rsid w:val="000E51A8"/>
    <w:rsid w:val="000E6B01"/>
    <w:rsid w:val="000F1D70"/>
    <w:rsid w:val="000F397C"/>
    <w:rsid w:val="000F4278"/>
    <w:rsid w:val="000F4553"/>
    <w:rsid w:val="000F6FF7"/>
    <w:rsid w:val="00101081"/>
    <w:rsid w:val="00102A19"/>
    <w:rsid w:val="00103562"/>
    <w:rsid w:val="00103A4F"/>
    <w:rsid w:val="00104548"/>
    <w:rsid w:val="00105086"/>
    <w:rsid w:val="00106974"/>
    <w:rsid w:val="00107ECC"/>
    <w:rsid w:val="0011242E"/>
    <w:rsid w:val="00112F4A"/>
    <w:rsid w:val="00114B6F"/>
    <w:rsid w:val="001151E9"/>
    <w:rsid w:val="00121A27"/>
    <w:rsid w:val="00125471"/>
    <w:rsid w:val="00126B66"/>
    <w:rsid w:val="00127824"/>
    <w:rsid w:val="001335F9"/>
    <w:rsid w:val="00136951"/>
    <w:rsid w:val="001416C7"/>
    <w:rsid w:val="00141E1F"/>
    <w:rsid w:val="00142019"/>
    <w:rsid w:val="001422EF"/>
    <w:rsid w:val="00144495"/>
    <w:rsid w:val="00144C0F"/>
    <w:rsid w:val="00151C50"/>
    <w:rsid w:val="00154B47"/>
    <w:rsid w:val="00154F62"/>
    <w:rsid w:val="0015530A"/>
    <w:rsid w:val="001576D1"/>
    <w:rsid w:val="00161A11"/>
    <w:rsid w:val="001625F3"/>
    <w:rsid w:val="00166658"/>
    <w:rsid w:val="00167099"/>
    <w:rsid w:val="00167C78"/>
    <w:rsid w:val="00167EC3"/>
    <w:rsid w:val="001717F7"/>
    <w:rsid w:val="001734F1"/>
    <w:rsid w:val="0017392D"/>
    <w:rsid w:val="00177C2A"/>
    <w:rsid w:val="0018068D"/>
    <w:rsid w:val="00180A14"/>
    <w:rsid w:val="00185282"/>
    <w:rsid w:val="0018581E"/>
    <w:rsid w:val="001870A5"/>
    <w:rsid w:val="00190922"/>
    <w:rsid w:val="0019160A"/>
    <w:rsid w:val="0019574A"/>
    <w:rsid w:val="00195E21"/>
    <w:rsid w:val="00197005"/>
    <w:rsid w:val="001977AA"/>
    <w:rsid w:val="00197A3F"/>
    <w:rsid w:val="001A04C4"/>
    <w:rsid w:val="001A19CC"/>
    <w:rsid w:val="001B1AB4"/>
    <w:rsid w:val="001C022D"/>
    <w:rsid w:val="001C32FF"/>
    <w:rsid w:val="001C3C96"/>
    <w:rsid w:val="001C4BBA"/>
    <w:rsid w:val="001C5594"/>
    <w:rsid w:val="001D3170"/>
    <w:rsid w:val="001D41F7"/>
    <w:rsid w:val="001D4ACA"/>
    <w:rsid w:val="001E221A"/>
    <w:rsid w:val="001F3C2A"/>
    <w:rsid w:val="001F4547"/>
    <w:rsid w:val="001F5F21"/>
    <w:rsid w:val="001F63CF"/>
    <w:rsid w:val="001F7E08"/>
    <w:rsid w:val="002039E1"/>
    <w:rsid w:val="002052FC"/>
    <w:rsid w:val="0021239F"/>
    <w:rsid w:val="0021321F"/>
    <w:rsid w:val="002144EA"/>
    <w:rsid w:val="0022294B"/>
    <w:rsid w:val="002231B8"/>
    <w:rsid w:val="00223591"/>
    <w:rsid w:val="00223E45"/>
    <w:rsid w:val="00225A4F"/>
    <w:rsid w:val="00226026"/>
    <w:rsid w:val="00230CA2"/>
    <w:rsid w:val="00234AB2"/>
    <w:rsid w:val="00235AAE"/>
    <w:rsid w:val="00244A14"/>
    <w:rsid w:val="002475AF"/>
    <w:rsid w:val="0025472E"/>
    <w:rsid w:val="00255889"/>
    <w:rsid w:val="00256F31"/>
    <w:rsid w:val="00261A89"/>
    <w:rsid w:val="00262C47"/>
    <w:rsid w:val="00265E28"/>
    <w:rsid w:val="00265E40"/>
    <w:rsid w:val="00266300"/>
    <w:rsid w:val="00266B99"/>
    <w:rsid w:val="00270331"/>
    <w:rsid w:val="00273A8E"/>
    <w:rsid w:val="00274DEB"/>
    <w:rsid w:val="002753D0"/>
    <w:rsid w:val="00280113"/>
    <w:rsid w:val="00282227"/>
    <w:rsid w:val="00282251"/>
    <w:rsid w:val="00283A70"/>
    <w:rsid w:val="0028669E"/>
    <w:rsid w:val="002878DD"/>
    <w:rsid w:val="0029570C"/>
    <w:rsid w:val="002961FC"/>
    <w:rsid w:val="00296E9A"/>
    <w:rsid w:val="002A0AA3"/>
    <w:rsid w:val="002A2964"/>
    <w:rsid w:val="002A387E"/>
    <w:rsid w:val="002A41C1"/>
    <w:rsid w:val="002A4996"/>
    <w:rsid w:val="002A5F92"/>
    <w:rsid w:val="002B15E1"/>
    <w:rsid w:val="002B5C32"/>
    <w:rsid w:val="002B6C91"/>
    <w:rsid w:val="002C3AF7"/>
    <w:rsid w:val="002C59E1"/>
    <w:rsid w:val="002C7DCA"/>
    <w:rsid w:val="002D044E"/>
    <w:rsid w:val="002D11A8"/>
    <w:rsid w:val="002D3F4C"/>
    <w:rsid w:val="002D76D0"/>
    <w:rsid w:val="002E06C3"/>
    <w:rsid w:val="002E25AB"/>
    <w:rsid w:val="002E3967"/>
    <w:rsid w:val="002E4CE4"/>
    <w:rsid w:val="002E68D9"/>
    <w:rsid w:val="002E74C9"/>
    <w:rsid w:val="002F55D1"/>
    <w:rsid w:val="002F6624"/>
    <w:rsid w:val="002F6FA9"/>
    <w:rsid w:val="00300F8E"/>
    <w:rsid w:val="00302A60"/>
    <w:rsid w:val="003043E7"/>
    <w:rsid w:val="00310768"/>
    <w:rsid w:val="003113DE"/>
    <w:rsid w:val="003146DE"/>
    <w:rsid w:val="003147C6"/>
    <w:rsid w:val="003153C7"/>
    <w:rsid w:val="00317C19"/>
    <w:rsid w:val="00322262"/>
    <w:rsid w:val="003226B1"/>
    <w:rsid w:val="00325277"/>
    <w:rsid w:val="0033035D"/>
    <w:rsid w:val="00330A53"/>
    <w:rsid w:val="00331839"/>
    <w:rsid w:val="0033536A"/>
    <w:rsid w:val="00337EDD"/>
    <w:rsid w:val="00340BE2"/>
    <w:rsid w:val="00341ADE"/>
    <w:rsid w:val="003476CC"/>
    <w:rsid w:val="003477D5"/>
    <w:rsid w:val="00350EBD"/>
    <w:rsid w:val="00354BE7"/>
    <w:rsid w:val="00356CFD"/>
    <w:rsid w:val="00361D6D"/>
    <w:rsid w:val="003621CF"/>
    <w:rsid w:val="00362C5B"/>
    <w:rsid w:val="0036588C"/>
    <w:rsid w:val="0036665C"/>
    <w:rsid w:val="003668B3"/>
    <w:rsid w:val="00373DF6"/>
    <w:rsid w:val="00373E48"/>
    <w:rsid w:val="003753F4"/>
    <w:rsid w:val="00385944"/>
    <w:rsid w:val="0038723C"/>
    <w:rsid w:val="00393132"/>
    <w:rsid w:val="003958E2"/>
    <w:rsid w:val="003964E1"/>
    <w:rsid w:val="003967CB"/>
    <w:rsid w:val="00396C04"/>
    <w:rsid w:val="003A293F"/>
    <w:rsid w:val="003A3501"/>
    <w:rsid w:val="003A5319"/>
    <w:rsid w:val="003A98B5"/>
    <w:rsid w:val="003B19A0"/>
    <w:rsid w:val="003B1E1B"/>
    <w:rsid w:val="003B2AEC"/>
    <w:rsid w:val="003B327F"/>
    <w:rsid w:val="003B58E9"/>
    <w:rsid w:val="003C1ADB"/>
    <w:rsid w:val="003C3444"/>
    <w:rsid w:val="003C5C25"/>
    <w:rsid w:val="003E2658"/>
    <w:rsid w:val="003E5059"/>
    <w:rsid w:val="003F249C"/>
    <w:rsid w:val="003F45C6"/>
    <w:rsid w:val="003F4662"/>
    <w:rsid w:val="004023DF"/>
    <w:rsid w:val="004064B0"/>
    <w:rsid w:val="004071D1"/>
    <w:rsid w:val="00410131"/>
    <w:rsid w:val="004101F2"/>
    <w:rsid w:val="0041648E"/>
    <w:rsid w:val="004243B5"/>
    <w:rsid w:val="00426BCB"/>
    <w:rsid w:val="00430991"/>
    <w:rsid w:val="0043117F"/>
    <w:rsid w:val="00431B5B"/>
    <w:rsid w:val="00435B53"/>
    <w:rsid w:val="004379BA"/>
    <w:rsid w:val="00440702"/>
    <w:rsid w:val="00444CB3"/>
    <w:rsid w:val="00445121"/>
    <w:rsid w:val="00445C50"/>
    <w:rsid w:val="0044607F"/>
    <w:rsid w:val="00446A70"/>
    <w:rsid w:val="00450035"/>
    <w:rsid w:val="0045305D"/>
    <w:rsid w:val="00456364"/>
    <w:rsid w:val="00460047"/>
    <w:rsid w:val="00460AF7"/>
    <w:rsid w:val="00462EF2"/>
    <w:rsid w:val="004635A1"/>
    <w:rsid w:val="00465852"/>
    <w:rsid w:val="00465FB7"/>
    <w:rsid w:val="00466985"/>
    <w:rsid w:val="00466E07"/>
    <w:rsid w:val="00466FB7"/>
    <w:rsid w:val="004730AC"/>
    <w:rsid w:val="00475307"/>
    <w:rsid w:val="00476648"/>
    <w:rsid w:val="00477627"/>
    <w:rsid w:val="00477DDE"/>
    <w:rsid w:val="004804E5"/>
    <w:rsid w:val="004837FB"/>
    <w:rsid w:val="00485E08"/>
    <w:rsid w:val="004873C5"/>
    <w:rsid w:val="004908CC"/>
    <w:rsid w:val="00492E8F"/>
    <w:rsid w:val="0049324E"/>
    <w:rsid w:val="0049386A"/>
    <w:rsid w:val="004956F9"/>
    <w:rsid w:val="004A23B1"/>
    <w:rsid w:val="004A2C11"/>
    <w:rsid w:val="004A46D2"/>
    <w:rsid w:val="004A5375"/>
    <w:rsid w:val="004B2638"/>
    <w:rsid w:val="004B2A19"/>
    <w:rsid w:val="004B4461"/>
    <w:rsid w:val="004C100D"/>
    <w:rsid w:val="004C35EE"/>
    <w:rsid w:val="004C3E4F"/>
    <w:rsid w:val="004C6A3B"/>
    <w:rsid w:val="004C6AB2"/>
    <w:rsid w:val="004D5DF9"/>
    <w:rsid w:val="004E0609"/>
    <w:rsid w:val="004E1D83"/>
    <w:rsid w:val="004E2099"/>
    <w:rsid w:val="004E5E41"/>
    <w:rsid w:val="004F0268"/>
    <w:rsid w:val="004F3F51"/>
    <w:rsid w:val="004F551E"/>
    <w:rsid w:val="004F6BAF"/>
    <w:rsid w:val="004F6F72"/>
    <w:rsid w:val="004F7995"/>
    <w:rsid w:val="00500CB8"/>
    <w:rsid w:val="0050159E"/>
    <w:rsid w:val="0050345C"/>
    <w:rsid w:val="0050619B"/>
    <w:rsid w:val="00507146"/>
    <w:rsid w:val="005138AC"/>
    <w:rsid w:val="00514AAB"/>
    <w:rsid w:val="00517A49"/>
    <w:rsid w:val="00521315"/>
    <w:rsid w:val="00522A1B"/>
    <w:rsid w:val="005235DC"/>
    <w:rsid w:val="005247B6"/>
    <w:rsid w:val="0052577B"/>
    <w:rsid w:val="005272ED"/>
    <w:rsid w:val="00530FF2"/>
    <w:rsid w:val="00533744"/>
    <w:rsid w:val="00537E0E"/>
    <w:rsid w:val="00540654"/>
    <w:rsid w:val="00542473"/>
    <w:rsid w:val="0055003C"/>
    <w:rsid w:val="005510CC"/>
    <w:rsid w:val="00553DA8"/>
    <w:rsid w:val="00555B8B"/>
    <w:rsid w:val="00556388"/>
    <w:rsid w:val="005611EA"/>
    <w:rsid w:val="00561ED7"/>
    <w:rsid w:val="005622C4"/>
    <w:rsid w:val="00564DF1"/>
    <w:rsid w:val="005654DA"/>
    <w:rsid w:val="005664F4"/>
    <w:rsid w:val="00567D05"/>
    <w:rsid w:val="00570746"/>
    <w:rsid w:val="00573F26"/>
    <w:rsid w:val="0057420F"/>
    <w:rsid w:val="00575B60"/>
    <w:rsid w:val="00582769"/>
    <w:rsid w:val="00583168"/>
    <w:rsid w:val="00586061"/>
    <w:rsid w:val="005909BB"/>
    <w:rsid w:val="00591A2F"/>
    <w:rsid w:val="005949C1"/>
    <w:rsid w:val="00595919"/>
    <w:rsid w:val="005A1211"/>
    <w:rsid w:val="005A41D2"/>
    <w:rsid w:val="005A6B35"/>
    <w:rsid w:val="005A719E"/>
    <w:rsid w:val="005B5331"/>
    <w:rsid w:val="005B590B"/>
    <w:rsid w:val="005C1C5E"/>
    <w:rsid w:val="005C2A47"/>
    <w:rsid w:val="005C5164"/>
    <w:rsid w:val="005C7AC2"/>
    <w:rsid w:val="005D1C3C"/>
    <w:rsid w:val="005D33E8"/>
    <w:rsid w:val="005D34F3"/>
    <w:rsid w:val="005D4B1B"/>
    <w:rsid w:val="005E0920"/>
    <w:rsid w:val="005E142F"/>
    <w:rsid w:val="005E1D75"/>
    <w:rsid w:val="005E5071"/>
    <w:rsid w:val="005E7E50"/>
    <w:rsid w:val="005F19E3"/>
    <w:rsid w:val="005F38DA"/>
    <w:rsid w:val="005F7A00"/>
    <w:rsid w:val="0060216F"/>
    <w:rsid w:val="00602E5B"/>
    <w:rsid w:val="006112E4"/>
    <w:rsid w:val="00611EC9"/>
    <w:rsid w:val="006122C6"/>
    <w:rsid w:val="00612E52"/>
    <w:rsid w:val="006140CE"/>
    <w:rsid w:val="0062243B"/>
    <w:rsid w:val="006226DF"/>
    <w:rsid w:val="00623ECE"/>
    <w:rsid w:val="0062479E"/>
    <w:rsid w:val="00625871"/>
    <w:rsid w:val="00625EA1"/>
    <w:rsid w:val="00627424"/>
    <w:rsid w:val="006311CC"/>
    <w:rsid w:val="00632F27"/>
    <w:rsid w:val="00633DFA"/>
    <w:rsid w:val="00634277"/>
    <w:rsid w:val="00634E7B"/>
    <w:rsid w:val="0063676F"/>
    <w:rsid w:val="0064102E"/>
    <w:rsid w:val="00642161"/>
    <w:rsid w:val="0064544D"/>
    <w:rsid w:val="006457D4"/>
    <w:rsid w:val="00647859"/>
    <w:rsid w:val="0065153D"/>
    <w:rsid w:val="00657590"/>
    <w:rsid w:val="00660B92"/>
    <w:rsid w:val="00664933"/>
    <w:rsid w:val="006713BF"/>
    <w:rsid w:val="00674F8E"/>
    <w:rsid w:val="006750FA"/>
    <w:rsid w:val="006756B4"/>
    <w:rsid w:val="00676F12"/>
    <w:rsid w:val="0067723C"/>
    <w:rsid w:val="00680E2B"/>
    <w:rsid w:val="00681215"/>
    <w:rsid w:val="00684007"/>
    <w:rsid w:val="006840A6"/>
    <w:rsid w:val="00685E00"/>
    <w:rsid w:val="00686B73"/>
    <w:rsid w:val="0068700D"/>
    <w:rsid w:val="006914DB"/>
    <w:rsid w:val="006916D4"/>
    <w:rsid w:val="00691FDB"/>
    <w:rsid w:val="006923B6"/>
    <w:rsid w:val="00693150"/>
    <w:rsid w:val="0069434D"/>
    <w:rsid w:val="0069520B"/>
    <w:rsid w:val="006A2122"/>
    <w:rsid w:val="006A2161"/>
    <w:rsid w:val="006A3875"/>
    <w:rsid w:val="006A46C7"/>
    <w:rsid w:val="006A4B29"/>
    <w:rsid w:val="006A7064"/>
    <w:rsid w:val="006B2924"/>
    <w:rsid w:val="006B2DFB"/>
    <w:rsid w:val="006B7640"/>
    <w:rsid w:val="006C122F"/>
    <w:rsid w:val="006C2043"/>
    <w:rsid w:val="006C66F9"/>
    <w:rsid w:val="006C67CD"/>
    <w:rsid w:val="006C6E69"/>
    <w:rsid w:val="006D213B"/>
    <w:rsid w:val="006E0232"/>
    <w:rsid w:val="006E05B2"/>
    <w:rsid w:val="006E1A9E"/>
    <w:rsid w:val="006E28AF"/>
    <w:rsid w:val="006E2909"/>
    <w:rsid w:val="006E42B8"/>
    <w:rsid w:val="006E4AE9"/>
    <w:rsid w:val="006E5E75"/>
    <w:rsid w:val="006E64F2"/>
    <w:rsid w:val="006F374C"/>
    <w:rsid w:val="006F5112"/>
    <w:rsid w:val="006F5578"/>
    <w:rsid w:val="006F5606"/>
    <w:rsid w:val="006F6EA2"/>
    <w:rsid w:val="006F7767"/>
    <w:rsid w:val="007003E1"/>
    <w:rsid w:val="00700ADD"/>
    <w:rsid w:val="007012DE"/>
    <w:rsid w:val="00705334"/>
    <w:rsid w:val="007062A3"/>
    <w:rsid w:val="00707E97"/>
    <w:rsid w:val="00713250"/>
    <w:rsid w:val="00720678"/>
    <w:rsid w:val="007217BB"/>
    <w:rsid w:val="00722A02"/>
    <w:rsid w:val="007237AF"/>
    <w:rsid w:val="007250E1"/>
    <w:rsid w:val="00731C33"/>
    <w:rsid w:val="007343D5"/>
    <w:rsid w:val="00736E53"/>
    <w:rsid w:val="0073727E"/>
    <w:rsid w:val="007453E8"/>
    <w:rsid w:val="007471F0"/>
    <w:rsid w:val="00747856"/>
    <w:rsid w:val="00750520"/>
    <w:rsid w:val="00751157"/>
    <w:rsid w:val="0075225C"/>
    <w:rsid w:val="00757ED4"/>
    <w:rsid w:val="00757FCE"/>
    <w:rsid w:val="00760EF0"/>
    <w:rsid w:val="00764B87"/>
    <w:rsid w:val="00765F47"/>
    <w:rsid w:val="00765F64"/>
    <w:rsid w:val="00766456"/>
    <w:rsid w:val="00767A17"/>
    <w:rsid w:val="00773E2B"/>
    <w:rsid w:val="00782620"/>
    <w:rsid w:val="0078323F"/>
    <w:rsid w:val="0078369E"/>
    <w:rsid w:val="00784C71"/>
    <w:rsid w:val="007854DA"/>
    <w:rsid w:val="0078595F"/>
    <w:rsid w:val="00790AD4"/>
    <w:rsid w:val="00795D17"/>
    <w:rsid w:val="007965AD"/>
    <w:rsid w:val="00796633"/>
    <w:rsid w:val="00796ED8"/>
    <w:rsid w:val="007A29E5"/>
    <w:rsid w:val="007A3D3A"/>
    <w:rsid w:val="007A3DD9"/>
    <w:rsid w:val="007A7F89"/>
    <w:rsid w:val="007B31E7"/>
    <w:rsid w:val="007B4A6D"/>
    <w:rsid w:val="007B560F"/>
    <w:rsid w:val="007B78B2"/>
    <w:rsid w:val="007C5407"/>
    <w:rsid w:val="007C59D7"/>
    <w:rsid w:val="007C6AA6"/>
    <w:rsid w:val="007D48B0"/>
    <w:rsid w:val="007D63EF"/>
    <w:rsid w:val="007E44E2"/>
    <w:rsid w:val="007E47E9"/>
    <w:rsid w:val="007E543A"/>
    <w:rsid w:val="007E5E82"/>
    <w:rsid w:val="007F2BC1"/>
    <w:rsid w:val="007F5FEB"/>
    <w:rsid w:val="007F7E97"/>
    <w:rsid w:val="00803989"/>
    <w:rsid w:val="00805DF1"/>
    <w:rsid w:val="008063DD"/>
    <w:rsid w:val="008151CD"/>
    <w:rsid w:val="00817930"/>
    <w:rsid w:val="00822DAF"/>
    <w:rsid w:val="00825677"/>
    <w:rsid w:val="0082729D"/>
    <w:rsid w:val="008345F9"/>
    <w:rsid w:val="00837C55"/>
    <w:rsid w:val="00840B0E"/>
    <w:rsid w:val="00841ADF"/>
    <w:rsid w:val="00842853"/>
    <w:rsid w:val="00842A7E"/>
    <w:rsid w:val="008454FD"/>
    <w:rsid w:val="00846D64"/>
    <w:rsid w:val="00847574"/>
    <w:rsid w:val="008557AF"/>
    <w:rsid w:val="00855CDD"/>
    <w:rsid w:val="00856798"/>
    <w:rsid w:val="00857FE8"/>
    <w:rsid w:val="00865453"/>
    <w:rsid w:val="00867B4E"/>
    <w:rsid w:val="008708C7"/>
    <w:rsid w:val="00873B26"/>
    <w:rsid w:val="00875851"/>
    <w:rsid w:val="00876BC2"/>
    <w:rsid w:val="00881973"/>
    <w:rsid w:val="00882835"/>
    <w:rsid w:val="00891778"/>
    <w:rsid w:val="00892660"/>
    <w:rsid w:val="00894399"/>
    <w:rsid w:val="00897757"/>
    <w:rsid w:val="008A03FE"/>
    <w:rsid w:val="008A3E9C"/>
    <w:rsid w:val="008B20F7"/>
    <w:rsid w:val="008B2B69"/>
    <w:rsid w:val="008B2FBB"/>
    <w:rsid w:val="008B5B7C"/>
    <w:rsid w:val="008B6E6D"/>
    <w:rsid w:val="008C1B08"/>
    <w:rsid w:val="008C38C1"/>
    <w:rsid w:val="008C4FA0"/>
    <w:rsid w:val="008D17AF"/>
    <w:rsid w:val="008D39E6"/>
    <w:rsid w:val="008D39EE"/>
    <w:rsid w:val="008D69C0"/>
    <w:rsid w:val="008D6D0F"/>
    <w:rsid w:val="008E2CAD"/>
    <w:rsid w:val="008E6FDC"/>
    <w:rsid w:val="008F116F"/>
    <w:rsid w:val="008F2FAC"/>
    <w:rsid w:val="008F5EAC"/>
    <w:rsid w:val="00900686"/>
    <w:rsid w:val="00902B02"/>
    <w:rsid w:val="0090548D"/>
    <w:rsid w:val="00906ED0"/>
    <w:rsid w:val="0091207C"/>
    <w:rsid w:val="00915F53"/>
    <w:rsid w:val="00921887"/>
    <w:rsid w:val="00921926"/>
    <w:rsid w:val="00922261"/>
    <w:rsid w:val="00922369"/>
    <w:rsid w:val="00922838"/>
    <w:rsid w:val="009230C7"/>
    <w:rsid w:val="00925978"/>
    <w:rsid w:val="0092753F"/>
    <w:rsid w:val="009278B5"/>
    <w:rsid w:val="00927E2E"/>
    <w:rsid w:val="0093061F"/>
    <w:rsid w:val="00931C30"/>
    <w:rsid w:val="00931E09"/>
    <w:rsid w:val="00932094"/>
    <w:rsid w:val="00933589"/>
    <w:rsid w:val="009351D9"/>
    <w:rsid w:val="00940940"/>
    <w:rsid w:val="00941F28"/>
    <w:rsid w:val="00943387"/>
    <w:rsid w:val="009506D0"/>
    <w:rsid w:val="00950D5F"/>
    <w:rsid w:val="00952662"/>
    <w:rsid w:val="00952A8F"/>
    <w:rsid w:val="00954C62"/>
    <w:rsid w:val="009562A1"/>
    <w:rsid w:val="00961EF3"/>
    <w:rsid w:val="00967606"/>
    <w:rsid w:val="00971304"/>
    <w:rsid w:val="00976CBD"/>
    <w:rsid w:val="00977385"/>
    <w:rsid w:val="00977F9B"/>
    <w:rsid w:val="009825BF"/>
    <w:rsid w:val="00982D15"/>
    <w:rsid w:val="00986A94"/>
    <w:rsid w:val="009902B4"/>
    <w:rsid w:val="009936D0"/>
    <w:rsid w:val="00993C9B"/>
    <w:rsid w:val="00995984"/>
    <w:rsid w:val="009A0924"/>
    <w:rsid w:val="009A1CDA"/>
    <w:rsid w:val="009A2A0A"/>
    <w:rsid w:val="009A48CF"/>
    <w:rsid w:val="009A5327"/>
    <w:rsid w:val="009A686E"/>
    <w:rsid w:val="009B01E3"/>
    <w:rsid w:val="009B1EE8"/>
    <w:rsid w:val="009B4415"/>
    <w:rsid w:val="009B53BB"/>
    <w:rsid w:val="009B55D6"/>
    <w:rsid w:val="009C09D1"/>
    <w:rsid w:val="009C5EE5"/>
    <w:rsid w:val="009C65D8"/>
    <w:rsid w:val="009C6D55"/>
    <w:rsid w:val="009C7FFB"/>
    <w:rsid w:val="009D26C7"/>
    <w:rsid w:val="009D3E5F"/>
    <w:rsid w:val="009D54B1"/>
    <w:rsid w:val="009D77AE"/>
    <w:rsid w:val="009D7851"/>
    <w:rsid w:val="009E324F"/>
    <w:rsid w:val="009E4EE0"/>
    <w:rsid w:val="009F006E"/>
    <w:rsid w:val="009F4B5D"/>
    <w:rsid w:val="009F6879"/>
    <w:rsid w:val="009F7245"/>
    <w:rsid w:val="009F7AB3"/>
    <w:rsid w:val="00A011B8"/>
    <w:rsid w:val="00A0266F"/>
    <w:rsid w:val="00A05027"/>
    <w:rsid w:val="00A05171"/>
    <w:rsid w:val="00A074C6"/>
    <w:rsid w:val="00A10D5B"/>
    <w:rsid w:val="00A11A18"/>
    <w:rsid w:val="00A11DFA"/>
    <w:rsid w:val="00A1568A"/>
    <w:rsid w:val="00A2079D"/>
    <w:rsid w:val="00A20DF1"/>
    <w:rsid w:val="00A2197B"/>
    <w:rsid w:val="00A27762"/>
    <w:rsid w:val="00A27F2C"/>
    <w:rsid w:val="00A335E0"/>
    <w:rsid w:val="00A349A6"/>
    <w:rsid w:val="00A35D76"/>
    <w:rsid w:val="00A45987"/>
    <w:rsid w:val="00A470FD"/>
    <w:rsid w:val="00A51448"/>
    <w:rsid w:val="00A52688"/>
    <w:rsid w:val="00A53940"/>
    <w:rsid w:val="00A53B09"/>
    <w:rsid w:val="00A544D0"/>
    <w:rsid w:val="00A55297"/>
    <w:rsid w:val="00A56007"/>
    <w:rsid w:val="00A568CE"/>
    <w:rsid w:val="00A6387F"/>
    <w:rsid w:val="00A67616"/>
    <w:rsid w:val="00A75DF2"/>
    <w:rsid w:val="00A80342"/>
    <w:rsid w:val="00A80538"/>
    <w:rsid w:val="00A8120D"/>
    <w:rsid w:val="00A822F3"/>
    <w:rsid w:val="00A84D5D"/>
    <w:rsid w:val="00A850DF"/>
    <w:rsid w:val="00A862AF"/>
    <w:rsid w:val="00A8744D"/>
    <w:rsid w:val="00A87715"/>
    <w:rsid w:val="00A916F4"/>
    <w:rsid w:val="00A91843"/>
    <w:rsid w:val="00A924F4"/>
    <w:rsid w:val="00A94BDA"/>
    <w:rsid w:val="00A96DF3"/>
    <w:rsid w:val="00A96FBC"/>
    <w:rsid w:val="00A9708E"/>
    <w:rsid w:val="00AA1270"/>
    <w:rsid w:val="00AB0F0A"/>
    <w:rsid w:val="00AB1140"/>
    <w:rsid w:val="00AB192C"/>
    <w:rsid w:val="00AB1E7C"/>
    <w:rsid w:val="00AB6F83"/>
    <w:rsid w:val="00AC0DF5"/>
    <w:rsid w:val="00AC345A"/>
    <w:rsid w:val="00AC5A63"/>
    <w:rsid w:val="00AC5AE0"/>
    <w:rsid w:val="00AC7024"/>
    <w:rsid w:val="00AC76DF"/>
    <w:rsid w:val="00AD4286"/>
    <w:rsid w:val="00AD4C0C"/>
    <w:rsid w:val="00AD4CF9"/>
    <w:rsid w:val="00AD52F4"/>
    <w:rsid w:val="00AD7D36"/>
    <w:rsid w:val="00AE6D3D"/>
    <w:rsid w:val="00AE76AB"/>
    <w:rsid w:val="00AF66C9"/>
    <w:rsid w:val="00B012E7"/>
    <w:rsid w:val="00B103D1"/>
    <w:rsid w:val="00B11119"/>
    <w:rsid w:val="00B11E3B"/>
    <w:rsid w:val="00B17D74"/>
    <w:rsid w:val="00B17D76"/>
    <w:rsid w:val="00B21042"/>
    <w:rsid w:val="00B21B91"/>
    <w:rsid w:val="00B24EAC"/>
    <w:rsid w:val="00B271C9"/>
    <w:rsid w:val="00B2751F"/>
    <w:rsid w:val="00B2798F"/>
    <w:rsid w:val="00B32950"/>
    <w:rsid w:val="00B32B2C"/>
    <w:rsid w:val="00B3757E"/>
    <w:rsid w:val="00B379D0"/>
    <w:rsid w:val="00B40B63"/>
    <w:rsid w:val="00B4293F"/>
    <w:rsid w:val="00B42B8C"/>
    <w:rsid w:val="00B42DAE"/>
    <w:rsid w:val="00B434E5"/>
    <w:rsid w:val="00B44038"/>
    <w:rsid w:val="00B518CC"/>
    <w:rsid w:val="00B547D6"/>
    <w:rsid w:val="00B549F4"/>
    <w:rsid w:val="00B55D8B"/>
    <w:rsid w:val="00B566E5"/>
    <w:rsid w:val="00B60680"/>
    <w:rsid w:val="00B6231D"/>
    <w:rsid w:val="00B6482E"/>
    <w:rsid w:val="00B66436"/>
    <w:rsid w:val="00B664C9"/>
    <w:rsid w:val="00B6757F"/>
    <w:rsid w:val="00B706F2"/>
    <w:rsid w:val="00B74CF5"/>
    <w:rsid w:val="00B765C6"/>
    <w:rsid w:val="00B842F0"/>
    <w:rsid w:val="00B858E7"/>
    <w:rsid w:val="00B8755E"/>
    <w:rsid w:val="00B91EE3"/>
    <w:rsid w:val="00B9347C"/>
    <w:rsid w:val="00B93BA9"/>
    <w:rsid w:val="00B93E6C"/>
    <w:rsid w:val="00B948CD"/>
    <w:rsid w:val="00BA0A22"/>
    <w:rsid w:val="00BA51B4"/>
    <w:rsid w:val="00BA51CF"/>
    <w:rsid w:val="00BA578D"/>
    <w:rsid w:val="00BA5A4F"/>
    <w:rsid w:val="00BA7A2D"/>
    <w:rsid w:val="00BB195F"/>
    <w:rsid w:val="00BB1C1C"/>
    <w:rsid w:val="00BB33E4"/>
    <w:rsid w:val="00BB43B7"/>
    <w:rsid w:val="00BB456E"/>
    <w:rsid w:val="00BB48CF"/>
    <w:rsid w:val="00BB7818"/>
    <w:rsid w:val="00BC0B3A"/>
    <w:rsid w:val="00BC0F0D"/>
    <w:rsid w:val="00BC1556"/>
    <w:rsid w:val="00BC1E79"/>
    <w:rsid w:val="00BC3D25"/>
    <w:rsid w:val="00BC5492"/>
    <w:rsid w:val="00BC7457"/>
    <w:rsid w:val="00BD2F4A"/>
    <w:rsid w:val="00BD4EEC"/>
    <w:rsid w:val="00BD6896"/>
    <w:rsid w:val="00BD7075"/>
    <w:rsid w:val="00BD734C"/>
    <w:rsid w:val="00BD771D"/>
    <w:rsid w:val="00BE1ED9"/>
    <w:rsid w:val="00BE23D3"/>
    <w:rsid w:val="00BE6123"/>
    <w:rsid w:val="00BE68DC"/>
    <w:rsid w:val="00BE7DF8"/>
    <w:rsid w:val="00BF0DD8"/>
    <w:rsid w:val="00BF42D3"/>
    <w:rsid w:val="00BF7E30"/>
    <w:rsid w:val="00C05AEE"/>
    <w:rsid w:val="00C05C8B"/>
    <w:rsid w:val="00C05FE4"/>
    <w:rsid w:val="00C06AE3"/>
    <w:rsid w:val="00C112CF"/>
    <w:rsid w:val="00C13AB1"/>
    <w:rsid w:val="00C1639B"/>
    <w:rsid w:val="00C16FC1"/>
    <w:rsid w:val="00C24F2D"/>
    <w:rsid w:val="00C26117"/>
    <w:rsid w:val="00C31157"/>
    <w:rsid w:val="00C31C19"/>
    <w:rsid w:val="00C323A5"/>
    <w:rsid w:val="00C34C00"/>
    <w:rsid w:val="00C37B6C"/>
    <w:rsid w:val="00C37F00"/>
    <w:rsid w:val="00C402A0"/>
    <w:rsid w:val="00C46C64"/>
    <w:rsid w:val="00C5043D"/>
    <w:rsid w:val="00C55034"/>
    <w:rsid w:val="00C5619D"/>
    <w:rsid w:val="00C61915"/>
    <w:rsid w:val="00C65882"/>
    <w:rsid w:val="00C65DAD"/>
    <w:rsid w:val="00C66726"/>
    <w:rsid w:val="00C668FF"/>
    <w:rsid w:val="00C67D72"/>
    <w:rsid w:val="00C7302C"/>
    <w:rsid w:val="00C75F48"/>
    <w:rsid w:val="00C77ADB"/>
    <w:rsid w:val="00C808A3"/>
    <w:rsid w:val="00C82A5A"/>
    <w:rsid w:val="00C86A74"/>
    <w:rsid w:val="00C9048D"/>
    <w:rsid w:val="00C9199C"/>
    <w:rsid w:val="00C92DE5"/>
    <w:rsid w:val="00C96223"/>
    <w:rsid w:val="00C96ED1"/>
    <w:rsid w:val="00CA1A5B"/>
    <w:rsid w:val="00CA2F13"/>
    <w:rsid w:val="00CA3798"/>
    <w:rsid w:val="00CA56E4"/>
    <w:rsid w:val="00CA7F11"/>
    <w:rsid w:val="00CB1497"/>
    <w:rsid w:val="00CB37BC"/>
    <w:rsid w:val="00CB5751"/>
    <w:rsid w:val="00CC19D4"/>
    <w:rsid w:val="00CC3098"/>
    <w:rsid w:val="00CC7874"/>
    <w:rsid w:val="00CD689D"/>
    <w:rsid w:val="00CE5449"/>
    <w:rsid w:val="00CF4688"/>
    <w:rsid w:val="00CF6D90"/>
    <w:rsid w:val="00D0007A"/>
    <w:rsid w:val="00D0111E"/>
    <w:rsid w:val="00D05237"/>
    <w:rsid w:val="00D10022"/>
    <w:rsid w:val="00D1073D"/>
    <w:rsid w:val="00D10FEB"/>
    <w:rsid w:val="00D1105B"/>
    <w:rsid w:val="00D11782"/>
    <w:rsid w:val="00D13CFA"/>
    <w:rsid w:val="00D1643A"/>
    <w:rsid w:val="00D1673B"/>
    <w:rsid w:val="00D215E0"/>
    <w:rsid w:val="00D256C2"/>
    <w:rsid w:val="00D303DB"/>
    <w:rsid w:val="00D34900"/>
    <w:rsid w:val="00D3548D"/>
    <w:rsid w:val="00D36B49"/>
    <w:rsid w:val="00D3743A"/>
    <w:rsid w:val="00D375B1"/>
    <w:rsid w:val="00D41DA5"/>
    <w:rsid w:val="00D43630"/>
    <w:rsid w:val="00D472E4"/>
    <w:rsid w:val="00D47D61"/>
    <w:rsid w:val="00D50B7F"/>
    <w:rsid w:val="00D51A56"/>
    <w:rsid w:val="00D530FC"/>
    <w:rsid w:val="00D53404"/>
    <w:rsid w:val="00D547EB"/>
    <w:rsid w:val="00D55E46"/>
    <w:rsid w:val="00D616D5"/>
    <w:rsid w:val="00D67129"/>
    <w:rsid w:val="00D7101E"/>
    <w:rsid w:val="00D71841"/>
    <w:rsid w:val="00D73C19"/>
    <w:rsid w:val="00D754B0"/>
    <w:rsid w:val="00D76387"/>
    <w:rsid w:val="00D76B88"/>
    <w:rsid w:val="00D81BE2"/>
    <w:rsid w:val="00D83690"/>
    <w:rsid w:val="00D83743"/>
    <w:rsid w:val="00D849DE"/>
    <w:rsid w:val="00D8682E"/>
    <w:rsid w:val="00D90F5E"/>
    <w:rsid w:val="00DA720A"/>
    <w:rsid w:val="00DB057B"/>
    <w:rsid w:val="00DB0855"/>
    <w:rsid w:val="00DB3B0B"/>
    <w:rsid w:val="00DB4530"/>
    <w:rsid w:val="00DB678F"/>
    <w:rsid w:val="00DB68DD"/>
    <w:rsid w:val="00DB7C79"/>
    <w:rsid w:val="00DC191D"/>
    <w:rsid w:val="00DC51AF"/>
    <w:rsid w:val="00DC59BA"/>
    <w:rsid w:val="00DC5F85"/>
    <w:rsid w:val="00DC6D96"/>
    <w:rsid w:val="00DC7791"/>
    <w:rsid w:val="00DD01BE"/>
    <w:rsid w:val="00DD089E"/>
    <w:rsid w:val="00DD0C82"/>
    <w:rsid w:val="00DD2EB6"/>
    <w:rsid w:val="00DE2750"/>
    <w:rsid w:val="00DE5F55"/>
    <w:rsid w:val="00DF0E14"/>
    <w:rsid w:val="00DF1885"/>
    <w:rsid w:val="00E0360D"/>
    <w:rsid w:val="00E045E1"/>
    <w:rsid w:val="00E04B57"/>
    <w:rsid w:val="00E052D9"/>
    <w:rsid w:val="00E1118E"/>
    <w:rsid w:val="00E128FA"/>
    <w:rsid w:val="00E15714"/>
    <w:rsid w:val="00E170EB"/>
    <w:rsid w:val="00E172C7"/>
    <w:rsid w:val="00E22EEB"/>
    <w:rsid w:val="00E25CD3"/>
    <w:rsid w:val="00E30524"/>
    <w:rsid w:val="00E30836"/>
    <w:rsid w:val="00E31687"/>
    <w:rsid w:val="00E33A08"/>
    <w:rsid w:val="00E40630"/>
    <w:rsid w:val="00E42CD0"/>
    <w:rsid w:val="00E44BBB"/>
    <w:rsid w:val="00E454F9"/>
    <w:rsid w:val="00E50387"/>
    <w:rsid w:val="00E5282C"/>
    <w:rsid w:val="00E57962"/>
    <w:rsid w:val="00E61021"/>
    <w:rsid w:val="00E62F68"/>
    <w:rsid w:val="00E6413A"/>
    <w:rsid w:val="00E6414A"/>
    <w:rsid w:val="00E65BDB"/>
    <w:rsid w:val="00E70CA4"/>
    <w:rsid w:val="00E747C4"/>
    <w:rsid w:val="00E77280"/>
    <w:rsid w:val="00E828EB"/>
    <w:rsid w:val="00E846FD"/>
    <w:rsid w:val="00E84987"/>
    <w:rsid w:val="00E84D6A"/>
    <w:rsid w:val="00E87BBC"/>
    <w:rsid w:val="00E87BDF"/>
    <w:rsid w:val="00E90863"/>
    <w:rsid w:val="00E9162F"/>
    <w:rsid w:val="00E9207D"/>
    <w:rsid w:val="00E93EFF"/>
    <w:rsid w:val="00E94216"/>
    <w:rsid w:val="00E954DA"/>
    <w:rsid w:val="00E978A9"/>
    <w:rsid w:val="00EA4CFD"/>
    <w:rsid w:val="00EA4FAC"/>
    <w:rsid w:val="00EA5ADD"/>
    <w:rsid w:val="00EA5F2B"/>
    <w:rsid w:val="00EB01D4"/>
    <w:rsid w:val="00EB19C6"/>
    <w:rsid w:val="00EC0BFA"/>
    <w:rsid w:val="00EC2141"/>
    <w:rsid w:val="00EC4CA5"/>
    <w:rsid w:val="00EC57C9"/>
    <w:rsid w:val="00EC7D2B"/>
    <w:rsid w:val="00EC7EEC"/>
    <w:rsid w:val="00ED3B1F"/>
    <w:rsid w:val="00ED491C"/>
    <w:rsid w:val="00ED7697"/>
    <w:rsid w:val="00EE0C6B"/>
    <w:rsid w:val="00EE1052"/>
    <w:rsid w:val="00EE1C91"/>
    <w:rsid w:val="00EE2A77"/>
    <w:rsid w:val="00EE3B95"/>
    <w:rsid w:val="00EE49BE"/>
    <w:rsid w:val="00EE6269"/>
    <w:rsid w:val="00EE7068"/>
    <w:rsid w:val="00EF01A4"/>
    <w:rsid w:val="00EF037B"/>
    <w:rsid w:val="00EF047D"/>
    <w:rsid w:val="00EF07FA"/>
    <w:rsid w:val="00EF13EA"/>
    <w:rsid w:val="00EF362A"/>
    <w:rsid w:val="00EF48A8"/>
    <w:rsid w:val="00EF5775"/>
    <w:rsid w:val="00F03EC6"/>
    <w:rsid w:val="00F048AB"/>
    <w:rsid w:val="00F135B0"/>
    <w:rsid w:val="00F208D7"/>
    <w:rsid w:val="00F24412"/>
    <w:rsid w:val="00F24595"/>
    <w:rsid w:val="00F258F3"/>
    <w:rsid w:val="00F26B19"/>
    <w:rsid w:val="00F30A67"/>
    <w:rsid w:val="00F30C7E"/>
    <w:rsid w:val="00F31586"/>
    <w:rsid w:val="00F32A6D"/>
    <w:rsid w:val="00F340C4"/>
    <w:rsid w:val="00F36E9D"/>
    <w:rsid w:val="00F40C5C"/>
    <w:rsid w:val="00F40D7D"/>
    <w:rsid w:val="00F43460"/>
    <w:rsid w:val="00F435AD"/>
    <w:rsid w:val="00F43DD4"/>
    <w:rsid w:val="00F44DF2"/>
    <w:rsid w:val="00F47EA0"/>
    <w:rsid w:val="00F53132"/>
    <w:rsid w:val="00F547FE"/>
    <w:rsid w:val="00F601B3"/>
    <w:rsid w:val="00F60FDE"/>
    <w:rsid w:val="00F63671"/>
    <w:rsid w:val="00F66B7A"/>
    <w:rsid w:val="00F679E6"/>
    <w:rsid w:val="00F71B10"/>
    <w:rsid w:val="00F73EBD"/>
    <w:rsid w:val="00F746B4"/>
    <w:rsid w:val="00F82E1A"/>
    <w:rsid w:val="00F84CA0"/>
    <w:rsid w:val="00F86429"/>
    <w:rsid w:val="00F93243"/>
    <w:rsid w:val="00F9523B"/>
    <w:rsid w:val="00F9638B"/>
    <w:rsid w:val="00FA3A9C"/>
    <w:rsid w:val="00FA3F45"/>
    <w:rsid w:val="00FA5ADB"/>
    <w:rsid w:val="00FB052D"/>
    <w:rsid w:val="00FB0FC9"/>
    <w:rsid w:val="00FB1771"/>
    <w:rsid w:val="00FB1B67"/>
    <w:rsid w:val="00FB69E3"/>
    <w:rsid w:val="00FC1EB8"/>
    <w:rsid w:val="00FC2C6D"/>
    <w:rsid w:val="00FC564D"/>
    <w:rsid w:val="00FC6C1A"/>
    <w:rsid w:val="00FC7DC7"/>
    <w:rsid w:val="00FD2CB0"/>
    <w:rsid w:val="00FD302F"/>
    <w:rsid w:val="00FD3A1F"/>
    <w:rsid w:val="00FE1A56"/>
    <w:rsid w:val="00FE457B"/>
    <w:rsid w:val="00FE4AC2"/>
    <w:rsid w:val="00FE5B59"/>
    <w:rsid w:val="00FE651D"/>
    <w:rsid w:val="00FF3CA2"/>
    <w:rsid w:val="00FF410F"/>
    <w:rsid w:val="012C3A41"/>
    <w:rsid w:val="019B53EE"/>
    <w:rsid w:val="022FF52C"/>
    <w:rsid w:val="023D58D4"/>
    <w:rsid w:val="02B5B00D"/>
    <w:rsid w:val="03A185D8"/>
    <w:rsid w:val="0419CED6"/>
    <w:rsid w:val="0453F74A"/>
    <w:rsid w:val="045A1E68"/>
    <w:rsid w:val="05627593"/>
    <w:rsid w:val="056E1453"/>
    <w:rsid w:val="064F21E2"/>
    <w:rsid w:val="0654DD15"/>
    <w:rsid w:val="06B66919"/>
    <w:rsid w:val="06C89BD9"/>
    <w:rsid w:val="06EF028E"/>
    <w:rsid w:val="070356A3"/>
    <w:rsid w:val="0730ACB1"/>
    <w:rsid w:val="0782209E"/>
    <w:rsid w:val="0836B6F2"/>
    <w:rsid w:val="08BC7043"/>
    <w:rsid w:val="08D19B4E"/>
    <w:rsid w:val="092F5628"/>
    <w:rsid w:val="09471B94"/>
    <w:rsid w:val="097F3161"/>
    <w:rsid w:val="0996BCE5"/>
    <w:rsid w:val="09C11E4E"/>
    <w:rsid w:val="09D41C2A"/>
    <w:rsid w:val="0AD95338"/>
    <w:rsid w:val="0AE3780B"/>
    <w:rsid w:val="0AF65C7C"/>
    <w:rsid w:val="0B23AABB"/>
    <w:rsid w:val="0B34F5F5"/>
    <w:rsid w:val="0B71107A"/>
    <w:rsid w:val="0B71598D"/>
    <w:rsid w:val="0BE16065"/>
    <w:rsid w:val="0C49646D"/>
    <w:rsid w:val="0C544650"/>
    <w:rsid w:val="0C899E39"/>
    <w:rsid w:val="0C99B811"/>
    <w:rsid w:val="0CBEA643"/>
    <w:rsid w:val="0D1E4928"/>
    <w:rsid w:val="0D48051D"/>
    <w:rsid w:val="0D592BEB"/>
    <w:rsid w:val="0DB51C8E"/>
    <w:rsid w:val="0E0C8604"/>
    <w:rsid w:val="0E4F009A"/>
    <w:rsid w:val="0E6598E5"/>
    <w:rsid w:val="0E6A2552"/>
    <w:rsid w:val="0E762AD3"/>
    <w:rsid w:val="0E91923F"/>
    <w:rsid w:val="0EA4BFC5"/>
    <w:rsid w:val="0EA562EF"/>
    <w:rsid w:val="0F1A71B0"/>
    <w:rsid w:val="0F1C6B1A"/>
    <w:rsid w:val="0F583B2C"/>
    <w:rsid w:val="0FBEEFDE"/>
    <w:rsid w:val="0FDFA6FE"/>
    <w:rsid w:val="10A7E8AB"/>
    <w:rsid w:val="10BA3785"/>
    <w:rsid w:val="10C6FCEB"/>
    <w:rsid w:val="116DB7C3"/>
    <w:rsid w:val="118FA8D5"/>
    <w:rsid w:val="11A8FB87"/>
    <w:rsid w:val="11F255CB"/>
    <w:rsid w:val="11FBFA4E"/>
    <w:rsid w:val="120ED44F"/>
    <w:rsid w:val="126F8F8E"/>
    <w:rsid w:val="12F95409"/>
    <w:rsid w:val="13157122"/>
    <w:rsid w:val="134BEDEC"/>
    <w:rsid w:val="13ED2B6E"/>
    <w:rsid w:val="1419B9F9"/>
    <w:rsid w:val="141F2FD8"/>
    <w:rsid w:val="14F9C853"/>
    <w:rsid w:val="1562CE6D"/>
    <w:rsid w:val="15F94571"/>
    <w:rsid w:val="16055841"/>
    <w:rsid w:val="16589E43"/>
    <w:rsid w:val="16CFD1FE"/>
    <w:rsid w:val="17294433"/>
    <w:rsid w:val="173605B1"/>
    <w:rsid w:val="173F2FF1"/>
    <w:rsid w:val="1757DD29"/>
    <w:rsid w:val="17663C1D"/>
    <w:rsid w:val="176CD624"/>
    <w:rsid w:val="17C88127"/>
    <w:rsid w:val="17D7A491"/>
    <w:rsid w:val="180A9B79"/>
    <w:rsid w:val="1891526A"/>
    <w:rsid w:val="18D9789E"/>
    <w:rsid w:val="192C288D"/>
    <w:rsid w:val="1951E656"/>
    <w:rsid w:val="195979B7"/>
    <w:rsid w:val="198465FC"/>
    <w:rsid w:val="19C2F384"/>
    <w:rsid w:val="1A40D41E"/>
    <w:rsid w:val="1AB31BE5"/>
    <w:rsid w:val="1B0BC378"/>
    <w:rsid w:val="1B120C4D"/>
    <w:rsid w:val="1B2D2DAD"/>
    <w:rsid w:val="1B3B24B0"/>
    <w:rsid w:val="1B4EFE27"/>
    <w:rsid w:val="1B80D73A"/>
    <w:rsid w:val="1BA231BE"/>
    <w:rsid w:val="1BE0E5FB"/>
    <w:rsid w:val="1BF119BF"/>
    <w:rsid w:val="1C2B7531"/>
    <w:rsid w:val="1C40444F"/>
    <w:rsid w:val="1C985EC9"/>
    <w:rsid w:val="1CF012D6"/>
    <w:rsid w:val="1D0EC606"/>
    <w:rsid w:val="1D944393"/>
    <w:rsid w:val="1DB6B9BA"/>
    <w:rsid w:val="1DD8A30A"/>
    <w:rsid w:val="1E024BFE"/>
    <w:rsid w:val="1E1CC652"/>
    <w:rsid w:val="1E20EE43"/>
    <w:rsid w:val="1E44C7B7"/>
    <w:rsid w:val="1E7763B9"/>
    <w:rsid w:val="1E9628D1"/>
    <w:rsid w:val="1E9FB72B"/>
    <w:rsid w:val="1EB3167B"/>
    <w:rsid w:val="1EEF4917"/>
    <w:rsid w:val="1F2F4848"/>
    <w:rsid w:val="1F515B56"/>
    <w:rsid w:val="1F52CABB"/>
    <w:rsid w:val="1FD46E68"/>
    <w:rsid w:val="200A5D8F"/>
    <w:rsid w:val="205ACAEB"/>
    <w:rsid w:val="209F1088"/>
    <w:rsid w:val="20C17B47"/>
    <w:rsid w:val="21501E1A"/>
    <w:rsid w:val="21AAF13B"/>
    <w:rsid w:val="220BBB79"/>
    <w:rsid w:val="223FEA6D"/>
    <w:rsid w:val="226AFCC0"/>
    <w:rsid w:val="2283C897"/>
    <w:rsid w:val="22AC5543"/>
    <w:rsid w:val="22DA5B43"/>
    <w:rsid w:val="22E17925"/>
    <w:rsid w:val="22EED2A7"/>
    <w:rsid w:val="233A37F5"/>
    <w:rsid w:val="235FEEA3"/>
    <w:rsid w:val="240C3859"/>
    <w:rsid w:val="24809D4A"/>
    <w:rsid w:val="24A54FD5"/>
    <w:rsid w:val="24D106C0"/>
    <w:rsid w:val="2519739C"/>
    <w:rsid w:val="257005C2"/>
    <w:rsid w:val="25767414"/>
    <w:rsid w:val="25AF4313"/>
    <w:rsid w:val="25CD4314"/>
    <w:rsid w:val="261919E7"/>
    <w:rsid w:val="26786DB8"/>
    <w:rsid w:val="269BBF38"/>
    <w:rsid w:val="26D16007"/>
    <w:rsid w:val="276A02B9"/>
    <w:rsid w:val="27841176"/>
    <w:rsid w:val="27AB5F8E"/>
    <w:rsid w:val="27B4EA48"/>
    <w:rsid w:val="27BDE577"/>
    <w:rsid w:val="27C08985"/>
    <w:rsid w:val="27DF0B1E"/>
    <w:rsid w:val="27FD9823"/>
    <w:rsid w:val="28363C7C"/>
    <w:rsid w:val="28BEA97E"/>
    <w:rsid w:val="28CBDD30"/>
    <w:rsid w:val="2906F84B"/>
    <w:rsid w:val="2978C0F8"/>
    <w:rsid w:val="2979570E"/>
    <w:rsid w:val="29DB3B4E"/>
    <w:rsid w:val="29E67DAC"/>
    <w:rsid w:val="2A1A5A18"/>
    <w:rsid w:val="2AE98C15"/>
    <w:rsid w:val="2BB96DAE"/>
    <w:rsid w:val="2C0628B4"/>
    <w:rsid w:val="2C16B4F5"/>
    <w:rsid w:val="2C350756"/>
    <w:rsid w:val="2C3C6811"/>
    <w:rsid w:val="2C92CD68"/>
    <w:rsid w:val="2CC9B9CF"/>
    <w:rsid w:val="2D01D7E1"/>
    <w:rsid w:val="2D43A080"/>
    <w:rsid w:val="2D43A9DF"/>
    <w:rsid w:val="2D4D759E"/>
    <w:rsid w:val="2D60BEC5"/>
    <w:rsid w:val="2E03B0BA"/>
    <w:rsid w:val="2E76F479"/>
    <w:rsid w:val="2EF10439"/>
    <w:rsid w:val="2EF230EF"/>
    <w:rsid w:val="2F002823"/>
    <w:rsid w:val="2F10DB72"/>
    <w:rsid w:val="2F55B85F"/>
    <w:rsid w:val="2FB45F3A"/>
    <w:rsid w:val="2FE569FB"/>
    <w:rsid w:val="30CEBF78"/>
    <w:rsid w:val="3145191E"/>
    <w:rsid w:val="3156AC93"/>
    <w:rsid w:val="3173459D"/>
    <w:rsid w:val="3185BD49"/>
    <w:rsid w:val="31A3257F"/>
    <w:rsid w:val="31AF2521"/>
    <w:rsid w:val="31B01EF4"/>
    <w:rsid w:val="31EA4F42"/>
    <w:rsid w:val="31EA68F3"/>
    <w:rsid w:val="325140A0"/>
    <w:rsid w:val="32805798"/>
    <w:rsid w:val="329F7E9D"/>
    <w:rsid w:val="32F6B959"/>
    <w:rsid w:val="3326F851"/>
    <w:rsid w:val="337728BB"/>
    <w:rsid w:val="3377539F"/>
    <w:rsid w:val="338E8B0C"/>
    <w:rsid w:val="33A7EDDF"/>
    <w:rsid w:val="34785738"/>
    <w:rsid w:val="35C1AAF1"/>
    <w:rsid w:val="35ED540C"/>
    <w:rsid w:val="3631A46A"/>
    <w:rsid w:val="36642DFA"/>
    <w:rsid w:val="36C5CDE1"/>
    <w:rsid w:val="36C6299A"/>
    <w:rsid w:val="374F81D8"/>
    <w:rsid w:val="37725D39"/>
    <w:rsid w:val="37FDD691"/>
    <w:rsid w:val="38226DFF"/>
    <w:rsid w:val="388A03FA"/>
    <w:rsid w:val="389CF509"/>
    <w:rsid w:val="390F1988"/>
    <w:rsid w:val="395BEE60"/>
    <w:rsid w:val="395D68BC"/>
    <w:rsid w:val="39C6E8EE"/>
    <w:rsid w:val="3A3FB77D"/>
    <w:rsid w:val="3A6776F0"/>
    <w:rsid w:val="3A6C0F0E"/>
    <w:rsid w:val="3A6F63F5"/>
    <w:rsid w:val="3A831D39"/>
    <w:rsid w:val="3AB5F3C2"/>
    <w:rsid w:val="3B4050B0"/>
    <w:rsid w:val="3B42789F"/>
    <w:rsid w:val="3B8FF6B1"/>
    <w:rsid w:val="3BB7F6C0"/>
    <w:rsid w:val="3BD966F8"/>
    <w:rsid w:val="3BE11C2E"/>
    <w:rsid w:val="3C2EB50A"/>
    <w:rsid w:val="3C3C139F"/>
    <w:rsid w:val="3CBF73F1"/>
    <w:rsid w:val="3DBA8D4E"/>
    <w:rsid w:val="3DF5DF0C"/>
    <w:rsid w:val="3E1F48DE"/>
    <w:rsid w:val="3E3A8F5D"/>
    <w:rsid w:val="3E9E6DC7"/>
    <w:rsid w:val="3F16921D"/>
    <w:rsid w:val="3F20BA42"/>
    <w:rsid w:val="3F475BE9"/>
    <w:rsid w:val="3F7E9BB0"/>
    <w:rsid w:val="3FB48603"/>
    <w:rsid w:val="3FD8122F"/>
    <w:rsid w:val="401BB678"/>
    <w:rsid w:val="40657D39"/>
    <w:rsid w:val="4075EA78"/>
    <w:rsid w:val="409E3197"/>
    <w:rsid w:val="40AC3441"/>
    <w:rsid w:val="40CC7313"/>
    <w:rsid w:val="412000B8"/>
    <w:rsid w:val="416E4150"/>
    <w:rsid w:val="41ABEC0E"/>
    <w:rsid w:val="4293BEFA"/>
    <w:rsid w:val="42F93B23"/>
    <w:rsid w:val="430B4460"/>
    <w:rsid w:val="43597E05"/>
    <w:rsid w:val="4375756F"/>
    <w:rsid w:val="44D894CB"/>
    <w:rsid w:val="4534976E"/>
    <w:rsid w:val="453BDB9D"/>
    <w:rsid w:val="4559BCC1"/>
    <w:rsid w:val="45C752E3"/>
    <w:rsid w:val="466B38F4"/>
    <w:rsid w:val="46B6C5EA"/>
    <w:rsid w:val="475A52A8"/>
    <w:rsid w:val="47E6CF73"/>
    <w:rsid w:val="4861DB66"/>
    <w:rsid w:val="488A3A8C"/>
    <w:rsid w:val="48B0BA61"/>
    <w:rsid w:val="48CE2676"/>
    <w:rsid w:val="490692CE"/>
    <w:rsid w:val="49220419"/>
    <w:rsid w:val="49494152"/>
    <w:rsid w:val="49DA256A"/>
    <w:rsid w:val="49E8BA91"/>
    <w:rsid w:val="49F96C2B"/>
    <w:rsid w:val="4A2DA966"/>
    <w:rsid w:val="4AB1EAFB"/>
    <w:rsid w:val="4AC649EC"/>
    <w:rsid w:val="4B7BF5DC"/>
    <w:rsid w:val="4BADBFA0"/>
    <w:rsid w:val="4C024B26"/>
    <w:rsid w:val="4C49BF7C"/>
    <w:rsid w:val="4C4DC6EF"/>
    <w:rsid w:val="4CAC7574"/>
    <w:rsid w:val="4CF13A71"/>
    <w:rsid w:val="4D020FC2"/>
    <w:rsid w:val="4D3FA5C8"/>
    <w:rsid w:val="4D54F315"/>
    <w:rsid w:val="4D6C3F96"/>
    <w:rsid w:val="4DB3685E"/>
    <w:rsid w:val="4E0C8423"/>
    <w:rsid w:val="4E46D94F"/>
    <w:rsid w:val="4ED54AEE"/>
    <w:rsid w:val="4EDB7629"/>
    <w:rsid w:val="4F0C7218"/>
    <w:rsid w:val="4F183427"/>
    <w:rsid w:val="4FAC4555"/>
    <w:rsid w:val="4FF9BC04"/>
    <w:rsid w:val="503FACFA"/>
    <w:rsid w:val="504B6253"/>
    <w:rsid w:val="5145F9F9"/>
    <w:rsid w:val="5164DA7C"/>
    <w:rsid w:val="52044080"/>
    <w:rsid w:val="526C6B7F"/>
    <w:rsid w:val="526CE727"/>
    <w:rsid w:val="526E8E5F"/>
    <w:rsid w:val="5276D1D8"/>
    <w:rsid w:val="52B351D3"/>
    <w:rsid w:val="530BBA8F"/>
    <w:rsid w:val="5314868D"/>
    <w:rsid w:val="53838C97"/>
    <w:rsid w:val="53B77845"/>
    <w:rsid w:val="5452814C"/>
    <w:rsid w:val="54CC5761"/>
    <w:rsid w:val="5531550B"/>
    <w:rsid w:val="5540508B"/>
    <w:rsid w:val="5545BC6E"/>
    <w:rsid w:val="5574D4C7"/>
    <w:rsid w:val="55F86232"/>
    <w:rsid w:val="5609C7FB"/>
    <w:rsid w:val="5634E1B2"/>
    <w:rsid w:val="565012FD"/>
    <w:rsid w:val="56FAAC67"/>
    <w:rsid w:val="57714D17"/>
    <w:rsid w:val="57EC5D17"/>
    <w:rsid w:val="58879ED6"/>
    <w:rsid w:val="588D7FB2"/>
    <w:rsid w:val="58999B31"/>
    <w:rsid w:val="589E2BEA"/>
    <w:rsid w:val="58B7DEF3"/>
    <w:rsid w:val="58CB61D2"/>
    <w:rsid w:val="5923C3BA"/>
    <w:rsid w:val="5A141B1B"/>
    <w:rsid w:val="5A6FB2D5"/>
    <w:rsid w:val="5AA7595B"/>
    <w:rsid w:val="5AD934DC"/>
    <w:rsid w:val="5B71D703"/>
    <w:rsid w:val="5B82D5E1"/>
    <w:rsid w:val="5C66B42B"/>
    <w:rsid w:val="5C97C7EB"/>
    <w:rsid w:val="5CBE0E82"/>
    <w:rsid w:val="5D93D350"/>
    <w:rsid w:val="5DEB2912"/>
    <w:rsid w:val="5E6B8AEA"/>
    <w:rsid w:val="5E712260"/>
    <w:rsid w:val="5EA2D8D9"/>
    <w:rsid w:val="5EB732E4"/>
    <w:rsid w:val="5EC6FC3E"/>
    <w:rsid w:val="5F57FD38"/>
    <w:rsid w:val="5F6A37C5"/>
    <w:rsid w:val="600D3699"/>
    <w:rsid w:val="6020C92C"/>
    <w:rsid w:val="603EF9D7"/>
    <w:rsid w:val="608203FD"/>
    <w:rsid w:val="60A89B1B"/>
    <w:rsid w:val="6146D130"/>
    <w:rsid w:val="619622F8"/>
    <w:rsid w:val="619CA6B3"/>
    <w:rsid w:val="6204B3FD"/>
    <w:rsid w:val="625E0E3D"/>
    <w:rsid w:val="62C6C494"/>
    <w:rsid w:val="632B3012"/>
    <w:rsid w:val="63339031"/>
    <w:rsid w:val="633E4AC2"/>
    <w:rsid w:val="6356F0A4"/>
    <w:rsid w:val="637D6AC4"/>
    <w:rsid w:val="63819384"/>
    <w:rsid w:val="638DA4F0"/>
    <w:rsid w:val="63D0B3A6"/>
    <w:rsid w:val="63DFDE33"/>
    <w:rsid w:val="64336C73"/>
    <w:rsid w:val="6468B52D"/>
    <w:rsid w:val="65E3D65C"/>
    <w:rsid w:val="660798EF"/>
    <w:rsid w:val="662175AD"/>
    <w:rsid w:val="665C43EA"/>
    <w:rsid w:val="66976094"/>
    <w:rsid w:val="669A9BFF"/>
    <w:rsid w:val="66C8B5C1"/>
    <w:rsid w:val="671E2066"/>
    <w:rsid w:val="675FFA4E"/>
    <w:rsid w:val="6793EDB2"/>
    <w:rsid w:val="67D066D2"/>
    <w:rsid w:val="6835C6DE"/>
    <w:rsid w:val="683DB9A3"/>
    <w:rsid w:val="684FC003"/>
    <w:rsid w:val="693954E6"/>
    <w:rsid w:val="699F164C"/>
    <w:rsid w:val="6A08A5D0"/>
    <w:rsid w:val="6A156FB7"/>
    <w:rsid w:val="6A5D40D4"/>
    <w:rsid w:val="6ADB9636"/>
    <w:rsid w:val="6AE81ECE"/>
    <w:rsid w:val="6AF262A5"/>
    <w:rsid w:val="6B666C83"/>
    <w:rsid w:val="6B864168"/>
    <w:rsid w:val="6BDA074A"/>
    <w:rsid w:val="6CA98FD4"/>
    <w:rsid w:val="6CF3F765"/>
    <w:rsid w:val="6D218219"/>
    <w:rsid w:val="6D3B1A2E"/>
    <w:rsid w:val="6D3CB792"/>
    <w:rsid w:val="6D86E6CA"/>
    <w:rsid w:val="6D973653"/>
    <w:rsid w:val="6DCA2FE4"/>
    <w:rsid w:val="6DCAE7CD"/>
    <w:rsid w:val="6DDDFF38"/>
    <w:rsid w:val="6E7CD9F8"/>
    <w:rsid w:val="6E872148"/>
    <w:rsid w:val="6E943046"/>
    <w:rsid w:val="6F12B72B"/>
    <w:rsid w:val="6F595BB9"/>
    <w:rsid w:val="704FE5DD"/>
    <w:rsid w:val="7059F395"/>
    <w:rsid w:val="70DB75E7"/>
    <w:rsid w:val="715E1497"/>
    <w:rsid w:val="71E78AC2"/>
    <w:rsid w:val="71F1FD92"/>
    <w:rsid w:val="71F21A62"/>
    <w:rsid w:val="7263055A"/>
    <w:rsid w:val="726A3EF4"/>
    <w:rsid w:val="730F63FD"/>
    <w:rsid w:val="7328D1D4"/>
    <w:rsid w:val="736C2C91"/>
    <w:rsid w:val="737A026C"/>
    <w:rsid w:val="73A21A9E"/>
    <w:rsid w:val="73B15D05"/>
    <w:rsid w:val="73C8E179"/>
    <w:rsid w:val="73D4B26F"/>
    <w:rsid w:val="7400475E"/>
    <w:rsid w:val="7493F6E4"/>
    <w:rsid w:val="74AD2ABB"/>
    <w:rsid w:val="74D3F644"/>
    <w:rsid w:val="74EDA0FA"/>
    <w:rsid w:val="7509B317"/>
    <w:rsid w:val="7513FDAE"/>
    <w:rsid w:val="7543031F"/>
    <w:rsid w:val="754F0025"/>
    <w:rsid w:val="757ECF3E"/>
    <w:rsid w:val="75A92452"/>
    <w:rsid w:val="75BB4E6B"/>
    <w:rsid w:val="75CDD0A2"/>
    <w:rsid w:val="760681AE"/>
    <w:rsid w:val="76E8E419"/>
    <w:rsid w:val="76EECBCE"/>
    <w:rsid w:val="770FD62D"/>
    <w:rsid w:val="77229B7F"/>
    <w:rsid w:val="77549F63"/>
    <w:rsid w:val="775AC8EF"/>
    <w:rsid w:val="77A2E8B4"/>
    <w:rsid w:val="787C4C67"/>
    <w:rsid w:val="78902C74"/>
    <w:rsid w:val="78AB2732"/>
    <w:rsid w:val="78F1C5AF"/>
    <w:rsid w:val="79154808"/>
    <w:rsid w:val="794C9B59"/>
    <w:rsid w:val="798D3C2A"/>
    <w:rsid w:val="79A8BC85"/>
    <w:rsid w:val="7AE475A0"/>
    <w:rsid w:val="7AE82F4A"/>
    <w:rsid w:val="7B7C7C33"/>
    <w:rsid w:val="7B81817A"/>
    <w:rsid w:val="7B8F2602"/>
    <w:rsid w:val="7BEDA15D"/>
    <w:rsid w:val="7BF52302"/>
    <w:rsid w:val="7C35D28C"/>
    <w:rsid w:val="7CAFDE68"/>
    <w:rsid w:val="7CC32B07"/>
    <w:rsid w:val="7CC878DD"/>
    <w:rsid w:val="7CE35F68"/>
    <w:rsid w:val="7D27CF17"/>
    <w:rsid w:val="7D668728"/>
    <w:rsid w:val="7DC738A1"/>
    <w:rsid w:val="7E3732CA"/>
    <w:rsid w:val="7E576C83"/>
    <w:rsid w:val="7E692C54"/>
    <w:rsid w:val="7E8C2BB7"/>
    <w:rsid w:val="7EB7C1E0"/>
    <w:rsid w:val="7F0055D3"/>
    <w:rsid w:val="7F5253E1"/>
    <w:rsid w:val="7FF33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B8378D19-9AB1-460B-A7D2-6FAFEA28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0B"/>
    <w:pPr>
      <w:spacing w:befor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iPriority w:val="99"/>
    <w:unhideWhenUsed/>
    <w:qFormat/>
    <w:rsid w:val="00E30524"/>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unhideWhenUsed/>
    <w:rsid w:val="009C09D1"/>
    <w:pPr>
      <w:spacing w:before="100" w:beforeAutospacing="1" w:after="100" w:afterAutospacing="1"/>
    </w:p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hAnsi="Garamond"/>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3">
    <w:name w:val="Unresolved Mention3"/>
    <w:basedOn w:val="DefaultParagraphFont"/>
    <w:uiPriority w:val="99"/>
    <w:semiHidden/>
    <w:unhideWhenUsed/>
    <w:rsid w:val="00A568CE"/>
    <w:rPr>
      <w:color w:val="605E5C"/>
      <w:shd w:val="clear" w:color="auto" w:fill="E1DFDD"/>
    </w:rPr>
  </w:style>
  <w:style w:type="character" w:customStyle="1" w:styleId="UnresolvedMention4">
    <w:name w:val="Unresolved Mention4"/>
    <w:basedOn w:val="DefaultParagraphFont"/>
    <w:uiPriority w:val="99"/>
    <w:semiHidden/>
    <w:unhideWhenUsed/>
    <w:rsid w:val="00C96223"/>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UnresolvedMention5">
    <w:name w:val="Unresolved Mention5"/>
    <w:basedOn w:val="DefaultParagraphFont"/>
    <w:uiPriority w:val="99"/>
    <w:semiHidden/>
    <w:unhideWhenUsed/>
    <w:rsid w:val="00D36B49"/>
    <w:rPr>
      <w:color w:val="605E5C"/>
      <w:shd w:val="clear" w:color="auto" w:fill="E1DFDD"/>
    </w:rPr>
  </w:style>
  <w:style w:type="character" w:styleId="PageNumber">
    <w:name w:val="page number"/>
    <w:basedOn w:val="DefaultParagraphFont"/>
    <w:uiPriority w:val="99"/>
    <w:semiHidden/>
    <w:unhideWhenUsed/>
    <w:rsid w:val="0049386A"/>
  </w:style>
  <w:style w:type="paragraph" w:customStyle="1" w:styleId="articleparagraph">
    <w:name w:val="article__paragraph"/>
    <w:basedOn w:val="Normal"/>
    <w:rsid w:val="00FB1B67"/>
    <w:pPr>
      <w:spacing w:before="100" w:beforeAutospacing="1" w:after="100" w:afterAutospacing="1"/>
    </w:pPr>
  </w:style>
  <w:style w:type="character" w:customStyle="1" w:styleId="UnresolvedMention6">
    <w:name w:val="Unresolved Mention6"/>
    <w:basedOn w:val="DefaultParagraphFont"/>
    <w:uiPriority w:val="99"/>
    <w:semiHidden/>
    <w:unhideWhenUsed/>
    <w:rsid w:val="00F6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0979">
      <w:bodyDiv w:val="1"/>
      <w:marLeft w:val="0"/>
      <w:marRight w:val="0"/>
      <w:marTop w:val="0"/>
      <w:marBottom w:val="0"/>
      <w:divBdr>
        <w:top w:val="none" w:sz="0" w:space="0" w:color="auto"/>
        <w:left w:val="none" w:sz="0" w:space="0" w:color="auto"/>
        <w:bottom w:val="none" w:sz="0" w:space="0" w:color="auto"/>
        <w:right w:val="none" w:sz="0" w:space="0" w:color="auto"/>
      </w:divBdr>
    </w:div>
    <w:div w:id="42951406">
      <w:bodyDiv w:val="1"/>
      <w:marLeft w:val="0"/>
      <w:marRight w:val="0"/>
      <w:marTop w:val="0"/>
      <w:marBottom w:val="0"/>
      <w:divBdr>
        <w:top w:val="none" w:sz="0" w:space="0" w:color="auto"/>
        <w:left w:val="none" w:sz="0" w:space="0" w:color="auto"/>
        <w:bottom w:val="none" w:sz="0" w:space="0" w:color="auto"/>
        <w:right w:val="none" w:sz="0" w:space="0" w:color="auto"/>
      </w:divBdr>
    </w:div>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187645542">
      <w:bodyDiv w:val="1"/>
      <w:marLeft w:val="0"/>
      <w:marRight w:val="0"/>
      <w:marTop w:val="0"/>
      <w:marBottom w:val="0"/>
      <w:divBdr>
        <w:top w:val="none" w:sz="0" w:space="0" w:color="auto"/>
        <w:left w:val="none" w:sz="0" w:space="0" w:color="auto"/>
        <w:bottom w:val="none" w:sz="0" w:space="0" w:color="auto"/>
        <w:right w:val="none" w:sz="0" w:space="0" w:color="auto"/>
      </w:divBdr>
    </w:div>
    <w:div w:id="199637526">
      <w:bodyDiv w:val="1"/>
      <w:marLeft w:val="0"/>
      <w:marRight w:val="0"/>
      <w:marTop w:val="0"/>
      <w:marBottom w:val="0"/>
      <w:divBdr>
        <w:top w:val="none" w:sz="0" w:space="0" w:color="auto"/>
        <w:left w:val="none" w:sz="0" w:space="0" w:color="auto"/>
        <w:bottom w:val="none" w:sz="0" w:space="0" w:color="auto"/>
        <w:right w:val="none" w:sz="0" w:space="0" w:color="auto"/>
      </w:divBdr>
    </w:div>
    <w:div w:id="225527885">
      <w:bodyDiv w:val="1"/>
      <w:marLeft w:val="0"/>
      <w:marRight w:val="0"/>
      <w:marTop w:val="0"/>
      <w:marBottom w:val="0"/>
      <w:divBdr>
        <w:top w:val="none" w:sz="0" w:space="0" w:color="auto"/>
        <w:left w:val="none" w:sz="0" w:space="0" w:color="auto"/>
        <w:bottom w:val="none" w:sz="0" w:space="0" w:color="auto"/>
        <w:right w:val="none" w:sz="0" w:space="0" w:color="auto"/>
      </w:divBdr>
    </w:div>
    <w:div w:id="294875507">
      <w:bodyDiv w:val="1"/>
      <w:marLeft w:val="0"/>
      <w:marRight w:val="0"/>
      <w:marTop w:val="0"/>
      <w:marBottom w:val="0"/>
      <w:divBdr>
        <w:top w:val="none" w:sz="0" w:space="0" w:color="auto"/>
        <w:left w:val="none" w:sz="0" w:space="0" w:color="auto"/>
        <w:bottom w:val="none" w:sz="0" w:space="0" w:color="auto"/>
        <w:right w:val="none" w:sz="0" w:space="0" w:color="auto"/>
      </w:divBdr>
    </w:div>
    <w:div w:id="310255843">
      <w:bodyDiv w:val="1"/>
      <w:marLeft w:val="0"/>
      <w:marRight w:val="0"/>
      <w:marTop w:val="0"/>
      <w:marBottom w:val="0"/>
      <w:divBdr>
        <w:top w:val="none" w:sz="0" w:space="0" w:color="auto"/>
        <w:left w:val="none" w:sz="0" w:space="0" w:color="auto"/>
        <w:bottom w:val="none" w:sz="0" w:space="0" w:color="auto"/>
        <w:right w:val="none" w:sz="0" w:space="0" w:color="auto"/>
      </w:divBdr>
    </w:div>
    <w:div w:id="313726508">
      <w:bodyDiv w:val="1"/>
      <w:marLeft w:val="0"/>
      <w:marRight w:val="0"/>
      <w:marTop w:val="0"/>
      <w:marBottom w:val="0"/>
      <w:divBdr>
        <w:top w:val="none" w:sz="0" w:space="0" w:color="auto"/>
        <w:left w:val="none" w:sz="0" w:space="0" w:color="auto"/>
        <w:bottom w:val="none" w:sz="0" w:space="0" w:color="auto"/>
        <w:right w:val="none" w:sz="0" w:space="0" w:color="auto"/>
      </w:divBdr>
    </w:div>
    <w:div w:id="350028895">
      <w:bodyDiv w:val="1"/>
      <w:marLeft w:val="0"/>
      <w:marRight w:val="0"/>
      <w:marTop w:val="0"/>
      <w:marBottom w:val="0"/>
      <w:divBdr>
        <w:top w:val="none" w:sz="0" w:space="0" w:color="auto"/>
        <w:left w:val="none" w:sz="0" w:space="0" w:color="auto"/>
        <w:bottom w:val="none" w:sz="0" w:space="0" w:color="auto"/>
        <w:right w:val="none" w:sz="0" w:space="0" w:color="auto"/>
      </w:divBdr>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1397551">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525484697">
      <w:bodyDiv w:val="1"/>
      <w:marLeft w:val="0"/>
      <w:marRight w:val="0"/>
      <w:marTop w:val="0"/>
      <w:marBottom w:val="0"/>
      <w:divBdr>
        <w:top w:val="none" w:sz="0" w:space="0" w:color="auto"/>
        <w:left w:val="none" w:sz="0" w:space="0" w:color="auto"/>
        <w:bottom w:val="none" w:sz="0" w:space="0" w:color="auto"/>
        <w:right w:val="none" w:sz="0" w:space="0" w:color="auto"/>
      </w:divBdr>
    </w:div>
    <w:div w:id="548490941">
      <w:bodyDiv w:val="1"/>
      <w:marLeft w:val="0"/>
      <w:marRight w:val="0"/>
      <w:marTop w:val="0"/>
      <w:marBottom w:val="0"/>
      <w:divBdr>
        <w:top w:val="none" w:sz="0" w:space="0" w:color="auto"/>
        <w:left w:val="none" w:sz="0" w:space="0" w:color="auto"/>
        <w:bottom w:val="none" w:sz="0" w:space="0" w:color="auto"/>
        <w:right w:val="none" w:sz="0" w:space="0" w:color="auto"/>
      </w:divBdr>
    </w:div>
    <w:div w:id="656299791">
      <w:bodyDiv w:val="1"/>
      <w:marLeft w:val="0"/>
      <w:marRight w:val="0"/>
      <w:marTop w:val="0"/>
      <w:marBottom w:val="0"/>
      <w:divBdr>
        <w:top w:val="none" w:sz="0" w:space="0" w:color="auto"/>
        <w:left w:val="none" w:sz="0" w:space="0" w:color="auto"/>
        <w:bottom w:val="none" w:sz="0" w:space="0" w:color="auto"/>
        <w:right w:val="none" w:sz="0" w:space="0" w:color="auto"/>
      </w:divBdr>
      <w:divsChild>
        <w:div w:id="1792941431">
          <w:marLeft w:val="0"/>
          <w:marRight w:val="0"/>
          <w:marTop w:val="0"/>
          <w:marBottom w:val="0"/>
          <w:divBdr>
            <w:top w:val="none" w:sz="0" w:space="0" w:color="auto"/>
            <w:left w:val="none" w:sz="0" w:space="0" w:color="auto"/>
            <w:bottom w:val="none" w:sz="0" w:space="0" w:color="auto"/>
            <w:right w:val="none" w:sz="0" w:space="0" w:color="auto"/>
          </w:divBdr>
          <w:divsChild>
            <w:div w:id="563611578">
              <w:marLeft w:val="0"/>
              <w:marRight w:val="0"/>
              <w:marTop w:val="0"/>
              <w:marBottom w:val="0"/>
              <w:divBdr>
                <w:top w:val="none" w:sz="0" w:space="0" w:color="C0C0C0"/>
                <w:left w:val="none" w:sz="0" w:space="0" w:color="C0C0C0"/>
                <w:bottom w:val="none" w:sz="0" w:space="0" w:color="C0C0C0"/>
                <w:right w:val="none" w:sz="0" w:space="0" w:color="C0C0C0"/>
              </w:divBdr>
              <w:divsChild>
                <w:div w:id="1431701869">
                  <w:marLeft w:val="0"/>
                  <w:marRight w:val="0"/>
                  <w:marTop w:val="0"/>
                  <w:marBottom w:val="0"/>
                  <w:divBdr>
                    <w:top w:val="none" w:sz="0" w:space="0" w:color="auto"/>
                    <w:left w:val="none" w:sz="0" w:space="0" w:color="auto"/>
                    <w:bottom w:val="none" w:sz="0" w:space="0" w:color="auto"/>
                    <w:right w:val="none" w:sz="0" w:space="0" w:color="auto"/>
                  </w:divBdr>
                  <w:divsChild>
                    <w:div w:id="736634101">
                      <w:marLeft w:val="0"/>
                      <w:marRight w:val="0"/>
                      <w:marTop w:val="0"/>
                      <w:marBottom w:val="0"/>
                      <w:divBdr>
                        <w:top w:val="none" w:sz="0" w:space="0" w:color="auto"/>
                        <w:left w:val="none" w:sz="0" w:space="0" w:color="auto"/>
                        <w:bottom w:val="none" w:sz="0" w:space="0" w:color="auto"/>
                        <w:right w:val="none" w:sz="0" w:space="0" w:color="auto"/>
                      </w:divBdr>
                      <w:divsChild>
                        <w:div w:id="1430852450">
                          <w:marLeft w:val="150"/>
                          <w:marRight w:val="150"/>
                          <w:marTop w:val="150"/>
                          <w:marBottom w:val="150"/>
                          <w:divBdr>
                            <w:top w:val="none" w:sz="0" w:space="0" w:color="auto"/>
                            <w:left w:val="none" w:sz="0" w:space="0" w:color="auto"/>
                            <w:bottom w:val="none" w:sz="0" w:space="0" w:color="auto"/>
                            <w:right w:val="none" w:sz="0" w:space="0" w:color="auto"/>
                          </w:divBdr>
                          <w:divsChild>
                            <w:div w:id="1953630294">
                              <w:marLeft w:val="0"/>
                              <w:marRight w:val="0"/>
                              <w:marTop w:val="0"/>
                              <w:marBottom w:val="0"/>
                              <w:divBdr>
                                <w:top w:val="none" w:sz="0" w:space="0" w:color="auto"/>
                                <w:left w:val="none" w:sz="0" w:space="0" w:color="auto"/>
                                <w:bottom w:val="none" w:sz="0" w:space="0" w:color="auto"/>
                                <w:right w:val="none" w:sz="0" w:space="0" w:color="auto"/>
                              </w:divBdr>
                              <w:divsChild>
                                <w:div w:id="2055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663435598">
      <w:bodyDiv w:val="1"/>
      <w:marLeft w:val="0"/>
      <w:marRight w:val="0"/>
      <w:marTop w:val="0"/>
      <w:marBottom w:val="0"/>
      <w:divBdr>
        <w:top w:val="none" w:sz="0" w:space="0" w:color="auto"/>
        <w:left w:val="none" w:sz="0" w:space="0" w:color="auto"/>
        <w:bottom w:val="none" w:sz="0" w:space="0" w:color="auto"/>
        <w:right w:val="none" w:sz="0" w:space="0" w:color="auto"/>
      </w:divBdr>
    </w:div>
    <w:div w:id="682707508">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30427087">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446">
      <w:bodyDiv w:val="1"/>
      <w:marLeft w:val="0"/>
      <w:marRight w:val="0"/>
      <w:marTop w:val="0"/>
      <w:marBottom w:val="0"/>
      <w:divBdr>
        <w:top w:val="none" w:sz="0" w:space="0" w:color="auto"/>
        <w:left w:val="none" w:sz="0" w:space="0" w:color="auto"/>
        <w:bottom w:val="none" w:sz="0" w:space="0" w:color="auto"/>
        <w:right w:val="none" w:sz="0" w:space="0" w:color="auto"/>
      </w:divBdr>
    </w:div>
    <w:div w:id="858393094">
      <w:bodyDiv w:val="1"/>
      <w:marLeft w:val="0"/>
      <w:marRight w:val="0"/>
      <w:marTop w:val="0"/>
      <w:marBottom w:val="0"/>
      <w:divBdr>
        <w:top w:val="none" w:sz="0" w:space="0" w:color="auto"/>
        <w:left w:val="none" w:sz="0" w:space="0" w:color="auto"/>
        <w:bottom w:val="none" w:sz="0" w:space="0" w:color="auto"/>
        <w:right w:val="none" w:sz="0" w:space="0" w:color="auto"/>
      </w:divBdr>
    </w:div>
    <w:div w:id="899169320">
      <w:bodyDiv w:val="1"/>
      <w:marLeft w:val="0"/>
      <w:marRight w:val="0"/>
      <w:marTop w:val="0"/>
      <w:marBottom w:val="0"/>
      <w:divBdr>
        <w:top w:val="none" w:sz="0" w:space="0" w:color="auto"/>
        <w:left w:val="none" w:sz="0" w:space="0" w:color="auto"/>
        <w:bottom w:val="none" w:sz="0" w:space="0" w:color="auto"/>
        <w:right w:val="none" w:sz="0" w:space="0" w:color="auto"/>
      </w:divBdr>
    </w:div>
    <w:div w:id="924606103">
      <w:bodyDiv w:val="1"/>
      <w:marLeft w:val="0"/>
      <w:marRight w:val="0"/>
      <w:marTop w:val="0"/>
      <w:marBottom w:val="0"/>
      <w:divBdr>
        <w:top w:val="none" w:sz="0" w:space="0" w:color="auto"/>
        <w:left w:val="none" w:sz="0" w:space="0" w:color="auto"/>
        <w:bottom w:val="none" w:sz="0" w:space="0" w:color="auto"/>
        <w:right w:val="none" w:sz="0" w:space="0" w:color="auto"/>
      </w:divBdr>
    </w:div>
    <w:div w:id="945116587">
      <w:bodyDiv w:val="1"/>
      <w:marLeft w:val="0"/>
      <w:marRight w:val="0"/>
      <w:marTop w:val="0"/>
      <w:marBottom w:val="0"/>
      <w:divBdr>
        <w:top w:val="none" w:sz="0" w:space="0" w:color="auto"/>
        <w:left w:val="none" w:sz="0" w:space="0" w:color="auto"/>
        <w:bottom w:val="none" w:sz="0" w:space="0" w:color="auto"/>
        <w:right w:val="none" w:sz="0" w:space="0" w:color="auto"/>
      </w:divBdr>
    </w:div>
    <w:div w:id="959871459">
      <w:bodyDiv w:val="1"/>
      <w:marLeft w:val="0"/>
      <w:marRight w:val="0"/>
      <w:marTop w:val="0"/>
      <w:marBottom w:val="0"/>
      <w:divBdr>
        <w:top w:val="none" w:sz="0" w:space="0" w:color="auto"/>
        <w:left w:val="none" w:sz="0" w:space="0" w:color="auto"/>
        <w:bottom w:val="none" w:sz="0" w:space="0" w:color="auto"/>
        <w:right w:val="none" w:sz="0" w:space="0" w:color="auto"/>
      </w:divBdr>
      <w:divsChild>
        <w:div w:id="1091195774">
          <w:marLeft w:val="0"/>
          <w:marRight w:val="0"/>
          <w:marTop w:val="0"/>
          <w:marBottom w:val="0"/>
          <w:divBdr>
            <w:top w:val="none" w:sz="0" w:space="0" w:color="auto"/>
            <w:left w:val="none" w:sz="0" w:space="0" w:color="auto"/>
            <w:bottom w:val="none" w:sz="0" w:space="0" w:color="auto"/>
            <w:right w:val="none" w:sz="0" w:space="0" w:color="auto"/>
          </w:divBdr>
          <w:divsChild>
            <w:div w:id="1344088419">
              <w:marLeft w:val="0"/>
              <w:marRight w:val="0"/>
              <w:marTop w:val="0"/>
              <w:marBottom w:val="0"/>
              <w:divBdr>
                <w:top w:val="none" w:sz="0" w:space="0" w:color="C0C0C0"/>
                <w:left w:val="none" w:sz="0" w:space="0" w:color="C0C0C0"/>
                <w:bottom w:val="none" w:sz="0" w:space="0" w:color="C0C0C0"/>
                <w:right w:val="none" w:sz="0" w:space="0" w:color="C0C0C0"/>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42411187">
                      <w:marLeft w:val="0"/>
                      <w:marRight w:val="0"/>
                      <w:marTop w:val="0"/>
                      <w:marBottom w:val="0"/>
                      <w:divBdr>
                        <w:top w:val="none" w:sz="0" w:space="0" w:color="auto"/>
                        <w:left w:val="none" w:sz="0" w:space="0" w:color="auto"/>
                        <w:bottom w:val="none" w:sz="0" w:space="0" w:color="auto"/>
                        <w:right w:val="none" w:sz="0" w:space="0" w:color="auto"/>
                      </w:divBdr>
                      <w:divsChild>
                        <w:div w:id="850338061">
                          <w:marLeft w:val="150"/>
                          <w:marRight w:val="150"/>
                          <w:marTop w:val="150"/>
                          <w:marBottom w:val="150"/>
                          <w:divBdr>
                            <w:top w:val="none" w:sz="0" w:space="0" w:color="auto"/>
                            <w:left w:val="none" w:sz="0" w:space="0" w:color="auto"/>
                            <w:bottom w:val="none" w:sz="0" w:space="0" w:color="auto"/>
                            <w:right w:val="none" w:sz="0" w:space="0" w:color="auto"/>
                          </w:divBdr>
                          <w:divsChild>
                            <w:div w:id="1143766640">
                              <w:marLeft w:val="0"/>
                              <w:marRight w:val="0"/>
                              <w:marTop w:val="0"/>
                              <w:marBottom w:val="0"/>
                              <w:divBdr>
                                <w:top w:val="none" w:sz="0" w:space="0" w:color="auto"/>
                                <w:left w:val="none" w:sz="0" w:space="0" w:color="auto"/>
                                <w:bottom w:val="none" w:sz="0" w:space="0" w:color="auto"/>
                                <w:right w:val="none" w:sz="0" w:space="0" w:color="auto"/>
                              </w:divBdr>
                              <w:divsChild>
                                <w:div w:id="20224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19439">
      <w:bodyDiv w:val="1"/>
      <w:marLeft w:val="0"/>
      <w:marRight w:val="0"/>
      <w:marTop w:val="0"/>
      <w:marBottom w:val="0"/>
      <w:divBdr>
        <w:top w:val="none" w:sz="0" w:space="0" w:color="auto"/>
        <w:left w:val="none" w:sz="0" w:space="0" w:color="auto"/>
        <w:bottom w:val="none" w:sz="0" w:space="0" w:color="auto"/>
        <w:right w:val="none" w:sz="0" w:space="0" w:color="auto"/>
      </w:divBdr>
    </w:div>
    <w:div w:id="1034886039">
      <w:bodyDiv w:val="1"/>
      <w:marLeft w:val="0"/>
      <w:marRight w:val="0"/>
      <w:marTop w:val="0"/>
      <w:marBottom w:val="0"/>
      <w:divBdr>
        <w:top w:val="none" w:sz="0" w:space="0" w:color="auto"/>
        <w:left w:val="none" w:sz="0" w:space="0" w:color="auto"/>
        <w:bottom w:val="none" w:sz="0" w:space="0" w:color="auto"/>
        <w:right w:val="none" w:sz="0" w:space="0" w:color="auto"/>
      </w:divBdr>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93988738">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2094858540">
          <w:marLeft w:val="0"/>
          <w:marRight w:val="0"/>
          <w:marTop w:val="0"/>
          <w:marBottom w:val="0"/>
          <w:divBdr>
            <w:top w:val="none" w:sz="0" w:space="0" w:color="auto"/>
            <w:left w:val="none" w:sz="0" w:space="0" w:color="auto"/>
            <w:bottom w:val="none" w:sz="0" w:space="0" w:color="auto"/>
            <w:right w:val="none" w:sz="0" w:space="0" w:color="auto"/>
          </w:divBdr>
        </w:div>
      </w:divsChild>
    </w:div>
    <w:div w:id="1128664226">
      <w:bodyDiv w:val="1"/>
      <w:marLeft w:val="0"/>
      <w:marRight w:val="0"/>
      <w:marTop w:val="0"/>
      <w:marBottom w:val="0"/>
      <w:divBdr>
        <w:top w:val="none" w:sz="0" w:space="0" w:color="auto"/>
        <w:left w:val="none" w:sz="0" w:space="0" w:color="auto"/>
        <w:bottom w:val="none" w:sz="0" w:space="0" w:color="auto"/>
        <w:right w:val="none" w:sz="0" w:space="0" w:color="auto"/>
      </w:divBdr>
    </w:div>
    <w:div w:id="1130435870">
      <w:bodyDiv w:val="1"/>
      <w:marLeft w:val="0"/>
      <w:marRight w:val="0"/>
      <w:marTop w:val="0"/>
      <w:marBottom w:val="0"/>
      <w:divBdr>
        <w:top w:val="none" w:sz="0" w:space="0" w:color="auto"/>
        <w:left w:val="none" w:sz="0" w:space="0" w:color="auto"/>
        <w:bottom w:val="none" w:sz="0" w:space="0" w:color="auto"/>
        <w:right w:val="none" w:sz="0" w:space="0" w:color="auto"/>
      </w:divBdr>
    </w:div>
    <w:div w:id="1214196195">
      <w:bodyDiv w:val="1"/>
      <w:marLeft w:val="0"/>
      <w:marRight w:val="0"/>
      <w:marTop w:val="0"/>
      <w:marBottom w:val="0"/>
      <w:divBdr>
        <w:top w:val="none" w:sz="0" w:space="0" w:color="auto"/>
        <w:left w:val="none" w:sz="0" w:space="0" w:color="auto"/>
        <w:bottom w:val="none" w:sz="0" w:space="0" w:color="auto"/>
        <w:right w:val="none" w:sz="0" w:space="0" w:color="auto"/>
      </w:divBdr>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451510448">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557011742">
      <w:bodyDiv w:val="1"/>
      <w:marLeft w:val="0"/>
      <w:marRight w:val="0"/>
      <w:marTop w:val="0"/>
      <w:marBottom w:val="0"/>
      <w:divBdr>
        <w:top w:val="none" w:sz="0" w:space="0" w:color="auto"/>
        <w:left w:val="none" w:sz="0" w:space="0" w:color="auto"/>
        <w:bottom w:val="none" w:sz="0" w:space="0" w:color="auto"/>
        <w:right w:val="none" w:sz="0" w:space="0" w:color="auto"/>
      </w:divBdr>
    </w:div>
    <w:div w:id="1566187589">
      <w:bodyDiv w:val="1"/>
      <w:marLeft w:val="0"/>
      <w:marRight w:val="0"/>
      <w:marTop w:val="0"/>
      <w:marBottom w:val="0"/>
      <w:divBdr>
        <w:top w:val="none" w:sz="0" w:space="0" w:color="auto"/>
        <w:left w:val="none" w:sz="0" w:space="0" w:color="auto"/>
        <w:bottom w:val="none" w:sz="0" w:space="0" w:color="auto"/>
        <w:right w:val="none" w:sz="0" w:space="0" w:color="auto"/>
      </w:divBdr>
    </w:div>
    <w:div w:id="1575434520">
      <w:bodyDiv w:val="1"/>
      <w:marLeft w:val="0"/>
      <w:marRight w:val="0"/>
      <w:marTop w:val="0"/>
      <w:marBottom w:val="0"/>
      <w:divBdr>
        <w:top w:val="none" w:sz="0" w:space="0" w:color="auto"/>
        <w:left w:val="none" w:sz="0" w:space="0" w:color="auto"/>
        <w:bottom w:val="none" w:sz="0" w:space="0" w:color="auto"/>
        <w:right w:val="none" w:sz="0" w:space="0" w:color="auto"/>
      </w:divBdr>
    </w:div>
    <w:div w:id="1626350767">
      <w:bodyDiv w:val="1"/>
      <w:marLeft w:val="0"/>
      <w:marRight w:val="0"/>
      <w:marTop w:val="0"/>
      <w:marBottom w:val="0"/>
      <w:divBdr>
        <w:top w:val="none" w:sz="0" w:space="0" w:color="auto"/>
        <w:left w:val="none" w:sz="0" w:space="0" w:color="auto"/>
        <w:bottom w:val="none" w:sz="0" w:space="0" w:color="auto"/>
        <w:right w:val="none" w:sz="0" w:space="0" w:color="auto"/>
      </w:divBdr>
    </w:div>
    <w:div w:id="1656254535">
      <w:bodyDiv w:val="1"/>
      <w:marLeft w:val="0"/>
      <w:marRight w:val="0"/>
      <w:marTop w:val="0"/>
      <w:marBottom w:val="0"/>
      <w:divBdr>
        <w:top w:val="none" w:sz="0" w:space="0" w:color="auto"/>
        <w:left w:val="none" w:sz="0" w:space="0" w:color="auto"/>
        <w:bottom w:val="none" w:sz="0" w:space="0" w:color="auto"/>
        <w:right w:val="none" w:sz="0" w:space="0" w:color="auto"/>
      </w:divBdr>
    </w:div>
    <w:div w:id="1667004868">
      <w:bodyDiv w:val="1"/>
      <w:marLeft w:val="0"/>
      <w:marRight w:val="0"/>
      <w:marTop w:val="0"/>
      <w:marBottom w:val="0"/>
      <w:divBdr>
        <w:top w:val="none" w:sz="0" w:space="0" w:color="auto"/>
        <w:left w:val="none" w:sz="0" w:space="0" w:color="auto"/>
        <w:bottom w:val="none" w:sz="0" w:space="0" w:color="auto"/>
        <w:right w:val="none" w:sz="0" w:space="0" w:color="auto"/>
      </w:divBdr>
    </w:div>
    <w:div w:id="1691832489">
      <w:bodyDiv w:val="1"/>
      <w:marLeft w:val="0"/>
      <w:marRight w:val="0"/>
      <w:marTop w:val="0"/>
      <w:marBottom w:val="0"/>
      <w:divBdr>
        <w:top w:val="none" w:sz="0" w:space="0" w:color="auto"/>
        <w:left w:val="none" w:sz="0" w:space="0" w:color="auto"/>
        <w:bottom w:val="none" w:sz="0" w:space="0" w:color="auto"/>
        <w:right w:val="none" w:sz="0" w:space="0" w:color="auto"/>
      </w:divBdr>
      <w:divsChild>
        <w:div w:id="280000089">
          <w:marLeft w:val="0"/>
          <w:marRight w:val="0"/>
          <w:marTop w:val="0"/>
          <w:marBottom w:val="0"/>
          <w:divBdr>
            <w:top w:val="none" w:sz="0" w:space="0" w:color="auto"/>
            <w:left w:val="none" w:sz="0" w:space="0" w:color="auto"/>
            <w:bottom w:val="none" w:sz="0" w:space="0" w:color="auto"/>
            <w:right w:val="none" w:sz="0" w:space="0" w:color="auto"/>
          </w:divBdr>
          <w:divsChild>
            <w:div w:id="1427925270">
              <w:marLeft w:val="0"/>
              <w:marRight w:val="0"/>
              <w:marTop w:val="0"/>
              <w:marBottom w:val="0"/>
              <w:divBdr>
                <w:top w:val="none" w:sz="0" w:space="0" w:color="C0C0C0"/>
                <w:left w:val="none" w:sz="0" w:space="0" w:color="C0C0C0"/>
                <w:bottom w:val="none" w:sz="0" w:space="0" w:color="C0C0C0"/>
                <w:right w:val="none" w:sz="0" w:space="0" w:color="C0C0C0"/>
              </w:divBdr>
              <w:divsChild>
                <w:div w:id="899827802">
                  <w:marLeft w:val="0"/>
                  <w:marRight w:val="0"/>
                  <w:marTop w:val="0"/>
                  <w:marBottom w:val="0"/>
                  <w:divBdr>
                    <w:top w:val="none" w:sz="0" w:space="0" w:color="auto"/>
                    <w:left w:val="none" w:sz="0" w:space="0" w:color="auto"/>
                    <w:bottom w:val="none" w:sz="0" w:space="0" w:color="auto"/>
                    <w:right w:val="none" w:sz="0" w:space="0" w:color="auto"/>
                  </w:divBdr>
                  <w:divsChild>
                    <w:div w:id="621351975">
                      <w:marLeft w:val="0"/>
                      <w:marRight w:val="0"/>
                      <w:marTop w:val="0"/>
                      <w:marBottom w:val="0"/>
                      <w:divBdr>
                        <w:top w:val="none" w:sz="0" w:space="0" w:color="auto"/>
                        <w:left w:val="none" w:sz="0" w:space="0" w:color="auto"/>
                        <w:bottom w:val="none" w:sz="0" w:space="0" w:color="auto"/>
                        <w:right w:val="none" w:sz="0" w:space="0" w:color="auto"/>
                      </w:divBdr>
                      <w:divsChild>
                        <w:div w:id="318314655">
                          <w:marLeft w:val="150"/>
                          <w:marRight w:val="150"/>
                          <w:marTop w:val="150"/>
                          <w:marBottom w:val="150"/>
                          <w:divBdr>
                            <w:top w:val="none" w:sz="0" w:space="0" w:color="auto"/>
                            <w:left w:val="none" w:sz="0" w:space="0" w:color="auto"/>
                            <w:bottom w:val="none" w:sz="0" w:space="0" w:color="auto"/>
                            <w:right w:val="none" w:sz="0" w:space="0" w:color="auto"/>
                          </w:divBdr>
                          <w:divsChild>
                            <w:div w:id="2034726854">
                              <w:marLeft w:val="0"/>
                              <w:marRight w:val="0"/>
                              <w:marTop w:val="0"/>
                              <w:marBottom w:val="0"/>
                              <w:divBdr>
                                <w:top w:val="none" w:sz="0" w:space="0" w:color="auto"/>
                                <w:left w:val="none" w:sz="0" w:space="0" w:color="auto"/>
                                <w:bottom w:val="none" w:sz="0" w:space="0" w:color="auto"/>
                                <w:right w:val="none" w:sz="0" w:space="0" w:color="auto"/>
                              </w:divBdr>
                              <w:divsChild>
                                <w:div w:id="18090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503182">
      <w:bodyDiv w:val="1"/>
      <w:marLeft w:val="0"/>
      <w:marRight w:val="0"/>
      <w:marTop w:val="0"/>
      <w:marBottom w:val="0"/>
      <w:divBdr>
        <w:top w:val="none" w:sz="0" w:space="0" w:color="auto"/>
        <w:left w:val="none" w:sz="0" w:space="0" w:color="auto"/>
        <w:bottom w:val="none" w:sz="0" w:space="0" w:color="auto"/>
        <w:right w:val="none" w:sz="0" w:space="0" w:color="auto"/>
      </w:divBdr>
    </w:div>
    <w:div w:id="1789666366">
      <w:bodyDiv w:val="1"/>
      <w:marLeft w:val="0"/>
      <w:marRight w:val="0"/>
      <w:marTop w:val="0"/>
      <w:marBottom w:val="0"/>
      <w:divBdr>
        <w:top w:val="none" w:sz="0" w:space="0" w:color="auto"/>
        <w:left w:val="none" w:sz="0" w:space="0" w:color="auto"/>
        <w:bottom w:val="none" w:sz="0" w:space="0" w:color="auto"/>
        <w:right w:val="none" w:sz="0" w:space="0" w:color="auto"/>
      </w:divBdr>
    </w:div>
    <w:div w:id="1791973650">
      <w:bodyDiv w:val="1"/>
      <w:marLeft w:val="0"/>
      <w:marRight w:val="0"/>
      <w:marTop w:val="0"/>
      <w:marBottom w:val="0"/>
      <w:divBdr>
        <w:top w:val="none" w:sz="0" w:space="0" w:color="auto"/>
        <w:left w:val="none" w:sz="0" w:space="0" w:color="auto"/>
        <w:bottom w:val="none" w:sz="0" w:space="0" w:color="auto"/>
        <w:right w:val="none" w:sz="0" w:space="0" w:color="auto"/>
      </w:divBdr>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54169560">
      <w:bodyDiv w:val="1"/>
      <w:marLeft w:val="0"/>
      <w:marRight w:val="0"/>
      <w:marTop w:val="0"/>
      <w:marBottom w:val="0"/>
      <w:divBdr>
        <w:top w:val="none" w:sz="0" w:space="0" w:color="auto"/>
        <w:left w:val="none" w:sz="0" w:space="0" w:color="auto"/>
        <w:bottom w:val="none" w:sz="0" w:space="0" w:color="auto"/>
        <w:right w:val="none" w:sz="0" w:space="0" w:color="auto"/>
      </w:divBdr>
      <w:divsChild>
        <w:div w:id="1880430198">
          <w:marLeft w:val="0"/>
          <w:marRight w:val="0"/>
          <w:marTop w:val="0"/>
          <w:marBottom w:val="0"/>
          <w:divBdr>
            <w:top w:val="none" w:sz="0" w:space="0" w:color="auto"/>
            <w:left w:val="none" w:sz="0" w:space="0" w:color="auto"/>
            <w:bottom w:val="none" w:sz="0" w:space="0" w:color="auto"/>
            <w:right w:val="none" w:sz="0" w:space="0" w:color="auto"/>
          </w:divBdr>
          <w:divsChild>
            <w:div w:id="93402866">
              <w:marLeft w:val="0"/>
              <w:marRight w:val="0"/>
              <w:marTop w:val="0"/>
              <w:marBottom w:val="0"/>
              <w:divBdr>
                <w:top w:val="none" w:sz="0" w:space="0" w:color="C0C0C0"/>
                <w:left w:val="none" w:sz="0" w:space="0" w:color="C0C0C0"/>
                <w:bottom w:val="none" w:sz="0" w:space="0" w:color="C0C0C0"/>
                <w:right w:val="none" w:sz="0" w:space="0" w:color="C0C0C0"/>
              </w:divBdr>
              <w:divsChild>
                <w:div w:id="1776172043">
                  <w:marLeft w:val="0"/>
                  <w:marRight w:val="0"/>
                  <w:marTop w:val="0"/>
                  <w:marBottom w:val="0"/>
                  <w:divBdr>
                    <w:top w:val="none" w:sz="0" w:space="0" w:color="auto"/>
                    <w:left w:val="none" w:sz="0" w:space="0" w:color="auto"/>
                    <w:bottom w:val="none" w:sz="0" w:space="0" w:color="auto"/>
                    <w:right w:val="none" w:sz="0" w:space="0" w:color="auto"/>
                  </w:divBdr>
                  <w:divsChild>
                    <w:div w:id="1379473622">
                      <w:marLeft w:val="0"/>
                      <w:marRight w:val="0"/>
                      <w:marTop w:val="0"/>
                      <w:marBottom w:val="0"/>
                      <w:divBdr>
                        <w:top w:val="none" w:sz="0" w:space="0" w:color="auto"/>
                        <w:left w:val="none" w:sz="0" w:space="0" w:color="auto"/>
                        <w:bottom w:val="none" w:sz="0" w:space="0" w:color="auto"/>
                        <w:right w:val="none" w:sz="0" w:space="0" w:color="auto"/>
                      </w:divBdr>
                      <w:divsChild>
                        <w:div w:id="825628475">
                          <w:marLeft w:val="150"/>
                          <w:marRight w:val="150"/>
                          <w:marTop w:val="150"/>
                          <w:marBottom w:val="150"/>
                          <w:divBdr>
                            <w:top w:val="none" w:sz="0" w:space="0" w:color="auto"/>
                            <w:left w:val="none" w:sz="0" w:space="0" w:color="auto"/>
                            <w:bottom w:val="none" w:sz="0" w:space="0" w:color="auto"/>
                            <w:right w:val="none" w:sz="0" w:space="0" w:color="auto"/>
                          </w:divBdr>
                          <w:divsChild>
                            <w:div w:id="689454095">
                              <w:marLeft w:val="0"/>
                              <w:marRight w:val="0"/>
                              <w:marTop w:val="0"/>
                              <w:marBottom w:val="0"/>
                              <w:divBdr>
                                <w:top w:val="none" w:sz="0" w:space="0" w:color="auto"/>
                                <w:left w:val="none" w:sz="0" w:space="0" w:color="auto"/>
                                <w:bottom w:val="none" w:sz="0" w:space="0" w:color="auto"/>
                                <w:right w:val="none" w:sz="0" w:space="0" w:color="auto"/>
                              </w:divBdr>
                              <w:divsChild>
                                <w:div w:id="6341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12891">
      <w:bodyDiv w:val="1"/>
      <w:marLeft w:val="0"/>
      <w:marRight w:val="0"/>
      <w:marTop w:val="0"/>
      <w:marBottom w:val="0"/>
      <w:divBdr>
        <w:top w:val="none" w:sz="0" w:space="0" w:color="auto"/>
        <w:left w:val="none" w:sz="0" w:space="0" w:color="auto"/>
        <w:bottom w:val="none" w:sz="0" w:space="0" w:color="auto"/>
        <w:right w:val="none" w:sz="0" w:space="0" w:color="auto"/>
      </w:divBdr>
      <w:divsChild>
        <w:div w:id="1279600963">
          <w:marLeft w:val="0"/>
          <w:marRight w:val="0"/>
          <w:marTop w:val="0"/>
          <w:marBottom w:val="120"/>
          <w:divBdr>
            <w:top w:val="none" w:sz="0" w:space="0" w:color="auto"/>
            <w:left w:val="none" w:sz="0" w:space="0" w:color="auto"/>
            <w:bottom w:val="none" w:sz="0" w:space="0" w:color="auto"/>
            <w:right w:val="none" w:sz="0" w:space="0" w:color="auto"/>
          </w:divBdr>
          <w:divsChild>
            <w:div w:id="963921073">
              <w:marLeft w:val="0"/>
              <w:marRight w:val="0"/>
              <w:marTop w:val="0"/>
              <w:marBottom w:val="0"/>
              <w:divBdr>
                <w:top w:val="none" w:sz="0" w:space="0" w:color="auto"/>
                <w:left w:val="none" w:sz="0" w:space="0" w:color="auto"/>
                <w:bottom w:val="none" w:sz="0" w:space="0" w:color="auto"/>
                <w:right w:val="none" w:sz="0" w:space="0" w:color="auto"/>
              </w:divBdr>
            </w:div>
          </w:divsChild>
        </w:div>
        <w:div w:id="6643104">
          <w:marLeft w:val="0"/>
          <w:marRight w:val="0"/>
          <w:marTop w:val="0"/>
          <w:marBottom w:val="120"/>
          <w:divBdr>
            <w:top w:val="none" w:sz="0" w:space="0" w:color="auto"/>
            <w:left w:val="none" w:sz="0" w:space="0" w:color="auto"/>
            <w:bottom w:val="none" w:sz="0" w:space="0" w:color="auto"/>
            <w:right w:val="none" w:sz="0" w:space="0" w:color="auto"/>
          </w:divBdr>
          <w:divsChild>
            <w:div w:id="1458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085029787">
      <w:bodyDiv w:val="1"/>
      <w:marLeft w:val="0"/>
      <w:marRight w:val="0"/>
      <w:marTop w:val="0"/>
      <w:marBottom w:val="0"/>
      <w:divBdr>
        <w:top w:val="none" w:sz="0" w:space="0" w:color="auto"/>
        <w:left w:val="none" w:sz="0" w:space="0" w:color="auto"/>
        <w:bottom w:val="none" w:sz="0" w:space="0" w:color="auto"/>
        <w:right w:val="none" w:sz="0" w:space="0" w:color="auto"/>
      </w:divBdr>
    </w:div>
    <w:div w:id="2102989687">
      <w:bodyDiv w:val="1"/>
      <w:marLeft w:val="0"/>
      <w:marRight w:val="0"/>
      <w:marTop w:val="0"/>
      <w:marBottom w:val="0"/>
      <w:divBdr>
        <w:top w:val="none" w:sz="0" w:space="0" w:color="auto"/>
        <w:left w:val="none" w:sz="0" w:space="0" w:color="auto"/>
        <w:bottom w:val="none" w:sz="0" w:space="0" w:color="auto"/>
        <w:right w:val="none" w:sz="0" w:space="0" w:color="auto"/>
      </w:divBdr>
    </w:div>
    <w:div w:id="2132822547">
      <w:bodyDiv w:val="1"/>
      <w:marLeft w:val="0"/>
      <w:marRight w:val="0"/>
      <w:marTop w:val="0"/>
      <w:marBottom w:val="0"/>
      <w:divBdr>
        <w:top w:val="none" w:sz="0" w:space="0" w:color="auto"/>
        <w:left w:val="none" w:sz="0" w:space="0" w:color="auto"/>
        <w:bottom w:val="none" w:sz="0" w:space="0" w:color="auto"/>
        <w:right w:val="none" w:sz="0" w:space="0" w:color="auto"/>
      </w:divBdr>
      <w:divsChild>
        <w:div w:id="1479148777">
          <w:marLeft w:val="0"/>
          <w:marRight w:val="0"/>
          <w:marTop w:val="0"/>
          <w:marBottom w:val="0"/>
          <w:divBdr>
            <w:top w:val="none" w:sz="0" w:space="0" w:color="auto"/>
            <w:left w:val="none" w:sz="0" w:space="0" w:color="auto"/>
            <w:bottom w:val="none" w:sz="0" w:space="0" w:color="auto"/>
            <w:right w:val="none" w:sz="0" w:space="0" w:color="auto"/>
          </w:divBdr>
          <w:divsChild>
            <w:div w:id="575014591">
              <w:marLeft w:val="0"/>
              <w:marRight w:val="0"/>
              <w:marTop w:val="0"/>
              <w:marBottom w:val="0"/>
              <w:divBdr>
                <w:top w:val="none" w:sz="0" w:space="0" w:color="C0C0C0"/>
                <w:left w:val="none" w:sz="0" w:space="0" w:color="C0C0C0"/>
                <w:bottom w:val="none" w:sz="0" w:space="0" w:color="C0C0C0"/>
                <w:right w:val="none" w:sz="0" w:space="0" w:color="C0C0C0"/>
              </w:divBdr>
              <w:divsChild>
                <w:div w:id="926884440">
                  <w:marLeft w:val="0"/>
                  <w:marRight w:val="0"/>
                  <w:marTop w:val="0"/>
                  <w:marBottom w:val="0"/>
                  <w:divBdr>
                    <w:top w:val="none" w:sz="0" w:space="0" w:color="auto"/>
                    <w:left w:val="none" w:sz="0" w:space="0" w:color="auto"/>
                    <w:bottom w:val="none" w:sz="0" w:space="0" w:color="auto"/>
                    <w:right w:val="none" w:sz="0" w:space="0" w:color="auto"/>
                  </w:divBdr>
                  <w:divsChild>
                    <w:div w:id="2096513270">
                      <w:marLeft w:val="0"/>
                      <w:marRight w:val="0"/>
                      <w:marTop w:val="0"/>
                      <w:marBottom w:val="0"/>
                      <w:divBdr>
                        <w:top w:val="none" w:sz="0" w:space="0" w:color="auto"/>
                        <w:left w:val="none" w:sz="0" w:space="0" w:color="auto"/>
                        <w:bottom w:val="none" w:sz="0" w:space="0" w:color="auto"/>
                        <w:right w:val="none" w:sz="0" w:space="0" w:color="auto"/>
                      </w:divBdr>
                      <w:divsChild>
                        <w:div w:id="211968467">
                          <w:marLeft w:val="150"/>
                          <w:marRight w:val="150"/>
                          <w:marTop w:val="150"/>
                          <w:marBottom w:val="150"/>
                          <w:divBdr>
                            <w:top w:val="none" w:sz="0" w:space="0" w:color="auto"/>
                            <w:left w:val="none" w:sz="0" w:space="0" w:color="auto"/>
                            <w:bottom w:val="none" w:sz="0" w:space="0" w:color="auto"/>
                            <w:right w:val="none" w:sz="0" w:space="0" w:color="auto"/>
                          </w:divBdr>
                          <w:divsChild>
                            <w:div w:id="257249356">
                              <w:marLeft w:val="0"/>
                              <w:marRight w:val="0"/>
                              <w:marTop w:val="0"/>
                              <w:marBottom w:val="0"/>
                              <w:divBdr>
                                <w:top w:val="none" w:sz="0" w:space="0" w:color="auto"/>
                                <w:left w:val="none" w:sz="0" w:space="0" w:color="auto"/>
                                <w:bottom w:val="none" w:sz="0" w:space="0" w:color="auto"/>
                                <w:right w:val="none" w:sz="0" w:space="0" w:color="auto"/>
                              </w:divBdr>
                              <w:divsChild>
                                <w:div w:id="1858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boc/downloads/pdf/Reports/BOC-Reports/2020.06_Polanco/Final_Polanco_Public_Report_1.pdf" TargetMode="External"/><Relationship Id="rId13" Type="http://schemas.openxmlformats.org/officeDocument/2006/relationships/hyperlink" Target="https://www.nytimes.com/2019/10/17/nyregion/rikers-island-closing-vote.html" TargetMode="External"/><Relationship Id="rId18" Type="http://schemas.openxmlformats.org/officeDocument/2006/relationships/hyperlink" Target="https://www.nyc.gov/site/boc/jail-regulations/task-force-on-issues-faced-by-tgncbi.page" TargetMode="External"/><Relationship Id="rId3" Type="http://schemas.openxmlformats.org/officeDocument/2006/relationships/hyperlink" Target="https://www.nytimes.com/2005/12/30/nyregion/new-york-set-to-close-jail-unit-for-gays.html" TargetMode="External"/><Relationship Id="rId7" Type="http://schemas.openxmlformats.org/officeDocument/2006/relationships/hyperlink" Target="https://www.nyc.gov/html/doc/downloads/pdf/press/DOC_OPENS_NEW_HOUSING_UNIT.pdf" TargetMode="External"/><Relationship Id="rId12" Type="http://schemas.openxmlformats.org/officeDocument/2006/relationships/hyperlink" Target="https://www.nytimes.com/2014/07/14/nyregion/rikers-study-finds-prisoners-injured-by-employees.html" TargetMode="External"/><Relationship Id="rId17" Type="http://schemas.openxmlformats.org/officeDocument/2006/relationships/hyperlink" Target="https://legistar.council.nyc.gov/LegislationDetail.aspx?ID=3923931&amp;GUID=94F7EE69-D9E4-45D2-8A98-A67C055EAE20&amp;Options=ID|Text|&amp;Search=145" TargetMode="External"/><Relationship Id="rId2" Type="http://schemas.openxmlformats.org/officeDocument/2006/relationships/hyperlink" Target="https://www.prisonpolicy.org/blog/2021/03/02/lgbtq/" TargetMode="External"/><Relationship Id="rId16" Type="http://schemas.openxmlformats.org/officeDocument/2006/relationships/hyperlink" Target="https://legistar.council.nyc.gov/LegislationDetail.aspx?ID=3923931&amp;GUID=94F7EE69-D9E4-45D2-8A98-A67C055EAE20&amp;Options=ID|Text|&amp;Search=145" TargetMode="External"/><Relationship Id="rId20" Type="http://schemas.openxmlformats.org/officeDocument/2006/relationships/hyperlink" Target="https://legistar.council.nyc.gov/LegislationDetail.aspx?ID=3923931&amp;GUID=94F7EE69-D9E4-45D2-8A98-A67C055EAE20&amp;Options=ID|Text|&amp;Search=145" TargetMode="External"/><Relationship Id="rId1" Type="http://schemas.openxmlformats.org/officeDocument/2006/relationships/hyperlink" Target="https://www.nyc.gov/site/boc/jail-regulations/task-force-on-issues-faced-by-tgncbi.page" TargetMode="External"/><Relationship Id="rId6" Type="http://schemas.openxmlformats.org/officeDocument/2006/relationships/hyperlink" Target="https://www.huffpost.com/entry/rikers-transgender-women_n_6181552" TargetMode="External"/><Relationship Id="rId11" Type="http://schemas.openxmlformats.org/officeDocument/2006/relationships/hyperlink" Target="https://abcnews.go.com/Health/shampoo-watery-soap-disinfect-conditions-rikers-island-covid/story?id=69767859" TargetMode="External"/><Relationship Id="rId5" Type="http://schemas.openxmlformats.org/officeDocument/2006/relationships/hyperlink" Target="https://www.nyc.gov/html/doc/downloads/pdf/press/DOC_OPENS_NEW_HOUSING_UNIT.pdf" TargetMode="External"/><Relationship Id="rId15" Type="http://schemas.openxmlformats.org/officeDocument/2006/relationships/hyperlink" Target="https://legistar.council.nyc.gov/LegislationDetail.aspx?ID=3923931&amp;GUID=94F7EE69-D9E4-45D2-8A98-A67C055EAE20&amp;Options=ID|Text|&amp;Search=145" TargetMode="External"/><Relationship Id="rId10" Type="http://schemas.openxmlformats.org/officeDocument/2006/relationships/hyperlink" Target="https://www.nytimes.com/2017/05/09/nyregion/rikers-inmates-who-accused-guard-of-rape-settle-suit-for-1-2-million.html" TargetMode="External"/><Relationship Id="rId19" Type="http://schemas.openxmlformats.org/officeDocument/2006/relationships/hyperlink" Target="https://www.nyc.gov/site/boc/jail-regulations/task-force-on-issues-faced-by-tgncbi.page" TargetMode="External"/><Relationship Id="rId4" Type="http://schemas.openxmlformats.org/officeDocument/2006/relationships/hyperlink" Target="https://epgn.com/2020/03/04/our-history-our-future-in-1979-rikers-island-gave-gay-prisoners-hope/" TargetMode="External"/><Relationship Id="rId9" Type="http://schemas.openxmlformats.org/officeDocument/2006/relationships/hyperlink" Target="https://www1.nyc.gov/assets/boc/downloads/pdf/Reports/BOC-Reports/2020.06_Polanco/Final_Polanco_Public_Report_1.pdf" TargetMode="External"/><Relationship Id="rId14" Type="http://schemas.openxmlformats.org/officeDocument/2006/relationships/hyperlink" Target="https://www.thecity.nyc/2020/10/19/21524219/manhattan-jail-tombs-replace-rikers-delayed-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1459-8BC7-4F81-8297-F14BE87B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6426</Words>
  <Characters>36632</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2023-01-24T22:18:00Z</dcterms:created>
  <dcterms:modified xsi:type="dcterms:W3CDTF">2023-01-24T22:18:00Z</dcterms:modified>
</cp:coreProperties>
</file>