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E66F" w14:textId="011E6426" w:rsidR="001B026B" w:rsidRDefault="00D37B78" w:rsidP="001B026B">
      <w:pPr>
        <w:ind w:firstLine="0"/>
        <w:jc w:val="center"/>
      </w:pPr>
      <w:r>
        <w:t>Prop</w:t>
      </w:r>
      <w:r w:rsidR="00680399">
        <w:t>osed</w:t>
      </w:r>
      <w:r>
        <w:t xml:space="preserve"> </w:t>
      </w:r>
      <w:r w:rsidR="001B026B">
        <w:t>Int. No.</w:t>
      </w:r>
      <w:r w:rsidR="008F0100">
        <w:t xml:space="preserve"> 518</w:t>
      </w:r>
      <w:r>
        <w:t>-A</w:t>
      </w:r>
    </w:p>
    <w:p w14:paraId="6E5EFACD" w14:textId="77777777" w:rsidR="001B026B" w:rsidRDefault="001B026B" w:rsidP="001B026B">
      <w:pPr>
        <w:ind w:firstLine="0"/>
        <w:jc w:val="center"/>
      </w:pPr>
    </w:p>
    <w:p w14:paraId="0C577EE9" w14:textId="77777777" w:rsidR="00B52991" w:rsidRDefault="00B52991" w:rsidP="00B52991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 xml:space="preserve">By Council Members Abreu, </w:t>
      </w:r>
      <w:r>
        <w:rPr>
          <w:rFonts w:eastAsiaTheme="minorHAnsi"/>
          <w:color w:val="000000"/>
        </w:rPr>
        <w:t>Hanks, Ayala, Powers, Brooks-Powers, Feliz, Salamanca, Riley, Williams, Velázquez, Brewer, Louis, Schulman, Marte, Ung, Joseph, Hudson, Restler, Dinowitz, Narcisse, Nurse, Lee, Rivera, Bottcher, Won, Menin, Mealy and De La Rosa</w:t>
      </w:r>
    </w:p>
    <w:p w14:paraId="05E94829" w14:textId="77777777" w:rsidR="007327B1" w:rsidRDefault="007327B1" w:rsidP="001B026B">
      <w:pPr>
        <w:pStyle w:val="BodyText"/>
        <w:spacing w:line="240" w:lineRule="auto"/>
        <w:ind w:firstLine="0"/>
      </w:pPr>
      <w:bookmarkStart w:id="0" w:name="_GoBack"/>
      <w:bookmarkEnd w:id="0"/>
    </w:p>
    <w:p w14:paraId="5E17C586" w14:textId="77777777" w:rsidR="00703736" w:rsidRPr="00703736" w:rsidRDefault="00703736" w:rsidP="001B026B">
      <w:pPr>
        <w:pStyle w:val="BodyText"/>
        <w:spacing w:line="240" w:lineRule="auto"/>
        <w:ind w:firstLine="0"/>
        <w:rPr>
          <w:vanish/>
        </w:rPr>
      </w:pPr>
      <w:r w:rsidRPr="00703736">
        <w:rPr>
          <w:vanish/>
        </w:rPr>
        <w:t>..Title</w:t>
      </w:r>
    </w:p>
    <w:p w14:paraId="72C3F258" w14:textId="766F0615" w:rsidR="001B026B" w:rsidRDefault="00703736" w:rsidP="001B026B">
      <w:pPr>
        <w:pStyle w:val="BodyText"/>
        <w:spacing w:line="240" w:lineRule="auto"/>
        <w:ind w:firstLine="0"/>
      </w:pPr>
      <w:r>
        <w:t>A Local Law t</w:t>
      </w:r>
      <w:r w:rsidR="00C10D50">
        <w:t>o amend the administrative code of the city of New York, in</w:t>
      </w:r>
      <w:r w:rsidR="001B026B">
        <w:t xml:space="preserve"> relation to </w:t>
      </w:r>
      <w:r w:rsidR="00145784">
        <w:t xml:space="preserve">a </w:t>
      </w:r>
      <w:r w:rsidR="0081681E">
        <w:t xml:space="preserve">study and </w:t>
      </w:r>
      <w:r w:rsidR="00145784">
        <w:t xml:space="preserve">report on </w:t>
      </w:r>
      <w:r w:rsidR="007C3744">
        <w:t>the</w:t>
      </w:r>
      <w:r w:rsidR="0066063B">
        <w:t xml:space="preserve"> </w:t>
      </w:r>
      <w:r w:rsidR="000F0D11">
        <w:t xml:space="preserve">trafficking </w:t>
      </w:r>
      <w:r w:rsidR="007C3744">
        <w:t xml:space="preserve">of </w:t>
      </w:r>
      <w:r w:rsidR="000F0D11">
        <w:t xml:space="preserve">illegal </w:t>
      </w:r>
      <w:r w:rsidR="007C3744">
        <w:t>firearms</w:t>
      </w:r>
    </w:p>
    <w:p w14:paraId="4331F440" w14:textId="3541BC28" w:rsidR="00703736" w:rsidRPr="00703736" w:rsidRDefault="00703736" w:rsidP="001B026B">
      <w:pPr>
        <w:pStyle w:val="BodyText"/>
        <w:spacing w:line="240" w:lineRule="auto"/>
        <w:ind w:firstLine="0"/>
        <w:rPr>
          <w:vanish/>
        </w:rPr>
      </w:pPr>
      <w:r w:rsidRPr="00703736">
        <w:rPr>
          <w:vanish/>
        </w:rPr>
        <w:t>..Body</w:t>
      </w:r>
    </w:p>
    <w:p w14:paraId="6234FDEC" w14:textId="77777777" w:rsidR="001B026B" w:rsidRDefault="001B026B" w:rsidP="001B026B">
      <w:pPr>
        <w:pStyle w:val="BodyText"/>
        <w:spacing w:line="240" w:lineRule="auto"/>
        <w:ind w:firstLine="0"/>
        <w:rPr>
          <w:u w:val="single"/>
        </w:rPr>
      </w:pPr>
    </w:p>
    <w:p w14:paraId="25FE2C90" w14:textId="77777777" w:rsidR="001B026B" w:rsidRDefault="001B026B" w:rsidP="001B026B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3006462" w14:textId="77777777" w:rsidR="001B026B" w:rsidRDefault="001B026B" w:rsidP="001B026B">
      <w:pPr>
        <w:jc w:val="both"/>
      </w:pPr>
    </w:p>
    <w:p w14:paraId="6117D5CC" w14:textId="77777777" w:rsidR="001B026B" w:rsidRDefault="001B026B" w:rsidP="001B026B">
      <w:pPr>
        <w:spacing w:line="480" w:lineRule="auto"/>
        <w:jc w:val="both"/>
        <w:sectPr w:rsidR="001B026B" w:rsidSect="008F0B17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CFAA2" w14:textId="643031B2" w:rsidR="00667D71" w:rsidRDefault="001B026B" w:rsidP="005905C0">
      <w:pPr>
        <w:spacing w:line="480" w:lineRule="auto"/>
        <w:jc w:val="both"/>
      </w:pPr>
      <w:r w:rsidRPr="005F7931">
        <w:t xml:space="preserve">Section 1. </w:t>
      </w:r>
      <w:r w:rsidR="00667D71">
        <w:t>Chapter 3 of title 10 of the administrative code of the city of New York is amende</w:t>
      </w:r>
      <w:r w:rsidR="002470D0">
        <w:t>d by adding a new section 10-316</w:t>
      </w:r>
      <w:r w:rsidR="00667D71">
        <w:t xml:space="preserve"> to read as follows:</w:t>
      </w:r>
    </w:p>
    <w:p w14:paraId="5972BF50" w14:textId="0ACF5DED" w:rsidR="005231C2" w:rsidRPr="00560D5B" w:rsidRDefault="00667D71" w:rsidP="0081681E">
      <w:pPr>
        <w:spacing w:line="480" w:lineRule="auto"/>
        <w:jc w:val="both"/>
        <w:rPr>
          <w:u w:val="single"/>
        </w:rPr>
      </w:pPr>
      <w:r w:rsidRPr="005C5474">
        <w:rPr>
          <w:rFonts w:eastAsia="Arial Unicode MS"/>
          <w:color w:val="000000"/>
          <w:u w:val="single"/>
        </w:rPr>
        <w:t>§ 10-31</w:t>
      </w:r>
      <w:r w:rsidR="002470D0">
        <w:rPr>
          <w:rFonts w:eastAsia="Arial Unicode MS"/>
          <w:color w:val="000000"/>
          <w:u w:val="single"/>
        </w:rPr>
        <w:t>6</w:t>
      </w:r>
      <w:r w:rsidRPr="005C5474">
        <w:rPr>
          <w:rFonts w:eastAsia="Arial Unicode MS"/>
          <w:color w:val="000000"/>
          <w:u w:val="single"/>
        </w:rPr>
        <w:t xml:space="preserve"> </w:t>
      </w:r>
      <w:r w:rsidR="00443035">
        <w:rPr>
          <w:rFonts w:eastAsia="Arial Unicode MS"/>
          <w:color w:val="000000"/>
          <w:u w:val="single"/>
        </w:rPr>
        <w:t>Firearm trafficking report</w:t>
      </w:r>
      <w:r w:rsidRPr="005C5474">
        <w:rPr>
          <w:rFonts w:eastAsia="Arial Unicode MS"/>
          <w:color w:val="000000"/>
          <w:u w:val="single"/>
        </w:rPr>
        <w:t xml:space="preserve">. </w:t>
      </w:r>
      <w:r w:rsidR="00AD02DD">
        <w:rPr>
          <w:rFonts w:eastAsia="Arial Unicode MS"/>
          <w:color w:val="000000"/>
          <w:u w:val="single"/>
        </w:rPr>
        <w:t xml:space="preserve">a. </w:t>
      </w:r>
      <w:r w:rsidR="00FE43AA">
        <w:rPr>
          <w:u w:val="single"/>
        </w:rPr>
        <w:t>T</w:t>
      </w:r>
      <w:r w:rsidR="005231C2" w:rsidRPr="005C5474">
        <w:rPr>
          <w:u w:val="single"/>
        </w:rPr>
        <w:t xml:space="preserve">he </w:t>
      </w:r>
      <w:r w:rsidR="009741D6">
        <w:rPr>
          <w:u w:val="single"/>
        </w:rPr>
        <w:t xml:space="preserve">mayor’s </w:t>
      </w:r>
      <w:r w:rsidR="005231C2" w:rsidRPr="005C5474">
        <w:rPr>
          <w:u w:val="single"/>
        </w:rPr>
        <w:t xml:space="preserve">office </w:t>
      </w:r>
      <w:r w:rsidR="00101513">
        <w:rPr>
          <w:u w:val="single"/>
        </w:rPr>
        <w:t xml:space="preserve">of </w:t>
      </w:r>
      <w:r w:rsidR="00E94AE9">
        <w:rPr>
          <w:u w:val="single"/>
        </w:rPr>
        <w:t>criminal justice</w:t>
      </w:r>
      <w:r w:rsidR="005231C2" w:rsidRPr="005C5474">
        <w:rPr>
          <w:u w:val="single"/>
        </w:rPr>
        <w:t xml:space="preserve"> shall coordinate with the police department to </w:t>
      </w:r>
      <w:r w:rsidR="007B1B8D" w:rsidRPr="005C5474">
        <w:rPr>
          <w:u w:val="single"/>
        </w:rPr>
        <w:t xml:space="preserve">conduct a study </w:t>
      </w:r>
      <w:r w:rsidR="005231C2" w:rsidRPr="005C5474">
        <w:rPr>
          <w:u w:val="single"/>
        </w:rPr>
        <w:t xml:space="preserve">on </w:t>
      </w:r>
      <w:r w:rsidR="00443035">
        <w:rPr>
          <w:u w:val="single"/>
        </w:rPr>
        <w:t xml:space="preserve">reducing </w:t>
      </w:r>
      <w:r w:rsidR="00AD518B" w:rsidRPr="005C5474">
        <w:rPr>
          <w:u w:val="single"/>
        </w:rPr>
        <w:t xml:space="preserve">the </w:t>
      </w:r>
      <w:r w:rsidR="00443035">
        <w:rPr>
          <w:u w:val="single"/>
        </w:rPr>
        <w:t>flow of firearms into the city</w:t>
      </w:r>
      <w:r w:rsidR="00DC18E7">
        <w:rPr>
          <w:u w:val="single"/>
        </w:rPr>
        <w:t xml:space="preserve"> </w:t>
      </w:r>
      <w:r w:rsidR="00CD2BB3" w:rsidRPr="005C5474">
        <w:rPr>
          <w:u w:val="single"/>
        </w:rPr>
        <w:t xml:space="preserve">and shall submit a report to the mayor and the speaker of the council </w:t>
      </w:r>
      <w:r w:rsidR="00DC18E7">
        <w:rPr>
          <w:u w:val="single"/>
        </w:rPr>
        <w:t>n</w:t>
      </w:r>
      <w:r w:rsidR="00DC18E7" w:rsidRPr="005C5474">
        <w:rPr>
          <w:u w:val="single"/>
        </w:rPr>
        <w:t>o later than December 1, 202</w:t>
      </w:r>
      <w:r w:rsidR="00813254">
        <w:rPr>
          <w:u w:val="single"/>
        </w:rPr>
        <w:t>2</w:t>
      </w:r>
      <w:r w:rsidR="00DC18E7" w:rsidRPr="005C5474">
        <w:rPr>
          <w:u w:val="single"/>
        </w:rPr>
        <w:t xml:space="preserve">, </w:t>
      </w:r>
      <w:r w:rsidR="00DC18E7">
        <w:rPr>
          <w:u w:val="single"/>
        </w:rPr>
        <w:t>and annually thereafter</w:t>
      </w:r>
      <w:r w:rsidR="005231C2" w:rsidRPr="005C5474">
        <w:rPr>
          <w:u w:val="single"/>
        </w:rPr>
        <w:t xml:space="preserve">. </w:t>
      </w:r>
      <w:r w:rsidR="00570948">
        <w:rPr>
          <w:u w:val="single"/>
        </w:rPr>
        <w:t>S</w:t>
      </w:r>
      <w:r w:rsidR="007B1B8D" w:rsidRPr="005C5474">
        <w:rPr>
          <w:u w:val="single"/>
        </w:rPr>
        <w:t>uch study</w:t>
      </w:r>
      <w:r w:rsidR="00B770D5" w:rsidRPr="005C5474">
        <w:rPr>
          <w:u w:val="single"/>
        </w:rPr>
        <w:t xml:space="preserve"> and report</w:t>
      </w:r>
      <w:r w:rsidR="007B1B8D" w:rsidRPr="005C5474">
        <w:rPr>
          <w:u w:val="single"/>
        </w:rPr>
        <w:t xml:space="preserve"> shall </w:t>
      </w:r>
      <w:r w:rsidR="00570948">
        <w:rPr>
          <w:u w:val="single"/>
        </w:rPr>
        <w:t>include</w:t>
      </w:r>
      <w:r w:rsidR="00997527">
        <w:rPr>
          <w:u w:val="single"/>
        </w:rPr>
        <w:t xml:space="preserve"> the following information for the preceding calendar year</w:t>
      </w:r>
      <w:r w:rsidR="007B1B8D" w:rsidRPr="005C5474">
        <w:rPr>
          <w:u w:val="single"/>
        </w:rPr>
        <w:t>:</w:t>
      </w:r>
      <w:r w:rsidR="005231C2" w:rsidRPr="005C5474">
        <w:rPr>
          <w:u w:val="single"/>
        </w:rPr>
        <w:t xml:space="preserve"> </w:t>
      </w:r>
    </w:p>
    <w:p w14:paraId="2711D6F4" w14:textId="5D5C915E" w:rsidR="00AD02DD" w:rsidRDefault="00AD02DD" w:rsidP="00AD02DD">
      <w:pPr>
        <w:spacing w:line="480" w:lineRule="auto"/>
        <w:jc w:val="both"/>
        <w:rPr>
          <w:u w:val="single"/>
        </w:rPr>
      </w:pPr>
      <w:r w:rsidRPr="005C5474">
        <w:rPr>
          <w:u w:val="single"/>
        </w:rPr>
        <w:t xml:space="preserve">1. </w:t>
      </w:r>
      <w:r>
        <w:rPr>
          <w:u w:val="single"/>
        </w:rPr>
        <w:t>For</w:t>
      </w:r>
      <w:r w:rsidRPr="005C5474">
        <w:rPr>
          <w:u w:val="single"/>
        </w:rPr>
        <w:t xml:space="preserve"> </w:t>
      </w:r>
      <w:r>
        <w:rPr>
          <w:u w:val="single"/>
        </w:rPr>
        <w:t xml:space="preserve">each </w:t>
      </w:r>
      <w:r w:rsidRPr="005C5474">
        <w:rPr>
          <w:u w:val="single"/>
        </w:rPr>
        <w:t>firearm</w:t>
      </w:r>
      <w:r>
        <w:rPr>
          <w:u w:val="single"/>
        </w:rPr>
        <w:t xml:space="preserve"> </w:t>
      </w:r>
      <w:r w:rsidRPr="005C5474">
        <w:rPr>
          <w:u w:val="single"/>
        </w:rPr>
        <w:t>seized or surrendered in the city</w:t>
      </w:r>
      <w:r>
        <w:rPr>
          <w:u w:val="single"/>
        </w:rPr>
        <w:t xml:space="preserve"> and obtained by the police department:</w:t>
      </w:r>
    </w:p>
    <w:p w14:paraId="72700689" w14:textId="77777777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(a)</w:t>
      </w:r>
      <w:r w:rsidRPr="00D64944">
        <w:rPr>
          <w:u w:val="single"/>
        </w:rPr>
        <w:t xml:space="preserve"> </w:t>
      </w:r>
      <w:r>
        <w:rPr>
          <w:u w:val="single"/>
        </w:rPr>
        <w:t>Whether the firearm was connected to a crime;</w:t>
      </w:r>
    </w:p>
    <w:p w14:paraId="4EB7A2F1" w14:textId="77777777" w:rsidR="00AD02DD" w:rsidRPr="005C5474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(b) Where the firearm originated, including where it </w:t>
      </w:r>
      <w:r w:rsidRPr="005C5474">
        <w:rPr>
          <w:u w:val="single"/>
        </w:rPr>
        <w:t>w</w:t>
      </w:r>
      <w:r>
        <w:rPr>
          <w:u w:val="single"/>
        </w:rPr>
        <w:t>as</w:t>
      </w:r>
      <w:r w:rsidRPr="005C5474">
        <w:rPr>
          <w:u w:val="single"/>
        </w:rPr>
        <w:t xml:space="preserve"> </w:t>
      </w:r>
      <w:r>
        <w:rPr>
          <w:u w:val="single"/>
        </w:rPr>
        <w:t>first</w:t>
      </w:r>
      <w:r w:rsidRPr="005C5474">
        <w:rPr>
          <w:u w:val="single"/>
        </w:rPr>
        <w:t xml:space="preserve"> sold, manufactured,</w:t>
      </w:r>
      <w:r>
        <w:rPr>
          <w:u w:val="single"/>
        </w:rPr>
        <w:t xml:space="preserve"> </w:t>
      </w:r>
      <w:r w:rsidRPr="005C5474">
        <w:rPr>
          <w:u w:val="single"/>
        </w:rPr>
        <w:t>imported or assembled;</w:t>
      </w:r>
    </w:p>
    <w:p w14:paraId="75F2C40D" w14:textId="6A204FF3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(c)</w:t>
      </w:r>
      <w:r w:rsidRPr="005C5474">
        <w:rPr>
          <w:u w:val="single"/>
        </w:rPr>
        <w:t xml:space="preserve"> </w:t>
      </w:r>
      <w:r>
        <w:rPr>
          <w:u w:val="single"/>
        </w:rPr>
        <w:t>T</w:t>
      </w:r>
      <w:r w:rsidRPr="00A06CEE">
        <w:rPr>
          <w:u w:val="single"/>
        </w:rPr>
        <w:t>he date such firearm was</w:t>
      </w:r>
      <w:r w:rsidR="001041F8">
        <w:rPr>
          <w:u w:val="single"/>
        </w:rPr>
        <w:t xml:space="preserve"> seized or surrendered and</w:t>
      </w:r>
      <w:r w:rsidRPr="00A06CEE">
        <w:rPr>
          <w:u w:val="single"/>
        </w:rPr>
        <w:t xml:space="preserve"> </w:t>
      </w:r>
      <w:r w:rsidR="0079450D">
        <w:rPr>
          <w:u w:val="single"/>
        </w:rPr>
        <w:t xml:space="preserve">the </w:t>
      </w:r>
      <w:r w:rsidR="001041F8">
        <w:rPr>
          <w:u w:val="single"/>
        </w:rPr>
        <w:t xml:space="preserve">date such firearm was </w:t>
      </w:r>
      <w:r w:rsidRPr="00A06CEE">
        <w:rPr>
          <w:u w:val="single"/>
        </w:rPr>
        <w:t>last sold</w:t>
      </w:r>
      <w:r w:rsidR="00EC0CAD">
        <w:rPr>
          <w:u w:val="single"/>
        </w:rPr>
        <w:t xml:space="preserve"> legally</w:t>
      </w:r>
      <w:r w:rsidRPr="00A06CEE">
        <w:rPr>
          <w:u w:val="single"/>
        </w:rPr>
        <w:t>;</w:t>
      </w:r>
    </w:p>
    <w:p w14:paraId="0BA627F5" w14:textId="54E01FEC" w:rsidR="00FC5781" w:rsidRPr="00F12829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603345">
        <w:rPr>
          <w:u w:val="single"/>
        </w:rPr>
        <w:t>d</w:t>
      </w:r>
      <w:r>
        <w:rPr>
          <w:u w:val="single"/>
        </w:rPr>
        <w:t xml:space="preserve">) </w:t>
      </w:r>
      <w:r w:rsidR="007F7309" w:rsidRPr="007F7309">
        <w:rPr>
          <w:color w:val="000000"/>
          <w:u w:val="single"/>
          <w:shd w:val="clear" w:color="auto" w:fill="FFFFFF"/>
        </w:rPr>
        <w:t>The location of such seizure, including latitude and longitude if available, but in all cases at least as specific as the nearest intersection</w:t>
      </w:r>
      <w:r>
        <w:rPr>
          <w:u w:val="single"/>
        </w:rPr>
        <w:t>;</w:t>
      </w:r>
    </w:p>
    <w:p w14:paraId="51DDAE89" w14:textId="26586BF7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603345">
        <w:rPr>
          <w:u w:val="single"/>
        </w:rPr>
        <w:t>e</w:t>
      </w:r>
      <w:r>
        <w:rPr>
          <w:u w:val="single"/>
        </w:rPr>
        <w:t>) T</w:t>
      </w:r>
      <w:r w:rsidRPr="005C5474">
        <w:rPr>
          <w:u w:val="single"/>
        </w:rPr>
        <w:t xml:space="preserve">he type of </w:t>
      </w:r>
      <w:r>
        <w:rPr>
          <w:u w:val="single"/>
        </w:rPr>
        <w:t xml:space="preserve">such </w:t>
      </w:r>
      <w:r w:rsidRPr="005C5474">
        <w:rPr>
          <w:u w:val="single"/>
        </w:rPr>
        <w:t>firearm</w:t>
      </w:r>
      <w:r>
        <w:rPr>
          <w:u w:val="single"/>
        </w:rPr>
        <w:t>;</w:t>
      </w:r>
    </w:p>
    <w:p w14:paraId="407D9D87" w14:textId="4CAF2555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363521">
        <w:rPr>
          <w:u w:val="single"/>
        </w:rPr>
        <w:t>f</w:t>
      </w:r>
      <w:r>
        <w:rPr>
          <w:u w:val="single"/>
        </w:rPr>
        <w:t>) T</w:t>
      </w:r>
      <w:r w:rsidRPr="005C5474">
        <w:rPr>
          <w:u w:val="single"/>
        </w:rPr>
        <w:t>he manufacturer or importer of such firearm</w:t>
      </w:r>
      <w:r>
        <w:rPr>
          <w:u w:val="single"/>
        </w:rPr>
        <w:t>;</w:t>
      </w:r>
      <w:r w:rsidRPr="005C5474">
        <w:rPr>
          <w:u w:val="single"/>
        </w:rPr>
        <w:t xml:space="preserve"> </w:t>
      </w:r>
    </w:p>
    <w:p w14:paraId="2E112321" w14:textId="2C458741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(</w:t>
      </w:r>
      <w:r w:rsidR="00363521">
        <w:rPr>
          <w:u w:val="single"/>
        </w:rPr>
        <w:t>g</w:t>
      </w:r>
      <w:r>
        <w:rPr>
          <w:u w:val="single"/>
        </w:rPr>
        <w:t>) W</w:t>
      </w:r>
      <w:r w:rsidRPr="00A06CEE">
        <w:rPr>
          <w:u w:val="single"/>
        </w:rPr>
        <w:t xml:space="preserve">hether the firearm </w:t>
      </w:r>
      <w:r w:rsidR="0008481C">
        <w:rPr>
          <w:u w:val="single"/>
        </w:rPr>
        <w:t>was</w:t>
      </w:r>
      <w:r w:rsidRPr="00A06CEE">
        <w:rPr>
          <w:u w:val="single"/>
        </w:rPr>
        <w:t xml:space="preserve"> a ghost gun or a firearm created using a three-dimensional printer, and </w:t>
      </w:r>
      <w:r>
        <w:rPr>
          <w:u w:val="single"/>
        </w:rPr>
        <w:t>if so</w:t>
      </w:r>
      <w:r w:rsidR="0008481C">
        <w:rPr>
          <w:u w:val="single"/>
        </w:rPr>
        <w:t>,</w:t>
      </w:r>
      <w:r>
        <w:rPr>
          <w:u w:val="single"/>
        </w:rPr>
        <w:t xml:space="preserve"> </w:t>
      </w:r>
      <w:r w:rsidRPr="00A06CEE">
        <w:rPr>
          <w:u w:val="single"/>
        </w:rPr>
        <w:t>the entities that produced such firearm or parts thereof;</w:t>
      </w:r>
    </w:p>
    <w:p w14:paraId="627D6FB8" w14:textId="2C2AD16A" w:rsidR="00AD02DD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363521">
        <w:rPr>
          <w:u w:val="single"/>
        </w:rPr>
        <w:t>h</w:t>
      </w:r>
      <w:r>
        <w:rPr>
          <w:u w:val="single"/>
        </w:rPr>
        <w:t>) T</w:t>
      </w:r>
      <w:r w:rsidRPr="005C5474">
        <w:rPr>
          <w:u w:val="single"/>
        </w:rPr>
        <w:t>he dealer of such firearm</w:t>
      </w:r>
      <w:r>
        <w:rPr>
          <w:u w:val="single"/>
        </w:rPr>
        <w:t xml:space="preserve"> and</w:t>
      </w:r>
      <w:r w:rsidRPr="005C5474">
        <w:rPr>
          <w:u w:val="single"/>
        </w:rPr>
        <w:t xml:space="preserve"> whether such dealer </w:t>
      </w:r>
      <w:r w:rsidR="0008481C">
        <w:rPr>
          <w:u w:val="single"/>
        </w:rPr>
        <w:t>was</w:t>
      </w:r>
      <w:r w:rsidRPr="005C5474">
        <w:rPr>
          <w:u w:val="single"/>
        </w:rPr>
        <w:t xml:space="preserve"> licensed</w:t>
      </w:r>
      <w:r>
        <w:rPr>
          <w:u w:val="single"/>
        </w:rPr>
        <w:t>; and</w:t>
      </w:r>
    </w:p>
    <w:p w14:paraId="0133D1AB" w14:textId="7697F7C0" w:rsidR="00AD02DD" w:rsidRPr="005C5474" w:rsidRDefault="00AD02DD" w:rsidP="00AD02DD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363521">
        <w:rPr>
          <w:u w:val="single"/>
        </w:rPr>
        <w:t>i</w:t>
      </w:r>
      <w:r>
        <w:rPr>
          <w:u w:val="single"/>
        </w:rPr>
        <w:t>) W</w:t>
      </w:r>
      <w:r w:rsidRPr="005C5474">
        <w:rPr>
          <w:u w:val="single"/>
        </w:rPr>
        <w:t xml:space="preserve">hether the firearm </w:t>
      </w:r>
      <w:r w:rsidR="0008481C">
        <w:rPr>
          <w:u w:val="single"/>
        </w:rPr>
        <w:t>was</w:t>
      </w:r>
      <w:r w:rsidRPr="005C5474">
        <w:rPr>
          <w:u w:val="single"/>
        </w:rPr>
        <w:t xml:space="preserve"> registered in any registry, including the national firearms registration and transfer record</w:t>
      </w:r>
      <w:r w:rsidR="001A3409">
        <w:rPr>
          <w:u w:val="single"/>
        </w:rPr>
        <w:t>.</w:t>
      </w:r>
      <w:r w:rsidRPr="005C5474">
        <w:rPr>
          <w:u w:val="single"/>
        </w:rPr>
        <w:t xml:space="preserve"> </w:t>
      </w:r>
    </w:p>
    <w:p w14:paraId="4D2D1220" w14:textId="22B3D57E" w:rsidR="00570948" w:rsidRDefault="000C6E04" w:rsidP="00693DB1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AD02DD">
        <w:rPr>
          <w:u w:val="single"/>
        </w:rPr>
        <w:t>.</w:t>
      </w:r>
      <w:r w:rsidR="3F77E80B" w:rsidRPr="04CF4A3A">
        <w:rPr>
          <w:u w:val="single"/>
        </w:rPr>
        <w:t xml:space="preserve"> </w:t>
      </w:r>
      <w:r w:rsidR="2505CE91" w:rsidRPr="04CF4A3A">
        <w:rPr>
          <w:u w:val="single"/>
        </w:rPr>
        <w:t>A review of the ways firearms are illegally transported into the city, including through roadways on and connected to interstate 95 and sea ports or bodies of water;</w:t>
      </w:r>
    </w:p>
    <w:p w14:paraId="3ECCBEF0" w14:textId="6811F4AC" w:rsidR="00442854" w:rsidRDefault="000C6E04" w:rsidP="005131E2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881941" w:rsidRPr="005C5474">
        <w:rPr>
          <w:u w:val="single"/>
        </w:rPr>
        <w:t xml:space="preserve">. </w:t>
      </w:r>
      <w:r w:rsidR="00442854">
        <w:rPr>
          <w:u w:val="single"/>
        </w:rPr>
        <w:t>A review of t</w:t>
      </w:r>
      <w:r w:rsidR="005E0AF2" w:rsidRPr="005C5474">
        <w:rPr>
          <w:u w:val="single"/>
        </w:rPr>
        <w:t xml:space="preserve">he ways states and municipalities </w:t>
      </w:r>
      <w:r w:rsidR="00442854">
        <w:rPr>
          <w:u w:val="single"/>
        </w:rPr>
        <w:t>collaborate</w:t>
      </w:r>
      <w:r w:rsidR="00442854" w:rsidRPr="005C5474">
        <w:rPr>
          <w:u w:val="single"/>
        </w:rPr>
        <w:t xml:space="preserve"> </w:t>
      </w:r>
      <w:r w:rsidR="005E0AF2" w:rsidRPr="005C5474">
        <w:rPr>
          <w:u w:val="single"/>
        </w:rPr>
        <w:t>to prevent illegal transportation of firearms</w:t>
      </w:r>
      <w:r w:rsidR="00442854">
        <w:rPr>
          <w:u w:val="single"/>
        </w:rPr>
        <w:t xml:space="preserve">, and recommendations </w:t>
      </w:r>
      <w:r w:rsidR="005E0AF2" w:rsidRPr="005C5474">
        <w:rPr>
          <w:u w:val="single"/>
        </w:rPr>
        <w:t xml:space="preserve">to </w:t>
      </w:r>
      <w:r w:rsidR="00442854">
        <w:rPr>
          <w:u w:val="single"/>
        </w:rPr>
        <w:t>strengthen</w:t>
      </w:r>
      <w:r w:rsidR="00442854" w:rsidRPr="005C5474">
        <w:rPr>
          <w:u w:val="single"/>
        </w:rPr>
        <w:t xml:space="preserve"> </w:t>
      </w:r>
      <w:r w:rsidR="00442854">
        <w:rPr>
          <w:u w:val="single"/>
        </w:rPr>
        <w:t xml:space="preserve">such </w:t>
      </w:r>
      <w:r w:rsidR="005E0AF2" w:rsidRPr="005C5474">
        <w:rPr>
          <w:u w:val="single"/>
        </w:rPr>
        <w:t>collaboration</w:t>
      </w:r>
      <w:r w:rsidR="00442854">
        <w:rPr>
          <w:u w:val="single"/>
        </w:rPr>
        <w:t>,</w:t>
      </w:r>
      <w:r w:rsidR="005E0AF2" w:rsidRPr="005C5474">
        <w:rPr>
          <w:u w:val="single"/>
        </w:rPr>
        <w:t xml:space="preserve"> </w:t>
      </w:r>
      <w:r w:rsidR="002E72BE" w:rsidRPr="005C5474">
        <w:rPr>
          <w:u w:val="single"/>
        </w:rPr>
        <w:t>including</w:t>
      </w:r>
      <w:r w:rsidR="00442854">
        <w:rPr>
          <w:u w:val="single"/>
        </w:rPr>
        <w:t>:</w:t>
      </w:r>
      <w:r w:rsidR="002E72BE" w:rsidRPr="005C5474">
        <w:rPr>
          <w:u w:val="single"/>
        </w:rPr>
        <w:t xml:space="preserve"> </w:t>
      </w:r>
    </w:p>
    <w:p w14:paraId="024ABC85" w14:textId="13E469A4" w:rsidR="005E0AF2" w:rsidRPr="005C5474" w:rsidRDefault="00442854" w:rsidP="005131E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(a) Recommendations for strengthening </w:t>
      </w:r>
      <w:r w:rsidR="002E72BE" w:rsidRPr="005C5474">
        <w:rPr>
          <w:u w:val="single"/>
        </w:rPr>
        <w:t xml:space="preserve">collaboration between the </w:t>
      </w:r>
      <w:r w:rsidR="007B1B9E">
        <w:rPr>
          <w:u w:val="single"/>
        </w:rPr>
        <w:t xml:space="preserve">mayor’s </w:t>
      </w:r>
      <w:r w:rsidR="00050120">
        <w:rPr>
          <w:u w:val="single"/>
        </w:rPr>
        <w:t xml:space="preserve">office </w:t>
      </w:r>
      <w:r w:rsidR="007B1B9E">
        <w:rPr>
          <w:u w:val="single"/>
        </w:rPr>
        <w:t>of criminal justice</w:t>
      </w:r>
      <w:r w:rsidR="00050120">
        <w:rPr>
          <w:u w:val="single"/>
        </w:rPr>
        <w:t xml:space="preserve">, the police </w:t>
      </w:r>
      <w:r w:rsidR="002E72BE" w:rsidRPr="005C5474">
        <w:rPr>
          <w:u w:val="single"/>
        </w:rPr>
        <w:t>department</w:t>
      </w:r>
      <w:r w:rsidR="007B14EE">
        <w:rPr>
          <w:u w:val="single"/>
        </w:rPr>
        <w:t>,</w:t>
      </w:r>
      <w:r w:rsidR="002E72BE" w:rsidRPr="005C5474">
        <w:rPr>
          <w:u w:val="single"/>
        </w:rPr>
        <w:t xml:space="preserve"> </w:t>
      </w:r>
      <w:r w:rsidR="007F7C12" w:rsidRPr="005C5474">
        <w:rPr>
          <w:u w:val="single"/>
        </w:rPr>
        <w:t xml:space="preserve">the bureau of alcohol, tobacco, firearms and explosives and </w:t>
      </w:r>
      <w:r w:rsidR="00E57C2C" w:rsidRPr="005C5474">
        <w:rPr>
          <w:u w:val="single"/>
        </w:rPr>
        <w:t xml:space="preserve">other </w:t>
      </w:r>
      <w:r w:rsidR="002E72BE" w:rsidRPr="005C5474">
        <w:rPr>
          <w:u w:val="single"/>
        </w:rPr>
        <w:t>relevant state and federal agencies</w:t>
      </w:r>
      <w:r w:rsidR="005E0AF2" w:rsidRPr="005C5474">
        <w:rPr>
          <w:u w:val="single"/>
        </w:rPr>
        <w:t>;</w:t>
      </w:r>
    </w:p>
    <w:p w14:paraId="69319F9B" w14:textId="684CABD8" w:rsidR="00442854" w:rsidRDefault="00442854" w:rsidP="001B026B">
      <w:pPr>
        <w:spacing w:line="480" w:lineRule="auto"/>
        <w:jc w:val="both"/>
        <w:rPr>
          <w:u w:val="single"/>
        </w:rPr>
      </w:pPr>
      <w:r>
        <w:rPr>
          <w:u w:val="single"/>
        </w:rPr>
        <w:t>(b)</w:t>
      </w:r>
      <w:r w:rsidR="00056A49" w:rsidRPr="005C5474">
        <w:rPr>
          <w:u w:val="single"/>
        </w:rPr>
        <w:t xml:space="preserve"> </w:t>
      </w:r>
      <w:r>
        <w:rPr>
          <w:u w:val="single"/>
        </w:rPr>
        <w:t>Recommendation</w:t>
      </w:r>
      <w:r w:rsidR="005131E2">
        <w:rPr>
          <w:u w:val="single"/>
        </w:rPr>
        <w:t>s</w:t>
      </w:r>
      <w:r>
        <w:rPr>
          <w:u w:val="single"/>
        </w:rPr>
        <w:t xml:space="preserve"> for strengthening law enforcement’s ability to trace firearms, including </w:t>
      </w:r>
      <w:r w:rsidR="005131E2">
        <w:rPr>
          <w:u w:val="single"/>
        </w:rPr>
        <w:t xml:space="preserve">whether increased </w:t>
      </w:r>
      <w:r w:rsidR="00056A49" w:rsidRPr="005C5474">
        <w:rPr>
          <w:u w:val="single"/>
        </w:rPr>
        <w:t>microstamping</w:t>
      </w:r>
      <w:r w:rsidR="005131E2">
        <w:rPr>
          <w:u w:val="single"/>
        </w:rPr>
        <w:t xml:space="preserve"> would be feasible and effective</w:t>
      </w:r>
      <w:r>
        <w:rPr>
          <w:u w:val="single"/>
        </w:rPr>
        <w:t>;</w:t>
      </w:r>
    </w:p>
    <w:p w14:paraId="1801D732" w14:textId="4FCEE500" w:rsidR="00442854" w:rsidRDefault="00442854" w:rsidP="001B026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(c) </w:t>
      </w:r>
      <w:r w:rsidR="005131E2">
        <w:rPr>
          <w:u w:val="single"/>
        </w:rPr>
        <w:t>Recommendations for implementing a shared</w:t>
      </w:r>
      <w:r w:rsidR="00056A49" w:rsidRPr="005C5474">
        <w:rPr>
          <w:u w:val="single"/>
        </w:rPr>
        <w:t xml:space="preserve"> electronic tracking system to identify dealers</w:t>
      </w:r>
      <w:r w:rsidR="007F7C12" w:rsidRPr="005C5474">
        <w:rPr>
          <w:u w:val="single"/>
        </w:rPr>
        <w:t xml:space="preserve"> who have sold a particular firearm</w:t>
      </w:r>
      <w:r>
        <w:rPr>
          <w:u w:val="single"/>
        </w:rPr>
        <w:t>;</w:t>
      </w:r>
      <w:r w:rsidR="00056A49" w:rsidRPr="005C5474">
        <w:rPr>
          <w:u w:val="single"/>
        </w:rPr>
        <w:t xml:space="preserve"> and</w:t>
      </w:r>
    </w:p>
    <w:p w14:paraId="6CC1D660" w14:textId="6AFBA999" w:rsidR="00570948" w:rsidRDefault="00442854" w:rsidP="001B026B">
      <w:pPr>
        <w:spacing w:line="480" w:lineRule="auto"/>
        <w:jc w:val="both"/>
        <w:rPr>
          <w:u w:val="single"/>
        </w:rPr>
      </w:pPr>
      <w:r>
        <w:rPr>
          <w:u w:val="single"/>
        </w:rPr>
        <w:t>(d) E</w:t>
      </w:r>
      <w:r w:rsidR="00056A49" w:rsidRPr="005C5474">
        <w:rPr>
          <w:u w:val="single"/>
        </w:rPr>
        <w:t>xamining the value of establishing a firearm dealer code of conduct</w:t>
      </w:r>
      <w:r w:rsidR="001B229B" w:rsidRPr="005C5474">
        <w:rPr>
          <w:u w:val="single"/>
        </w:rPr>
        <w:t>,</w:t>
      </w:r>
      <w:r w:rsidR="00092A76" w:rsidRPr="005C5474">
        <w:rPr>
          <w:u w:val="single"/>
        </w:rPr>
        <w:t xml:space="preserve"> </w:t>
      </w:r>
      <w:r w:rsidR="001B229B" w:rsidRPr="005C5474">
        <w:rPr>
          <w:u w:val="single"/>
        </w:rPr>
        <w:t>including</w:t>
      </w:r>
      <w:r w:rsidR="00092A76" w:rsidRPr="005C5474">
        <w:rPr>
          <w:u w:val="single"/>
        </w:rPr>
        <w:t xml:space="preserve"> recommendations</w:t>
      </w:r>
      <w:r w:rsidR="001B229B" w:rsidRPr="005C5474">
        <w:rPr>
          <w:u w:val="single"/>
        </w:rPr>
        <w:t xml:space="preserve"> for provisions that should be included in such dealer code of conduct</w:t>
      </w:r>
      <w:r w:rsidR="00570948">
        <w:rPr>
          <w:u w:val="single"/>
        </w:rPr>
        <w:t>;</w:t>
      </w:r>
    </w:p>
    <w:p w14:paraId="100E51EE" w14:textId="36A8DD76" w:rsidR="00570948" w:rsidRPr="005C5474" w:rsidRDefault="00570948" w:rsidP="00570948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Pr="005C5474">
        <w:rPr>
          <w:u w:val="single"/>
        </w:rPr>
        <w:t>. Recommendations for policies to prevent access to firearms by individuals who are likely to harm themselves or others;</w:t>
      </w:r>
    </w:p>
    <w:p w14:paraId="1069BF53" w14:textId="47A5B825" w:rsidR="00570948" w:rsidRPr="005C5474" w:rsidRDefault="00570948" w:rsidP="00570948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Pr="005C5474">
        <w:rPr>
          <w:u w:val="single"/>
        </w:rPr>
        <w:t>. Recommendations for youth</w:t>
      </w:r>
      <w:r w:rsidR="0008481C">
        <w:rPr>
          <w:u w:val="single"/>
        </w:rPr>
        <w:t xml:space="preserve">-related </w:t>
      </w:r>
      <w:r w:rsidRPr="005C5474">
        <w:rPr>
          <w:u w:val="single"/>
        </w:rPr>
        <w:t>program</w:t>
      </w:r>
      <w:r w:rsidR="0008481C">
        <w:rPr>
          <w:u w:val="single"/>
        </w:rPr>
        <w:t>s</w:t>
      </w:r>
      <w:r w:rsidRPr="005C5474">
        <w:rPr>
          <w:u w:val="single"/>
        </w:rPr>
        <w:t xml:space="preserve"> to discourage the use of firearms by minors;</w:t>
      </w:r>
      <w:r>
        <w:rPr>
          <w:u w:val="single"/>
        </w:rPr>
        <w:t xml:space="preserve"> </w:t>
      </w:r>
    </w:p>
    <w:p w14:paraId="6B0921A8" w14:textId="69360B96" w:rsidR="005E0AF2" w:rsidRDefault="00570948" w:rsidP="00570948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6</w:t>
      </w:r>
      <w:r w:rsidRPr="005C5474">
        <w:rPr>
          <w:u w:val="single"/>
        </w:rPr>
        <w:t>. Recommendations for crime prevention through environmental design improvements, including addit</w:t>
      </w:r>
      <w:r>
        <w:rPr>
          <w:u w:val="single"/>
        </w:rPr>
        <w:t>ional lighting in public spaces</w:t>
      </w:r>
      <w:r w:rsidR="008B0B21">
        <w:rPr>
          <w:u w:val="single"/>
        </w:rPr>
        <w:t>; and</w:t>
      </w:r>
    </w:p>
    <w:p w14:paraId="2093B82E" w14:textId="6734012A" w:rsidR="00613D76" w:rsidRPr="00D263B6" w:rsidRDefault="000C6E04" w:rsidP="00570948">
      <w:pPr>
        <w:spacing w:line="480" w:lineRule="auto"/>
        <w:jc w:val="both"/>
        <w:rPr>
          <w:u w:val="single"/>
        </w:rPr>
      </w:pPr>
      <w:r>
        <w:rPr>
          <w:u w:val="single"/>
        </w:rPr>
        <w:t>7</w:t>
      </w:r>
      <w:r w:rsidR="00613D76">
        <w:rPr>
          <w:u w:val="single"/>
        </w:rPr>
        <w:t xml:space="preserve">. </w:t>
      </w:r>
      <w:r w:rsidR="00613D76" w:rsidRPr="00D263B6">
        <w:rPr>
          <w:u w:val="single"/>
        </w:rPr>
        <w:t>I</w:t>
      </w:r>
      <w:r w:rsidR="00D263B6" w:rsidRPr="00D263B6">
        <w:rPr>
          <w:u w:val="single"/>
        </w:rPr>
        <w:t>mpediments</w:t>
      </w:r>
      <w:r w:rsidR="00613D76" w:rsidRPr="00D263B6">
        <w:rPr>
          <w:u w:val="single"/>
        </w:rPr>
        <w:t xml:space="preserve"> </w:t>
      </w:r>
      <w:r w:rsidR="00D263B6" w:rsidRPr="00D263B6">
        <w:rPr>
          <w:u w:val="single"/>
        </w:rPr>
        <w:t>to</w:t>
      </w:r>
      <w:r w:rsidR="00613D76" w:rsidRPr="00D263B6">
        <w:rPr>
          <w:u w:val="single"/>
        </w:rPr>
        <w:t xml:space="preserve"> </w:t>
      </w:r>
      <w:r w:rsidR="00D263B6" w:rsidRPr="00D263B6">
        <w:rPr>
          <w:u w:val="single"/>
        </w:rPr>
        <w:t>reporting</w:t>
      </w:r>
      <w:r w:rsidR="00613D76" w:rsidRPr="00D263B6">
        <w:rPr>
          <w:u w:val="single"/>
        </w:rPr>
        <w:t xml:space="preserve"> </w:t>
      </w:r>
      <w:r w:rsidR="00AD0D22">
        <w:rPr>
          <w:u w:val="single"/>
        </w:rPr>
        <w:t xml:space="preserve">additional relevant data related to illegal firearms, </w:t>
      </w:r>
      <w:r w:rsidR="00D263B6" w:rsidRPr="00D263B6">
        <w:rPr>
          <w:u w:val="single"/>
        </w:rPr>
        <w:t>including any legal restrictions on such reporting</w:t>
      </w:r>
      <w:r w:rsidR="00AD0D22">
        <w:rPr>
          <w:u w:val="single"/>
        </w:rPr>
        <w:t xml:space="preserve"> or the use of such data for such reporting</w:t>
      </w:r>
      <w:r w:rsidR="00613D76" w:rsidRPr="00D263B6">
        <w:rPr>
          <w:u w:val="single"/>
        </w:rPr>
        <w:t>.</w:t>
      </w:r>
    </w:p>
    <w:p w14:paraId="74349824" w14:textId="686E1BD9" w:rsidR="00AD02DD" w:rsidRDefault="00AD02DD" w:rsidP="00693DB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Limitations on </w:t>
      </w:r>
      <w:r w:rsidR="00997527">
        <w:rPr>
          <w:u w:val="single"/>
        </w:rPr>
        <w:t>d</w:t>
      </w:r>
      <w:r>
        <w:rPr>
          <w:u w:val="single"/>
        </w:rPr>
        <w:t xml:space="preserve">isclosure. If disclosure of any information </w:t>
      </w:r>
      <w:r w:rsidR="007B14EE">
        <w:rPr>
          <w:u w:val="single"/>
        </w:rPr>
        <w:t>specified</w:t>
      </w:r>
      <w:r>
        <w:rPr>
          <w:u w:val="single"/>
        </w:rPr>
        <w:t xml:space="preserve"> in paragraph </w:t>
      </w:r>
      <w:r w:rsidR="00181FB1">
        <w:rPr>
          <w:u w:val="single"/>
        </w:rPr>
        <w:t>one</w:t>
      </w:r>
      <w:r w:rsidR="004853C1">
        <w:rPr>
          <w:u w:val="single"/>
        </w:rPr>
        <w:t xml:space="preserve"> </w:t>
      </w:r>
      <w:r>
        <w:rPr>
          <w:u w:val="single"/>
        </w:rPr>
        <w:t xml:space="preserve">of subdivision a of this section is prohibited </w:t>
      </w:r>
      <w:r w:rsidR="00052FFF">
        <w:rPr>
          <w:u w:val="single"/>
        </w:rPr>
        <w:t>by</w:t>
      </w:r>
      <w:r>
        <w:rPr>
          <w:u w:val="single"/>
        </w:rPr>
        <w:t xml:space="preserve"> law, such </w:t>
      </w:r>
      <w:r w:rsidR="000C6E04">
        <w:rPr>
          <w:u w:val="single"/>
        </w:rPr>
        <w:t xml:space="preserve">study and </w:t>
      </w:r>
      <w:r>
        <w:rPr>
          <w:u w:val="single"/>
        </w:rPr>
        <w:t xml:space="preserve">report shall identify </w:t>
      </w:r>
      <w:r w:rsidR="007B14EE">
        <w:rPr>
          <w:u w:val="single"/>
        </w:rPr>
        <w:t>the</w:t>
      </w:r>
      <w:r>
        <w:rPr>
          <w:u w:val="single"/>
        </w:rPr>
        <w:t xml:space="preserve"> information being withheld and the reason </w:t>
      </w:r>
      <w:r w:rsidR="007B14EE">
        <w:rPr>
          <w:u w:val="single"/>
        </w:rPr>
        <w:t>therefor</w:t>
      </w:r>
      <w:r w:rsidR="000C6E04">
        <w:rPr>
          <w:u w:val="single"/>
        </w:rPr>
        <w:t>, and shall, instead of such withheld information, include aggregate data to the extent available</w:t>
      </w:r>
      <w:r>
        <w:rPr>
          <w:u w:val="single"/>
        </w:rPr>
        <w:t>.</w:t>
      </w:r>
      <w:r w:rsidR="00C754CE">
        <w:rPr>
          <w:u w:val="single"/>
        </w:rPr>
        <w:t xml:space="preserve"> </w:t>
      </w:r>
      <w:r>
        <w:rPr>
          <w:u w:val="single"/>
        </w:rPr>
        <w:t xml:space="preserve">Such </w:t>
      </w:r>
      <w:r w:rsidR="000C6E04">
        <w:rPr>
          <w:u w:val="single"/>
        </w:rPr>
        <w:t xml:space="preserve">study and </w:t>
      </w:r>
      <w:r>
        <w:rPr>
          <w:u w:val="single"/>
        </w:rPr>
        <w:t xml:space="preserve">report need not include information about any firearm obtained through a gun buy-back program or </w:t>
      </w:r>
      <w:r w:rsidR="00F32C13">
        <w:rPr>
          <w:u w:val="single"/>
        </w:rPr>
        <w:t>where disclosure would compromise the safety of the public or police officer</w:t>
      </w:r>
      <w:r w:rsidR="00363521">
        <w:rPr>
          <w:u w:val="single"/>
        </w:rPr>
        <w:t>s</w:t>
      </w:r>
      <w:r w:rsidR="00F32C13">
        <w:rPr>
          <w:u w:val="single"/>
        </w:rPr>
        <w:t xml:space="preserve"> or could otherwise compromise law enforcement </w:t>
      </w:r>
      <w:r w:rsidR="00363521">
        <w:rPr>
          <w:u w:val="single"/>
        </w:rPr>
        <w:t xml:space="preserve">investigations or </w:t>
      </w:r>
      <w:r w:rsidR="00F32C13">
        <w:rPr>
          <w:u w:val="single"/>
        </w:rPr>
        <w:t>operations</w:t>
      </w:r>
      <w:r w:rsidR="00EC0CAD">
        <w:rPr>
          <w:u w:val="single"/>
        </w:rPr>
        <w:t>.  Such report shall include the total number of seizures</w:t>
      </w:r>
      <w:r w:rsidR="00CF2213">
        <w:rPr>
          <w:u w:val="single"/>
        </w:rPr>
        <w:t xml:space="preserve"> for which reporting was</w:t>
      </w:r>
      <w:r w:rsidR="00EC0CAD">
        <w:rPr>
          <w:u w:val="single"/>
        </w:rPr>
        <w:t xml:space="preserve"> withheld due to </w:t>
      </w:r>
      <w:r w:rsidR="00CF2213">
        <w:rPr>
          <w:u w:val="single"/>
        </w:rPr>
        <w:t xml:space="preserve">a </w:t>
      </w:r>
      <w:r w:rsidR="00EC0CAD">
        <w:rPr>
          <w:u w:val="single"/>
        </w:rPr>
        <w:t xml:space="preserve">pending criminal </w:t>
      </w:r>
      <w:r w:rsidR="00CF2213">
        <w:rPr>
          <w:u w:val="single"/>
        </w:rPr>
        <w:t>investigation</w:t>
      </w:r>
      <w:r w:rsidR="00EC0CAD">
        <w:rPr>
          <w:u w:val="single"/>
        </w:rPr>
        <w:t>, and upon completion of such investigation</w:t>
      </w:r>
      <w:r w:rsidR="0079450D">
        <w:rPr>
          <w:u w:val="single"/>
        </w:rPr>
        <w:t>s</w:t>
      </w:r>
      <w:r w:rsidR="00EC0CAD">
        <w:rPr>
          <w:u w:val="single"/>
        </w:rPr>
        <w:t xml:space="preserve"> </w:t>
      </w:r>
      <w:r w:rsidR="00F41D7B">
        <w:rPr>
          <w:u w:val="single"/>
        </w:rPr>
        <w:t xml:space="preserve">the </w:t>
      </w:r>
      <w:r w:rsidR="0058263A">
        <w:rPr>
          <w:u w:val="single"/>
        </w:rPr>
        <w:t>information</w:t>
      </w:r>
      <w:r w:rsidR="00F41D7B">
        <w:rPr>
          <w:u w:val="single"/>
        </w:rPr>
        <w:t xml:space="preserve"> relating to </w:t>
      </w:r>
      <w:r w:rsidR="00EC0CAD">
        <w:rPr>
          <w:u w:val="single"/>
        </w:rPr>
        <w:t>such seizures shall be reflected in a subsequent report.</w:t>
      </w:r>
    </w:p>
    <w:p w14:paraId="1729D11D" w14:textId="697FE6BD" w:rsidR="00F91F9D" w:rsidRDefault="008E7962" w:rsidP="00565996">
      <w:pPr>
        <w:spacing w:line="480" w:lineRule="auto"/>
        <w:jc w:val="both"/>
      </w:pPr>
      <w:r w:rsidRPr="00BD12F6">
        <w:rPr>
          <w:rFonts w:eastAsia="Arial Unicode MS"/>
          <w:color w:val="000000"/>
        </w:rPr>
        <w:t xml:space="preserve">§ </w:t>
      </w:r>
      <w:r w:rsidR="00966735">
        <w:rPr>
          <w:rFonts w:eastAsia="Arial Unicode MS"/>
          <w:color w:val="000000"/>
        </w:rPr>
        <w:t>2</w:t>
      </w:r>
      <w:r w:rsidRPr="00BD12F6">
        <w:rPr>
          <w:rFonts w:eastAsia="Arial Unicode MS"/>
          <w:color w:val="000000"/>
        </w:rPr>
        <w:t xml:space="preserve">. </w:t>
      </w:r>
      <w:r w:rsidR="00B770D5">
        <w:t>This local law takes effect immediately</w:t>
      </w:r>
      <w:r>
        <w:t>.</w:t>
      </w:r>
    </w:p>
    <w:p w14:paraId="6AC3DA6B" w14:textId="77777777" w:rsidR="00AF00E9" w:rsidRPr="00565996" w:rsidRDefault="00AF00E9" w:rsidP="00565996">
      <w:pPr>
        <w:spacing w:line="480" w:lineRule="auto"/>
        <w:jc w:val="both"/>
        <w:sectPr w:rsidR="00AF00E9" w:rsidRPr="0056599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A48145C" w14:textId="77777777" w:rsidR="001B026B" w:rsidRPr="005F7931" w:rsidRDefault="001B026B" w:rsidP="001B026B">
      <w:pPr>
        <w:ind w:firstLine="0"/>
        <w:jc w:val="both"/>
        <w:rPr>
          <w:sz w:val="18"/>
          <w:szCs w:val="18"/>
        </w:rPr>
      </w:pPr>
    </w:p>
    <w:p w14:paraId="2890F24A" w14:textId="609490F3" w:rsidR="00AF00E9" w:rsidRDefault="00AF00E9" w:rsidP="001B026B">
      <w:pPr>
        <w:ind w:firstLine="0"/>
        <w:jc w:val="both"/>
        <w:rPr>
          <w:sz w:val="18"/>
          <w:szCs w:val="18"/>
        </w:rPr>
      </w:pPr>
    </w:p>
    <w:p w14:paraId="469EE859" w14:textId="77777777" w:rsidR="00AF00E9" w:rsidRDefault="00AF00E9" w:rsidP="001B026B">
      <w:pPr>
        <w:ind w:firstLine="0"/>
        <w:jc w:val="both"/>
        <w:rPr>
          <w:sz w:val="18"/>
          <w:szCs w:val="18"/>
        </w:rPr>
      </w:pPr>
    </w:p>
    <w:p w14:paraId="382DA126" w14:textId="77777777" w:rsidR="00AF00E9" w:rsidRDefault="00AF00E9" w:rsidP="001B026B">
      <w:pPr>
        <w:ind w:firstLine="0"/>
        <w:jc w:val="both"/>
        <w:rPr>
          <w:sz w:val="18"/>
          <w:szCs w:val="18"/>
        </w:rPr>
      </w:pPr>
    </w:p>
    <w:p w14:paraId="7A41EA8E" w14:textId="5E94FA9A" w:rsidR="001B026B" w:rsidRDefault="00AF78A0" w:rsidP="001B026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  <w:r w:rsidR="001A3409">
        <w:rPr>
          <w:sz w:val="18"/>
          <w:szCs w:val="18"/>
        </w:rPr>
        <w:t>/JDK</w:t>
      </w:r>
    </w:p>
    <w:p w14:paraId="4DD04152" w14:textId="77777777" w:rsidR="001B026B" w:rsidRDefault="001B026B" w:rsidP="001B026B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D82D1D">
        <w:rPr>
          <w:sz w:val="18"/>
          <w:szCs w:val="18"/>
        </w:rPr>
        <w:t>8259</w:t>
      </w:r>
    </w:p>
    <w:p w14:paraId="4966CAD1" w14:textId="25815EDE" w:rsidR="001B026B" w:rsidRPr="006850B7" w:rsidRDefault="002470D0" w:rsidP="001B026B">
      <w:pPr>
        <w:ind w:firstLine="0"/>
        <w:rPr>
          <w:sz w:val="18"/>
          <w:szCs w:val="18"/>
        </w:rPr>
      </w:pPr>
      <w:r>
        <w:rPr>
          <w:sz w:val="18"/>
          <w:szCs w:val="18"/>
        </w:rPr>
        <w:t>9/13/22</w:t>
      </w:r>
    </w:p>
    <w:p w14:paraId="077FA093" w14:textId="77777777" w:rsidR="001B026B" w:rsidRDefault="001B026B" w:rsidP="001B026B">
      <w:pPr>
        <w:ind w:firstLine="0"/>
        <w:rPr>
          <w:sz w:val="18"/>
          <w:szCs w:val="18"/>
        </w:rPr>
      </w:pPr>
    </w:p>
    <w:p w14:paraId="463FE96A" w14:textId="77777777" w:rsidR="001B026B" w:rsidRDefault="001B026B" w:rsidP="001B026B">
      <w:pPr>
        <w:ind w:firstLine="0"/>
        <w:rPr>
          <w:sz w:val="18"/>
          <w:szCs w:val="18"/>
        </w:rPr>
      </w:pPr>
    </w:p>
    <w:p w14:paraId="1CEA6253" w14:textId="77777777" w:rsidR="000F6EA8" w:rsidRDefault="000F6EA8"/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1DE01" w14:textId="77777777" w:rsidR="00983D45" w:rsidRDefault="00983D45">
      <w:r>
        <w:separator/>
      </w:r>
    </w:p>
  </w:endnote>
  <w:endnote w:type="continuationSeparator" w:id="0">
    <w:p w14:paraId="0CD10BBB" w14:textId="77777777" w:rsidR="00983D45" w:rsidRDefault="0098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E52AB" w14:textId="1901F390" w:rsidR="008F0B17" w:rsidRDefault="001B0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62730" w14:textId="77777777" w:rsidR="00292C42" w:rsidRDefault="00983D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7B102" w14:textId="77777777" w:rsidR="008F0B17" w:rsidRDefault="001B02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6E719E" w14:textId="77777777" w:rsidR="008F0B17" w:rsidRDefault="0098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3FD6" w14:textId="77777777" w:rsidR="00983D45" w:rsidRDefault="00983D45">
      <w:r>
        <w:separator/>
      </w:r>
    </w:p>
  </w:footnote>
  <w:footnote w:type="continuationSeparator" w:id="0">
    <w:p w14:paraId="23167208" w14:textId="77777777" w:rsidR="00983D45" w:rsidRDefault="0098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6B"/>
    <w:rsid w:val="00002FA9"/>
    <w:rsid w:val="00010CDD"/>
    <w:rsid w:val="00026A7B"/>
    <w:rsid w:val="0003000C"/>
    <w:rsid w:val="00050120"/>
    <w:rsid w:val="00052FFF"/>
    <w:rsid w:val="00056A49"/>
    <w:rsid w:val="00057E6E"/>
    <w:rsid w:val="000726C8"/>
    <w:rsid w:val="00077D38"/>
    <w:rsid w:val="0008481C"/>
    <w:rsid w:val="000849C8"/>
    <w:rsid w:val="00091DEF"/>
    <w:rsid w:val="00092A76"/>
    <w:rsid w:val="000B3A11"/>
    <w:rsid w:val="000B5F03"/>
    <w:rsid w:val="000B6EF3"/>
    <w:rsid w:val="000C6E04"/>
    <w:rsid w:val="000D0C5E"/>
    <w:rsid w:val="000E10B8"/>
    <w:rsid w:val="000F0D11"/>
    <w:rsid w:val="000F6EA8"/>
    <w:rsid w:val="00101513"/>
    <w:rsid w:val="001041F8"/>
    <w:rsid w:val="0011485A"/>
    <w:rsid w:val="00124C7B"/>
    <w:rsid w:val="001301F3"/>
    <w:rsid w:val="00142D99"/>
    <w:rsid w:val="00145784"/>
    <w:rsid w:val="001618D1"/>
    <w:rsid w:val="00181FB1"/>
    <w:rsid w:val="001839EE"/>
    <w:rsid w:val="00183BD7"/>
    <w:rsid w:val="001A0E97"/>
    <w:rsid w:val="001A3409"/>
    <w:rsid w:val="001B026B"/>
    <w:rsid w:val="001B229B"/>
    <w:rsid w:val="001B64BF"/>
    <w:rsid w:val="001C7499"/>
    <w:rsid w:val="001F775D"/>
    <w:rsid w:val="00202525"/>
    <w:rsid w:val="00202615"/>
    <w:rsid w:val="00202A07"/>
    <w:rsid w:val="00211438"/>
    <w:rsid w:val="00226ECF"/>
    <w:rsid w:val="0023709C"/>
    <w:rsid w:val="002413A4"/>
    <w:rsid w:val="002470D0"/>
    <w:rsid w:val="00247CB4"/>
    <w:rsid w:val="0025313D"/>
    <w:rsid w:val="00275BC5"/>
    <w:rsid w:val="00275F20"/>
    <w:rsid w:val="002972BA"/>
    <w:rsid w:val="002B4E8F"/>
    <w:rsid w:val="002D0E4B"/>
    <w:rsid w:val="002E2A10"/>
    <w:rsid w:val="002E3D71"/>
    <w:rsid w:val="002E72BE"/>
    <w:rsid w:val="003500B2"/>
    <w:rsid w:val="00363521"/>
    <w:rsid w:val="00370C29"/>
    <w:rsid w:val="00396EDD"/>
    <w:rsid w:val="003B4DB4"/>
    <w:rsid w:val="003E0073"/>
    <w:rsid w:val="00405844"/>
    <w:rsid w:val="004064B5"/>
    <w:rsid w:val="004064C4"/>
    <w:rsid w:val="00410BE9"/>
    <w:rsid w:val="00442854"/>
    <w:rsid w:val="00443035"/>
    <w:rsid w:val="004568C5"/>
    <w:rsid w:val="004675CD"/>
    <w:rsid w:val="00475972"/>
    <w:rsid w:val="004853C1"/>
    <w:rsid w:val="004A4234"/>
    <w:rsid w:val="004C13AF"/>
    <w:rsid w:val="004C5BFE"/>
    <w:rsid w:val="004D0970"/>
    <w:rsid w:val="004D1936"/>
    <w:rsid w:val="004D56F0"/>
    <w:rsid w:val="004F6BFD"/>
    <w:rsid w:val="005131E2"/>
    <w:rsid w:val="00515385"/>
    <w:rsid w:val="005231C2"/>
    <w:rsid w:val="00524C6A"/>
    <w:rsid w:val="00526265"/>
    <w:rsid w:val="00527943"/>
    <w:rsid w:val="00531EF3"/>
    <w:rsid w:val="0053549E"/>
    <w:rsid w:val="00542C10"/>
    <w:rsid w:val="0056041C"/>
    <w:rsid w:val="00560D5B"/>
    <w:rsid w:val="00565996"/>
    <w:rsid w:val="00570948"/>
    <w:rsid w:val="00574B2A"/>
    <w:rsid w:val="0058263A"/>
    <w:rsid w:val="005905C0"/>
    <w:rsid w:val="005A2FFE"/>
    <w:rsid w:val="005A455D"/>
    <w:rsid w:val="005C5474"/>
    <w:rsid w:val="005E0AF2"/>
    <w:rsid w:val="006029D7"/>
    <w:rsid w:val="00603345"/>
    <w:rsid w:val="00604157"/>
    <w:rsid w:val="0061328C"/>
    <w:rsid w:val="00613D76"/>
    <w:rsid w:val="006200DB"/>
    <w:rsid w:val="00645D3A"/>
    <w:rsid w:val="0066063B"/>
    <w:rsid w:val="0066442D"/>
    <w:rsid w:val="00667D71"/>
    <w:rsid w:val="006801B6"/>
    <w:rsid w:val="00680399"/>
    <w:rsid w:val="00684B0B"/>
    <w:rsid w:val="00693DB1"/>
    <w:rsid w:val="006A1E26"/>
    <w:rsid w:val="006A1E4F"/>
    <w:rsid w:val="006B7AD5"/>
    <w:rsid w:val="006C224C"/>
    <w:rsid w:val="006C7A05"/>
    <w:rsid w:val="006D0650"/>
    <w:rsid w:val="006F7460"/>
    <w:rsid w:val="007018AF"/>
    <w:rsid w:val="00701E0D"/>
    <w:rsid w:val="00701ED3"/>
    <w:rsid w:val="00703736"/>
    <w:rsid w:val="00705A9E"/>
    <w:rsid w:val="007075A4"/>
    <w:rsid w:val="00715274"/>
    <w:rsid w:val="007327B1"/>
    <w:rsid w:val="0074040C"/>
    <w:rsid w:val="007468B4"/>
    <w:rsid w:val="00747971"/>
    <w:rsid w:val="0076021D"/>
    <w:rsid w:val="00775E3A"/>
    <w:rsid w:val="00786B34"/>
    <w:rsid w:val="0079003A"/>
    <w:rsid w:val="0079450D"/>
    <w:rsid w:val="007A1168"/>
    <w:rsid w:val="007B14EE"/>
    <w:rsid w:val="007B1B8D"/>
    <w:rsid w:val="007B1B9E"/>
    <w:rsid w:val="007C3744"/>
    <w:rsid w:val="007D5524"/>
    <w:rsid w:val="007E10F3"/>
    <w:rsid w:val="007F2EA8"/>
    <w:rsid w:val="007F7309"/>
    <w:rsid w:val="007F7C12"/>
    <w:rsid w:val="008008A2"/>
    <w:rsid w:val="00813254"/>
    <w:rsid w:val="0081681E"/>
    <w:rsid w:val="0082014F"/>
    <w:rsid w:val="0083191D"/>
    <w:rsid w:val="008337C1"/>
    <w:rsid w:val="00843951"/>
    <w:rsid w:val="00856CFB"/>
    <w:rsid w:val="008629B4"/>
    <w:rsid w:val="0087099A"/>
    <w:rsid w:val="00881941"/>
    <w:rsid w:val="0089054F"/>
    <w:rsid w:val="008A6A9E"/>
    <w:rsid w:val="008B0642"/>
    <w:rsid w:val="008B0B21"/>
    <w:rsid w:val="008B1469"/>
    <w:rsid w:val="008B7F53"/>
    <w:rsid w:val="008E7962"/>
    <w:rsid w:val="008F0100"/>
    <w:rsid w:val="008F1939"/>
    <w:rsid w:val="008F75AA"/>
    <w:rsid w:val="00900962"/>
    <w:rsid w:val="00902F41"/>
    <w:rsid w:val="00905571"/>
    <w:rsid w:val="009065F1"/>
    <w:rsid w:val="00916D87"/>
    <w:rsid w:val="00926523"/>
    <w:rsid w:val="00931028"/>
    <w:rsid w:val="00934D93"/>
    <w:rsid w:val="00966735"/>
    <w:rsid w:val="009741D6"/>
    <w:rsid w:val="00976314"/>
    <w:rsid w:val="00983D45"/>
    <w:rsid w:val="0098539C"/>
    <w:rsid w:val="0099241C"/>
    <w:rsid w:val="009943FC"/>
    <w:rsid w:val="00997527"/>
    <w:rsid w:val="009A25EC"/>
    <w:rsid w:val="009C6844"/>
    <w:rsid w:val="00A23772"/>
    <w:rsid w:val="00A271CC"/>
    <w:rsid w:val="00A27298"/>
    <w:rsid w:val="00A36AED"/>
    <w:rsid w:val="00A41820"/>
    <w:rsid w:val="00A52190"/>
    <w:rsid w:val="00A60157"/>
    <w:rsid w:val="00A60FA2"/>
    <w:rsid w:val="00A62C78"/>
    <w:rsid w:val="00A75335"/>
    <w:rsid w:val="00A758CD"/>
    <w:rsid w:val="00A875DE"/>
    <w:rsid w:val="00AD02DD"/>
    <w:rsid w:val="00AD0D22"/>
    <w:rsid w:val="00AD518B"/>
    <w:rsid w:val="00AF00E9"/>
    <w:rsid w:val="00AF78A0"/>
    <w:rsid w:val="00B06747"/>
    <w:rsid w:val="00B07F80"/>
    <w:rsid w:val="00B31363"/>
    <w:rsid w:val="00B528F8"/>
    <w:rsid w:val="00B52991"/>
    <w:rsid w:val="00B56D45"/>
    <w:rsid w:val="00B770D5"/>
    <w:rsid w:val="00B90C6B"/>
    <w:rsid w:val="00B96F83"/>
    <w:rsid w:val="00BB0275"/>
    <w:rsid w:val="00BC06E8"/>
    <w:rsid w:val="00BE385A"/>
    <w:rsid w:val="00C10D50"/>
    <w:rsid w:val="00C167E5"/>
    <w:rsid w:val="00C21DC2"/>
    <w:rsid w:val="00C362C1"/>
    <w:rsid w:val="00C443B1"/>
    <w:rsid w:val="00C662DD"/>
    <w:rsid w:val="00C66A25"/>
    <w:rsid w:val="00C70F75"/>
    <w:rsid w:val="00C73C84"/>
    <w:rsid w:val="00C754CE"/>
    <w:rsid w:val="00C86BAE"/>
    <w:rsid w:val="00CC690E"/>
    <w:rsid w:val="00CD0C4E"/>
    <w:rsid w:val="00CD2BB3"/>
    <w:rsid w:val="00CD32FA"/>
    <w:rsid w:val="00CD47E8"/>
    <w:rsid w:val="00CE6ABB"/>
    <w:rsid w:val="00CF2213"/>
    <w:rsid w:val="00D226DD"/>
    <w:rsid w:val="00D263B6"/>
    <w:rsid w:val="00D276C9"/>
    <w:rsid w:val="00D3178A"/>
    <w:rsid w:val="00D34770"/>
    <w:rsid w:val="00D37B78"/>
    <w:rsid w:val="00D57C60"/>
    <w:rsid w:val="00D64944"/>
    <w:rsid w:val="00D72EFE"/>
    <w:rsid w:val="00D809FA"/>
    <w:rsid w:val="00D82D1D"/>
    <w:rsid w:val="00D85354"/>
    <w:rsid w:val="00D96882"/>
    <w:rsid w:val="00DA0D76"/>
    <w:rsid w:val="00DC18E7"/>
    <w:rsid w:val="00DC2C7B"/>
    <w:rsid w:val="00DC555B"/>
    <w:rsid w:val="00DD63D2"/>
    <w:rsid w:val="00DE4195"/>
    <w:rsid w:val="00DF3AEE"/>
    <w:rsid w:val="00DF5092"/>
    <w:rsid w:val="00DF7B8D"/>
    <w:rsid w:val="00E030E8"/>
    <w:rsid w:val="00E07EC2"/>
    <w:rsid w:val="00E22463"/>
    <w:rsid w:val="00E22A87"/>
    <w:rsid w:val="00E23132"/>
    <w:rsid w:val="00E3637E"/>
    <w:rsid w:val="00E42F9F"/>
    <w:rsid w:val="00E5761B"/>
    <w:rsid w:val="00E57C2C"/>
    <w:rsid w:val="00E7297B"/>
    <w:rsid w:val="00E9123F"/>
    <w:rsid w:val="00E9134C"/>
    <w:rsid w:val="00E94AE9"/>
    <w:rsid w:val="00EB32B7"/>
    <w:rsid w:val="00EC0CAD"/>
    <w:rsid w:val="00EC1196"/>
    <w:rsid w:val="00EC35D8"/>
    <w:rsid w:val="00EC5883"/>
    <w:rsid w:val="00ED1BF7"/>
    <w:rsid w:val="00F00FCB"/>
    <w:rsid w:val="00F011BC"/>
    <w:rsid w:val="00F12829"/>
    <w:rsid w:val="00F258E0"/>
    <w:rsid w:val="00F31518"/>
    <w:rsid w:val="00F32C13"/>
    <w:rsid w:val="00F36B30"/>
    <w:rsid w:val="00F41D7B"/>
    <w:rsid w:val="00F56C31"/>
    <w:rsid w:val="00F63A2B"/>
    <w:rsid w:val="00F7139C"/>
    <w:rsid w:val="00F720F1"/>
    <w:rsid w:val="00F75B5F"/>
    <w:rsid w:val="00F813AF"/>
    <w:rsid w:val="00F827B7"/>
    <w:rsid w:val="00F91F9D"/>
    <w:rsid w:val="00F969D0"/>
    <w:rsid w:val="00FC5781"/>
    <w:rsid w:val="00FE43AA"/>
    <w:rsid w:val="02E43E34"/>
    <w:rsid w:val="03291273"/>
    <w:rsid w:val="03FB4ABB"/>
    <w:rsid w:val="04CF4A3A"/>
    <w:rsid w:val="04F0D416"/>
    <w:rsid w:val="05A51B45"/>
    <w:rsid w:val="09537FB8"/>
    <w:rsid w:val="0C485650"/>
    <w:rsid w:val="0EE95757"/>
    <w:rsid w:val="16B9DF1F"/>
    <w:rsid w:val="1CCBE3E6"/>
    <w:rsid w:val="1D7BDEDA"/>
    <w:rsid w:val="20B37F9C"/>
    <w:rsid w:val="2505CE91"/>
    <w:rsid w:val="2B24047C"/>
    <w:rsid w:val="2F718B14"/>
    <w:rsid w:val="2F93EB8F"/>
    <w:rsid w:val="3AA3AA4C"/>
    <w:rsid w:val="3DA76446"/>
    <w:rsid w:val="3F77E80B"/>
    <w:rsid w:val="4005DAD0"/>
    <w:rsid w:val="44A37386"/>
    <w:rsid w:val="4F5053EF"/>
    <w:rsid w:val="5479280F"/>
    <w:rsid w:val="5683F4A6"/>
    <w:rsid w:val="5E3FA74C"/>
    <w:rsid w:val="624F483B"/>
    <w:rsid w:val="6C56EB5F"/>
    <w:rsid w:val="6E9AF970"/>
    <w:rsid w:val="6F706C91"/>
    <w:rsid w:val="712A5C82"/>
    <w:rsid w:val="72149C8B"/>
    <w:rsid w:val="763DAE67"/>
    <w:rsid w:val="77907A11"/>
    <w:rsid w:val="7AE99415"/>
    <w:rsid w:val="7F6CA758"/>
    <w:rsid w:val="7F8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FF6F"/>
  <w15:chartTrackingRefBased/>
  <w15:docId w15:val="{75313678-A681-431B-A684-155DAD13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0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6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026B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B026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026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1B026B"/>
  </w:style>
  <w:style w:type="paragraph" w:styleId="ListParagraph">
    <w:name w:val="List Paragraph"/>
    <w:basedOn w:val="Normal"/>
    <w:uiPriority w:val="34"/>
    <w:qFormat/>
    <w:rsid w:val="00247C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6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6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DD17-C11A-4130-907C-F7217772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Martin, William</cp:lastModifiedBy>
  <cp:revision>6</cp:revision>
  <cp:lastPrinted>2022-07-06T20:39:00Z</cp:lastPrinted>
  <dcterms:created xsi:type="dcterms:W3CDTF">2022-09-12T19:53:00Z</dcterms:created>
  <dcterms:modified xsi:type="dcterms:W3CDTF">2022-09-13T16:44:00Z</dcterms:modified>
</cp:coreProperties>
</file>