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52C" w:rsidRPr="0092552C" w:rsidRDefault="0092552C" w:rsidP="002617EC">
      <w:pPr>
        <w:spacing w:before="240" w:after="0" w:line="240" w:lineRule="auto"/>
        <w:ind w:left="2880" w:firstLine="720"/>
        <w:jc w:val="center"/>
        <w:rPr>
          <w:rFonts w:ascii="Times New Roman" w:hAnsi="Times New Roman"/>
          <w:b/>
          <w:sz w:val="24"/>
          <w:szCs w:val="24"/>
        </w:rPr>
      </w:pPr>
      <w:bookmarkStart w:id="0" w:name="_GoBack"/>
      <w:bookmarkEnd w:id="0"/>
      <w:r w:rsidRPr="0092552C">
        <w:rPr>
          <w:rFonts w:ascii="Times New Roman" w:hAnsi="Times New Roman"/>
          <w:b/>
          <w:sz w:val="24"/>
          <w:szCs w:val="24"/>
        </w:rPr>
        <w:t xml:space="preserve">    Staff: Committee on Finance</w:t>
      </w:r>
    </w:p>
    <w:p w:rsidR="002617EC" w:rsidRDefault="002617EC" w:rsidP="002617EC">
      <w:pPr>
        <w:spacing w:before="240" w:after="0" w:line="240" w:lineRule="auto"/>
        <w:contextualSpacing/>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92552C" w:rsidRDefault="002617EC" w:rsidP="002617EC">
      <w:pPr>
        <w:spacing w:before="240" w:after="0" w:line="240" w:lineRule="auto"/>
        <w:ind w:left="2880"/>
        <w:contextualSpacing/>
        <w:jc w:val="center"/>
        <w:rPr>
          <w:rFonts w:ascii="Times New Roman" w:hAnsi="Times New Roman"/>
          <w:b/>
          <w:sz w:val="24"/>
          <w:szCs w:val="24"/>
        </w:rPr>
      </w:pPr>
      <w:r>
        <w:rPr>
          <w:rFonts w:ascii="Times New Roman" w:hAnsi="Times New Roman"/>
          <w:b/>
          <w:sz w:val="24"/>
          <w:szCs w:val="24"/>
        </w:rPr>
        <w:t xml:space="preserve">        </w:t>
      </w:r>
      <w:r w:rsidR="0092552C">
        <w:rPr>
          <w:rFonts w:ascii="Times New Roman" w:hAnsi="Times New Roman"/>
          <w:b/>
          <w:sz w:val="24"/>
          <w:szCs w:val="24"/>
        </w:rPr>
        <w:t>Emre Edev</w:t>
      </w:r>
    </w:p>
    <w:p w:rsidR="002617EC" w:rsidRDefault="002617EC" w:rsidP="002617EC">
      <w:pPr>
        <w:spacing w:before="240" w:after="0" w:line="240" w:lineRule="auto"/>
        <w:ind w:left="5040" w:firstLine="720"/>
        <w:contextualSpacing/>
        <w:rPr>
          <w:rFonts w:ascii="Times New Roman" w:hAnsi="Times New Roman"/>
          <w:b/>
          <w:sz w:val="24"/>
          <w:szCs w:val="24"/>
        </w:rPr>
      </w:pPr>
      <w:r>
        <w:rPr>
          <w:rFonts w:ascii="Times New Roman" w:hAnsi="Times New Roman"/>
          <w:b/>
          <w:sz w:val="24"/>
          <w:szCs w:val="24"/>
        </w:rPr>
        <w:t>Assistant Director</w:t>
      </w:r>
    </w:p>
    <w:p w:rsidR="002617EC" w:rsidRDefault="002617EC" w:rsidP="002617EC">
      <w:pPr>
        <w:spacing w:before="240" w:after="0" w:line="240" w:lineRule="auto"/>
        <w:ind w:left="5040" w:firstLine="720"/>
        <w:contextualSpacing/>
        <w:rPr>
          <w:rFonts w:ascii="Times New Roman" w:hAnsi="Times New Roman"/>
          <w:b/>
          <w:sz w:val="24"/>
          <w:szCs w:val="24"/>
        </w:rPr>
      </w:pPr>
    </w:p>
    <w:p w:rsidR="002617EC" w:rsidRDefault="002617EC" w:rsidP="002617EC">
      <w:pPr>
        <w:spacing w:before="240" w:after="0" w:line="240" w:lineRule="auto"/>
        <w:ind w:left="5040" w:firstLine="720"/>
        <w:contextualSpacing/>
        <w:rPr>
          <w:rFonts w:ascii="Times New Roman" w:hAnsi="Times New Roman"/>
          <w:b/>
          <w:sz w:val="24"/>
          <w:szCs w:val="24"/>
        </w:rPr>
      </w:pPr>
      <w:r>
        <w:rPr>
          <w:rFonts w:ascii="Times New Roman" w:hAnsi="Times New Roman"/>
          <w:b/>
          <w:sz w:val="24"/>
          <w:szCs w:val="24"/>
        </w:rPr>
        <w:t>Jim Caras</w:t>
      </w:r>
    </w:p>
    <w:p w:rsidR="002617EC" w:rsidRPr="0092552C" w:rsidRDefault="002617EC" w:rsidP="002617EC">
      <w:pPr>
        <w:spacing w:before="240" w:after="0" w:line="240" w:lineRule="auto"/>
        <w:ind w:left="5040" w:firstLine="720"/>
        <w:contextualSpacing/>
        <w:rPr>
          <w:rFonts w:ascii="Times New Roman" w:hAnsi="Times New Roman"/>
          <w:b/>
          <w:sz w:val="24"/>
          <w:szCs w:val="24"/>
        </w:rPr>
      </w:pPr>
      <w:r>
        <w:rPr>
          <w:rFonts w:ascii="Times New Roman" w:hAnsi="Times New Roman"/>
          <w:b/>
          <w:sz w:val="24"/>
          <w:szCs w:val="24"/>
        </w:rPr>
        <w:t>Special Counsel</w:t>
      </w:r>
    </w:p>
    <w:p w:rsidR="0092552C" w:rsidRPr="0092552C" w:rsidRDefault="0092552C" w:rsidP="0092552C">
      <w:pPr>
        <w:spacing w:before="240" w:after="0" w:line="240" w:lineRule="auto"/>
        <w:jc w:val="right"/>
        <w:rPr>
          <w:rFonts w:ascii="Times New Roman" w:hAnsi="Times New Roman"/>
          <w:b/>
          <w:sz w:val="24"/>
          <w:szCs w:val="24"/>
        </w:rPr>
      </w:pPr>
      <w:r w:rsidRPr="0092552C">
        <w:rPr>
          <w:rFonts w:ascii="Times New Roman" w:hAnsi="Times New Roman"/>
          <w:b/>
          <w:sz w:val="24"/>
          <w:szCs w:val="24"/>
        </w:rPr>
        <w:tab/>
        <w:t xml:space="preserve">               </w:t>
      </w:r>
    </w:p>
    <w:p w:rsidR="0092552C" w:rsidRPr="0092552C" w:rsidRDefault="0092552C" w:rsidP="0092552C">
      <w:pPr>
        <w:spacing w:before="240" w:after="0" w:line="480" w:lineRule="auto"/>
        <w:contextualSpacing/>
        <w:jc w:val="both"/>
        <w:rPr>
          <w:rFonts w:ascii="Times New Roman" w:hAnsi="Times New Roman"/>
          <w:b/>
          <w:sz w:val="24"/>
          <w:szCs w:val="24"/>
        </w:rPr>
      </w:pPr>
      <w:r w:rsidRPr="0092552C">
        <w:rPr>
          <w:rFonts w:ascii="Times New Roman" w:hAnsi="Times New Roman"/>
          <w:b/>
          <w:sz w:val="24"/>
          <w:szCs w:val="24"/>
        </w:rPr>
        <w:t xml:space="preserve"> </w:t>
      </w:r>
    </w:p>
    <w:p w:rsidR="0092552C" w:rsidRPr="0092552C" w:rsidRDefault="0092552C" w:rsidP="0092552C">
      <w:pPr>
        <w:spacing w:before="240" w:after="0" w:line="480" w:lineRule="auto"/>
        <w:ind w:left="3600" w:firstLine="720"/>
        <w:contextualSpacing/>
        <w:jc w:val="both"/>
        <w:rPr>
          <w:rFonts w:ascii="Times New Roman" w:hAnsi="Times New Roman"/>
          <w:b/>
          <w:sz w:val="24"/>
          <w:szCs w:val="24"/>
        </w:rPr>
      </w:pPr>
      <w:r>
        <w:rPr>
          <w:rFonts w:ascii="Times New Roman" w:hAnsi="Times New Roman"/>
          <w:b/>
          <w:noProof/>
          <w:sz w:val="24"/>
          <w:szCs w:val="24"/>
        </w:rPr>
        <w:drawing>
          <wp:inline distT="0" distB="0" distL="0" distR="0" wp14:anchorId="1B669E06">
            <wp:extent cx="942975" cy="953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0447" cy="960779"/>
                    </a:xfrm>
                    <a:prstGeom prst="rect">
                      <a:avLst/>
                    </a:prstGeom>
                    <a:noFill/>
                  </pic:spPr>
                </pic:pic>
              </a:graphicData>
            </a:graphic>
          </wp:inline>
        </w:drawing>
      </w:r>
    </w:p>
    <w:p w:rsidR="0092552C" w:rsidRDefault="0092552C" w:rsidP="0092552C">
      <w:pPr>
        <w:spacing w:before="240" w:after="0" w:line="240" w:lineRule="auto"/>
        <w:contextualSpacing/>
        <w:jc w:val="center"/>
        <w:rPr>
          <w:rFonts w:ascii="Times New Roman" w:hAnsi="Times New Roman"/>
          <w:b/>
          <w:sz w:val="24"/>
          <w:szCs w:val="24"/>
        </w:rPr>
      </w:pPr>
      <w:r w:rsidRPr="0092552C">
        <w:rPr>
          <w:rFonts w:ascii="Times New Roman" w:hAnsi="Times New Roman"/>
          <w:b/>
          <w:sz w:val="24"/>
          <w:szCs w:val="24"/>
        </w:rPr>
        <w:t>THE NEW YORK CITY COUNCIL</w:t>
      </w:r>
    </w:p>
    <w:p w:rsidR="0092552C" w:rsidRPr="0092552C" w:rsidRDefault="0092552C" w:rsidP="0092552C">
      <w:pPr>
        <w:spacing w:before="240" w:after="0" w:line="240" w:lineRule="auto"/>
        <w:contextualSpacing/>
        <w:jc w:val="center"/>
        <w:rPr>
          <w:rFonts w:ascii="Times New Roman" w:hAnsi="Times New Roman"/>
          <w:b/>
          <w:sz w:val="24"/>
          <w:szCs w:val="24"/>
        </w:rPr>
      </w:pPr>
      <w:r>
        <w:rPr>
          <w:rFonts w:ascii="Times New Roman" w:hAnsi="Times New Roman"/>
          <w:b/>
          <w:sz w:val="24"/>
          <w:szCs w:val="24"/>
        </w:rPr>
        <w:t>TANISHA EDWARDS</w:t>
      </w:r>
      <w:r w:rsidRPr="0092552C">
        <w:rPr>
          <w:rFonts w:ascii="Times New Roman" w:hAnsi="Times New Roman"/>
          <w:b/>
          <w:sz w:val="24"/>
          <w:szCs w:val="24"/>
        </w:rPr>
        <w:t xml:space="preserve">, </w:t>
      </w:r>
      <w:r>
        <w:rPr>
          <w:rFonts w:ascii="Times New Roman" w:hAnsi="Times New Roman"/>
          <w:b/>
          <w:sz w:val="24"/>
          <w:szCs w:val="24"/>
        </w:rPr>
        <w:t>CFO AND DEPUTY CHIEF OF STAFF</w:t>
      </w:r>
    </w:p>
    <w:p w:rsidR="0092552C" w:rsidRPr="0092552C" w:rsidRDefault="0092552C" w:rsidP="0092552C">
      <w:pPr>
        <w:spacing w:before="240" w:after="0" w:line="240" w:lineRule="auto"/>
        <w:contextualSpacing/>
        <w:jc w:val="center"/>
        <w:rPr>
          <w:rFonts w:ascii="Times New Roman" w:hAnsi="Times New Roman"/>
          <w:b/>
          <w:sz w:val="24"/>
          <w:szCs w:val="24"/>
        </w:rPr>
      </w:pPr>
      <w:r w:rsidRPr="0092552C">
        <w:rPr>
          <w:rFonts w:ascii="Times New Roman" w:hAnsi="Times New Roman"/>
          <w:b/>
          <w:sz w:val="24"/>
          <w:szCs w:val="24"/>
        </w:rPr>
        <w:t>COMMITTEE ON FINANCE</w:t>
      </w:r>
    </w:p>
    <w:p w:rsidR="0092552C" w:rsidRPr="0092552C" w:rsidRDefault="0092552C" w:rsidP="0092552C">
      <w:pPr>
        <w:spacing w:before="240" w:after="0" w:line="240" w:lineRule="auto"/>
        <w:contextualSpacing/>
        <w:jc w:val="center"/>
        <w:rPr>
          <w:rFonts w:ascii="Times New Roman" w:hAnsi="Times New Roman"/>
          <w:b/>
          <w:sz w:val="24"/>
          <w:szCs w:val="24"/>
        </w:rPr>
      </w:pPr>
      <w:r w:rsidRPr="0092552C">
        <w:rPr>
          <w:rFonts w:ascii="Times New Roman" w:hAnsi="Times New Roman"/>
          <w:b/>
          <w:sz w:val="24"/>
          <w:szCs w:val="24"/>
        </w:rPr>
        <w:t xml:space="preserve">HON. </w:t>
      </w:r>
      <w:r>
        <w:rPr>
          <w:rFonts w:ascii="Times New Roman" w:hAnsi="Times New Roman"/>
          <w:b/>
          <w:sz w:val="24"/>
          <w:szCs w:val="24"/>
        </w:rPr>
        <w:t>JUSTIN BRANNAN</w:t>
      </w:r>
      <w:r w:rsidRPr="0092552C">
        <w:rPr>
          <w:rFonts w:ascii="Times New Roman" w:hAnsi="Times New Roman"/>
          <w:b/>
          <w:sz w:val="24"/>
          <w:szCs w:val="24"/>
        </w:rPr>
        <w:t>, CHAIR</w:t>
      </w:r>
    </w:p>
    <w:p w:rsidR="0092552C" w:rsidRPr="0092552C" w:rsidRDefault="0092552C" w:rsidP="0092552C">
      <w:pPr>
        <w:spacing w:before="240" w:after="0" w:line="240" w:lineRule="auto"/>
        <w:jc w:val="center"/>
        <w:rPr>
          <w:rFonts w:ascii="Times New Roman" w:hAnsi="Times New Roman"/>
          <w:b/>
          <w:sz w:val="24"/>
          <w:szCs w:val="24"/>
        </w:rPr>
      </w:pPr>
      <w:r>
        <w:rPr>
          <w:rFonts w:ascii="Times New Roman" w:hAnsi="Times New Roman"/>
          <w:b/>
          <w:sz w:val="24"/>
          <w:szCs w:val="24"/>
        </w:rPr>
        <w:t>August 3, 2022</w:t>
      </w:r>
    </w:p>
    <w:p w:rsidR="0092552C" w:rsidRPr="0092552C" w:rsidRDefault="0092552C" w:rsidP="0092552C">
      <w:pPr>
        <w:spacing w:before="240" w:after="0" w:line="480" w:lineRule="auto"/>
        <w:contextualSpacing/>
        <w:jc w:val="both"/>
        <w:rPr>
          <w:rFonts w:ascii="Times New Roman" w:hAnsi="Times New Roman"/>
          <w:b/>
          <w:sz w:val="24"/>
          <w:szCs w:val="24"/>
        </w:rPr>
      </w:pPr>
    </w:p>
    <w:p w:rsidR="0092552C" w:rsidRPr="0092552C" w:rsidRDefault="0092552C" w:rsidP="0092552C">
      <w:pPr>
        <w:spacing w:before="240" w:after="0" w:line="480" w:lineRule="auto"/>
        <w:contextualSpacing/>
        <w:jc w:val="both"/>
        <w:rPr>
          <w:rFonts w:ascii="Times New Roman" w:hAnsi="Times New Roman"/>
          <w:b/>
          <w:sz w:val="24"/>
          <w:szCs w:val="24"/>
        </w:rPr>
      </w:pPr>
      <w:r w:rsidRPr="0092552C">
        <w:rPr>
          <w:rFonts w:ascii="Times New Roman" w:hAnsi="Times New Roman"/>
          <w:b/>
          <w:sz w:val="24"/>
          <w:szCs w:val="24"/>
        </w:rPr>
        <w:t xml:space="preserve"> INT.</w:t>
      </w:r>
      <w:r>
        <w:rPr>
          <w:rFonts w:ascii="Times New Roman" w:hAnsi="Times New Roman"/>
          <w:b/>
          <w:sz w:val="24"/>
          <w:szCs w:val="24"/>
        </w:rPr>
        <w:t xml:space="preserve"> NO 524:</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By Council Member Carr</w:t>
      </w:r>
    </w:p>
    <w:p w:rsidR="0092552C" w:rsidRPr="0092552C" w:rsidRDefault="0092552C" w:rsidP="0092552C">
      <w:pPr>
        <w:spacing w:before="240" w:after="0" w:line="240" w:lineRule="auto"/>
        <w:ind w:left="3600" w:hanging="3600"/>
        <w:jc w:val="both"/>
        <w:rPr>
          <w:rFonts w:ascii="Times New Roman" w:hAnsi="Times New Roman"/>
          <w:b/>
          <w:sz w:val="24"/>
          <w:szCs w:val="24"/>
        </w:rPr>
      </w:pPr>
      <w:r w:rsidRPr="0092552C">
        <w:rPr>
          <w:rFonts w:ascii="Times New Roman" w:hAnsi="Times New Roman"/>
          <w:b/>
          <w:sz w:val="24"/>
          <w:szCs w:val="24"/>
        </w:rPr>
        <w:t>TITLE:</w:t>
      </w:r>
      <w:r w:rsidRPr="0092552C">
        <w:rPr>
          <w:rFonts w:ascii="Times New Roman" w:hAnsi="Times New Roman"/>
          <w:b/>
          <w:sz w:val="24"/>
          <w:szCs w:val="24"/>
        </w:rPr>
        <w:tab/>
        <w:t>A Local Law to amend the administrative code of the city of New York, in relation to interest rates applicable to installment agreements for the payment of property tax arrears, and to repeal subdivision c of section 11-312 and subdivision e of subdivision 313, relating to the interest rates recommended by the banking commission for the nonpayment of water and sewer rents</w:t>
      </w:r>
    </w:p>
    <w:p w:rsidR="0092552C" w:rsidRPr="0092552C" w:rsidRDefault="0092552C" w:rsidP="0092552C">
      <w:pPr>
        <w:spacing w:before="240" w:after="0" w:line="480" w:lineRule="auto"/>
        <w:contextualSpacing/>
        <w:jc w:val="both"/>
        <w:rPr>
          <w:rFonts w:ascii="Times New Roman" w:hAnsi="Times New Roman"/>
          <w:b/>
          <w:sz w:val="24"/>
          <w:szCs w:val="24"/>
        </w:rPr>
      </w:pPr>
    </w:p>
    <w:p w:rsidR="0092552C" w:rsidRPr="0092552C" w:rsidRDefault="0092552C" w:rsidP="0092552C">
      <w:pPr>
        <w:spacing w:before="240" w:after="0" w:line="240" w:lineRule="auto"/>
        <w:ind w:left="3600" w:hanging="3600"/>
        <w:jc w:val="both"/>
        <w:rPr>
          <w:rFonts w:ascii="Times New Roman" w:hAnsi="Times New Roman"/>
          <w:b/>
          <w:sz w:val="24"/>
          <w:szCs w:val="24"/>
        </w:rPr>
      </w:pPr>
      <w:r w:rsidRPr="0092552C">
        <w:rPr>
          <w:rFonts w:ascii="Times New Roman" w:hAnsi="Times New Roman"/>
          <w:b/>
          <w:sz w:val="24"/>
          <w:szCs w:val="24"/>
        </w:rPr>
        <w:t>ADMINISTRATIVE CODE:</w:t>
      </w:r>
      <w:r w:rsidRPr="0092552C">
        <w:rPr>
          <w:rFonts w:ascii="Times New Roman" w:hAnsi="Times New Roman"/>
          <w:b/>
          <w:sz w:val="24"/>
          <w:szCs w:val="24"/>
        </w:rPr>
        <w:tab/>
        <w:t xml:space="preserve">Amends §11-224.1(e) and repeals §§11-312(c) and 11-313(e) of the Administrative Code </w:t>
      </w:r>
    </w:p>
    <w:p w:rsidR="0092552C" w:rsidRDefault="0092552C" w:rsidP="0092552C">
      <w:pPr>
        <w:spacing w:before="240" w:after="0" w:line="480" w:lineRule="auto"/>
        <w:contextualSpacing/>
        <w:jc w:val="both"/>
        <w:rPr>
          <w:rFonts w:ascii="Times New Roman" w:hAnsi="Times New Roman"/>
          <w:b/>
          <w:sz w:val="24"/>
          <w:szCs w:val="24"/>
        </w:rPr>
      </w:pPr>
    </w:p>
    <w:p w:rsidR="0092552C" w:rsidRPr="00937199" w:rsidRDefault="0092552C" w:rsidP="00937199">
      <w:pPr>
        <w:pStyle w:val="ListParagraph"/>
        <w:numPr>
          <w:ilvl w:val="0"/>
          <w:numId w:val="4"/>
        </w:numPr>
        <w:spacing w:before="240" w:after="0" w:line="480" w:lineRule="auto"/>
        <w:jc w:val="both"/>
        <w:rPr>
          <w:rFonts w:ascii="Times New Roman" w:hAnsi="Times New Roman"/>
          <w:b/>
          <w:sz w:val="24"/>
          <w:szCs w:val="24"/>
        </w:rPr>
      </w:pPr>
      <w:r w:rsidRPr="00937199">
        <w:rPr>
          <w:rFonts w:ascii="Times New Roman" w:hAnsi="Times New Roman"/>
          <w:b/>
          <w:sz w:val="24"/>
          <w:szCs w:val="24"/>
        </w:rPr>
        <w:t>Introduction</w:t>
      </w:r>
    </w:p>
    <w:p w:rsidR="0092552C" w:rsidRDefault="0092552C" w:rsidP="00C738ED">
      <w:pPr>
        <w:spacing w:before="240" w:after="0" w:line="480" w:lineRule="auto"/>
        <w:ind w:firstLine="360"/>
        <w:contextualSpacing/>
        <w:jc w:val="both"/>
        <w:rPr>
          <w:rFonts w:ascii="Times New Roman" w:hAnsi="Times New Roman"/>
          <w:sz w:val="24"/>
          <w:szCs w:val="24"/>
        </w:rPr>
      </w:pPr>
      <w:r w:rsidRPr="00937199">
        <w:rPr>
          <w:rFonts w:ascii="Times New Roman" w:hAnsi="Times New Roman"/>
          <w:sz w:val="24"/>
          <w:szCs w:val="24"/>
        </w:rPr>
        <w:lastRenderedPageBreak/>
        <w:t xml:space="preserve">On </w:t>
      </w:r>
      <w:r w:rsidR="00937199" w:rsidRPr="00937199">
        <w:rPr>
          <w:rFonts w:ascii="Times New Roman" w:hAnsi="Times New Roman"/>
          <w:sz w:val="24"/>
          <w:szCs w:val="24"/>
        </w:rPr>
        <w:t>August 3, 2022</w:t>
      </w:r>
      <w:r w:rsidRPr="00937199">
        <w:rPr>
          <w:rFonts w:ascii="Times New Roman" w:hAnsi="Times New Roman"/>
          <w:sz w:val="24"/>
          <w:szCs w:val="24"/>
        </w:rPr>
        <w:t xml:space="preserve">, the Committee on Finance, chaired by Council Member </w:t>
      </w:r>
      <w:r w:rsidR="00937199" w:rsidRPr="00937199">
        <w:rPr>
          <w:rFonts w:ascii="Times New Roman" w:hAnsi="Times New Roman"/>
          <w:sz w:val="24"/>
          <w:szCs w:val="24"/>
        </w:rPr>
        <w:t>Justin Brannan</w:t>
      </w:r>
      <w:r w:rsidRPr="00937199">
        <w:rPr>
          <w:rFonts w:ascii="Times New Roman" w:hAnsi="Times New Roman"/>
          <w:sz w:val="24"/>
          <w:szCs w:val="24"/>
        </w:rPr>
        <w:t xml:space="preserve">, will hold a hearing </w:t>
      </w:r>
      <w:r w:rsidR="00937199" w:rsidRPr="00937199">
        <w:rPr>
          <w:rFonts w:ascii="Times New Roman" w:hAnsi="Times New Roman"/>
          <w:sz w:val="24"/>
          <w:szCs w:val="24"/>
        </w:rPr>
        <w:t>Int</w:t>
      </w:r>
      <w:r w:rsidRPr="00937199">
        <w:rPr>
          <w:rFonts w:ascii="Times New Roman" w:hAnsi="Times New Roman"/>
          <w:sz w:val="24"/>
          <w:szCs w:val="24"/>
        </w:rPr>
        <w:t>.</w:t>
      </w:r>
      <w:r w:rsidR="00937199" w:rsidRPr="00937199">
        <w:rPr>
          <w:rFonts w:ascii="Times New Roman" w:hAnsi="Times New Roman"/>
          <w:sz w:val="24"/>
          <w:szCs w:val="24"/>
        </w:rPr>
        <w:t xml:space="preserve"> No. 524</w:t>
      </w:r>
      <w:r w:rsidRPr="00937199">
        <w:rPr>
          <w:rFonts w:ascii="Times New Roman" w:hAnsi="Times New Roman"/>
          <w:sz w:val="24"/>
          <w:szCs w:val="24"/>
        </w:rPr>
        <w:t>, s</w:t>
      </w:r>
      <w:r w:rsidR="00937199" w:rsidRPr="00937199">
        <w:rPr>
          <w:rFonts w:ascii="Times New Roman" w:hAnsi="Times New Roman"/>
          <w:sz w:val="24"/>
          <w:szCs w:val="24"/>
        </w:rPr>
        <w:t xml:space="preserve">ponsored by Council Member Carr, </w:t>
      </w:r>
      <w:r w:rsidRPr="00937199">
        <w:rPr>
          <w:rFonts w:ascii="Times New Roman" w:hAnsi="Times New Roman"/>
          <w:sz w:val="24"/>
          <w:szCs w:val="24"/>
        </w:rPr>
        <w:t>a</w:t>
      </w:r>
      <w:r w:rsidR="00937199" w:rsidRPr="00937199">
        <w:rPr>
          <w:rFonts w:ascii="Times New Roman" w:hAnsi="Times New Roman"/>
          <w:sz w:val="24"/>
          <w:szCs w:val="24"/>
        </w:rPr>
        <w:t xml:space="preserve"> </w:t>
      </w:r>
      <w:r w:rsidRPr="00937199">
        <w:rPr>
          <w:rFonts w:ascii="Times New Roman" w:hAnsi="Times New Roman"/>
          <w:sz w:val="24"/>
          <w:szCs w:val="24"/>
        </w:rPr>
        <w:t>l</w:t>
      </w:r>
      <w:r w:rsidR="00937199" w:rsidRPr="00937199">
        <w:rPr>
          <w:rFonts w:ascii="Times New Roman" w:hAnsi="Times New Roman"/>
          <w:sz w:val="24"/>
          <w:szCs w:val="24"/>
        </w:rPr>
        <w:t>ocal</w:t>
      </w:r>
      <w:r w:rsidRPr="00937199">
        <w:rPr>
          <w:rFonts w:ascii="Times New Roman" w:hAnsi="Times New Roman"/>
          <w:sz w:val="24"/>
          <w:szCs w:val="24"/>
        </w:rPr>
        <w:t xml:space="preserve"> law to amend the administrative code of the city of New York, in relation to interest rates applicable to installment agreements for the payment of property tax arrears, and to repeal subdivision c of section 11-312 and subdivision e of subdivision 313, relating to the interest rates recommended by the banking commission for the nonpayment of water and sewer rents.</w:t>
      </w:r>
    </w:p>
    <w:p w:rsidR="00F762FA" w:rsidRPr="00937199" w:rsidRDefault="00F762FA" w:rsidP="0092552C">
      <w:pPr>
        <w:spacing w:before="240" w:after="0" w:line="480" w:lineRule="auto"/>
        <w:contextualSpacing/>
        <w:jc w:val="both"/>
        <w:rPr>
          <w:rFonts w:ascii="Times New Roman" w:hAnsi="Times New Roman"/>
          <w:sz w:val="24"/>
          <w:szCs w:val="24"/>
        </w:rPr>
      </w:pPr>
      <w:r>
        <w:rPr>
          <w:rFonts w:ascii="Times New Roman" w:hAnsi="Times New Roman"/>
          <w:sz w:val="24"/>
          <w:szCs w:val="24"/>
        </w:rPr>
        <w:tab/>
        <w:t xml:space="preserve">A prior version of this legislation, Int. No. </w:t>
      </w:r>
      <w:r w:rsidR="00C738ED">
        <w:rPr>
          <w:rFonts w:ascii="Times New Roman" w:hAnsi="Times New Roman"/>
          <w:sz w:val="24"/>
          <w:szCs w:val="24"/>
        </w:rPr>
        <w:t>1262 of 2018, was heard by this Committee in 2018.</w:t>
      </w:r>
    </w:p>
    <w:p w:rsidR="00B74CAC" w:rsidRDefault="00937199" w:rsidP="00937199">
      <w:pPr>
        <w:spacing w:before="240" w:after="0" w:line="480" w:lineRule="auto"/>
        <w:ind w:left="360"/>
        <w:contextualSpacing/>
        <w:jc w:val="both"/>
        <w:rPr>
          <w:rFonts w:ascii="Times New Roman" w:hAnsi="Times New Roman"/>
          <w:b/>
          <w:sz w:val="24"/>
          <w:szCs w:val="24"/>
        </w:rPr>
      </w:pPr>
      <w:r>
        <w:rPr>
          <w:rFonts w:ascii="Times New Roman" w:hAnsi="Times New Roman"/>
          <w:b/>
          <w:sz w:val="24"/>
          <w:szCs w:val="24"/>
        </w:rPr>
        <w:t>II.</w:t>
      </w:r>
      <w:r>
        <w:rPr>
          <w:rFonts w:ascii="Times New Roman" w:hAnsi="Times New Roman"/>
          <w:b/>
          <w:sz w:val="24"/>
          <w:szCs w:val="24"/>
        </w:rPr>
        <w:tab/>
      </w:r>
      <w:r>
        <w:rPr>
          <w:rFonts w:ascii="Times New Roman" w:hAnsi="Times New Roman"/>
          <w:b/>
          <w:sz w:val="24"/>
          <w:szCs w:val="24"/>
        </w:rPr>
        <w:tab/>
      </w:r>
      <w:r w:rsidR="00C24A29">
        <w:rPr>
          <w:rFonts w:ascii="Times New Roman" w:hAnsi="Times New Roman"/>
          <w:b/>
          <w:sz w:val="24"/>
          <w:szCs w:val="24"/>
        </w:rPr>
        <w:t xml:space="preserve">Background on </w:t>
      </w:r>
      <w:r w:rsidR="00B74CAC">
        <w:rPr>
          <w:rFonts w:ascii="Times New Roman" w:hAnsi="Times New Roman"/>
          <w:b/>
          <w:sz w:val="24"/>
          <w:szCs w:val="24"/>
        </w:rPr>
        <w:t xml:space="preserve">Late Payment Interest Rates </w:t>
      </w:r>
    </w:p>
    <w:p w:rsidR="00B74CAC" w:rsidRPr="00571781" w:rsidRDefault="00B74CAC" w:rsidP="00B74CAC">
      <w:pPr>
        <w:spacing w:after="0" w:line="480" w:lineRule="auto"/>
        <w:ind w:firstLine="720"/>
        <w:jc w:val="both"/>
        <w:rPr>
          <w:rFonts w:ascii="Times New Roman" w:hAnsi="Times New Roman"/>
          <w:sz w:val="24"/>
          <w:szCs w:val="24"/>
        </w:rPr>
      </w:pPr>
      <w:r w:rsidRPr="00571781">
        <w:rPr>
          <w:rFonts w:ascii="Times New Roman" w:hAnsi="Times New Roman"/>
          <w:sz w:val="24"/>
          <w:szCs w:val="24"/>
        </w:rPr>
        <w:t xml:space="preserve">Currently, the Administrative Code requires that </w:t>
      </w:r>
      <w:r w:rsidR="008E5171" w:rsidRPr="00571781">
        <w:rPr>
          <w:rFonts w:ascii="Times New Roman" w:hAnsi="Times New Roman"/>
          <w:sz w:val="24"/>
          <w:szCs w:val="24"/>
        </w:rPr>
        <w:t xml:space="preserve">by May 13 each year, </w:t>
      </w:r>
      <w:r w:rsidRPr="00571781">
        <w:rPr>
          <w:rFonts w:ascii="Times New Roman" w:hAnsi="Times New Roman"/>
          <w:sz w:val="24"/>
          <w:szCs w:val="24"/>
        </w:rPr>
        <w:t xml:space="preserve">the Banking Commission, </w:t>
      </w:r>
      <w:r w:rsidR="008E5171">
        <w:rPr>
          <w:rFonts w:ascii="Times New Roman" w:hAnsi="Times New Roman"/>
          <w:sz w:val="24"/>
          <w:szCs w:val="24"/>
        </w:rPr>
        <w:t>which consists of the Mayor, the Comptroller, and the Finance Commissioner</w:t>
      </w:r>
      <w:r w:rsidR="00942D50">
        <w:rPr>
          <w:rStyle w:val="FootnoteReference"/>
          <w:rFonts w:ascii="Times New Roman" w:hAnsi="Times New Roman"/>
          <w:sz w:val="24"/>
          <w:szCs w:val="24"/>
        </w:rPr>
        <w:footnoteReference w:id="1"/>
      </w:r>
      <w:r w:rsidR="008E5171">
        <w:rPr>
          <w:rFonts w:ascii="Times New Roman" w:hAnsi="Times New Roman"/>
          <w:sz w:val="24"/>
          <w:szCs w:val="24"/>
        </w:rPr>
        <w:t xml:space="preserve">, </w:t>
      </w:r>
      <w:r w:rsidRPr="00571781">
        <w:rPr>
          <w:rFonts w:ascii="Times New Roman" w:hAnsi="Times New Roman"/>
          <w:sz w:val="24"/>
          <w:szCs w:val="24"/>
        </w:rPr>
        <w:t>recommend to the Council the following interest rates:</w:t>
      </w:r>
    </w:p>
    <w:p w:rsidR="00B74CAC" w:rsidRPr="00571781" w:rsidRDefault="00B74CAC" w:rsidP="00B74CAC">
      <w:pPr>
        <w:numPr>
          <w:ilvl w:val="0"/>
          <w:numId w:val="2"/>
        </w:numPr>
        <w:spacing w:after="0" w:line="240" w:lineRule="auto"/>
        <w:contextualSpacing/>
        <w:jc w:val="both"/>
        <w:rPr>
          <w:rFonts w:ascii="Times New Roman" w:hAnsi="Times New Roman"/>
          <w:sz w:val="24"/>
          <w:szCs w:val="24"/>
        </w:rPr>
      </w:pPr>
      <w:r w:rsidRPr="00571781">
        <w:rPr>
          <w:rFonts w:ascii="Times New Roman" w:hAnsi="Times New Roman"/>
          <w:sz w:val="24"/>
          <w:szCs w:val="24"/>
        </w:rPr>
        <w:t xml:space="preserve">rate to be charged for the </w:t>
      </w:r>
      <w:r w:rsidRPr="00A01E12">
        <w:rPr>
          <w:rFonts w:ascii="Times New Roman" w:hAnsi="Times New Roman"/>
          <w:sz w:val="24"/>
          <w:szCs w:val="24"/>
        </w:rPr>
        <w:t>nonpayment of property taxes for properties with an assessed value of $250,000 or less, or $250,000 or less per residential unit for cooperative apartments, that must be at least equal to the</w:t>
      </w:r>
      <w:r w:rsidRPr="00571781">
        <w:rPr>
          <w:rFonts w:ascii="Times New Roman" w:hAnsi="Times New Roman"/>
          <w:sz w:val="24"/>
          <w:szCs w:val="24"/>
        </w:rPr>
        <w:t xml:space="preserve"> interest rates charged for commercial loans extended to prime borrowers by commercial banks operating </w:t>
      </w:r>
      <w:r w:rsidR="00292805">
        <w:rPr>
          <w:rFonts w:ascii="Times New Roman" w:hAnsi="Times New Roman"/>
          <w:sz w:val="24"/>
          <w:szCs w:val="24"/>
        </w:rPr>
        <w:t>in the City (“the prime rate”);</w:t>
      </w:r>
      <w:r w:rsidRPr="00571781">
        <w:rPr>
          <w:rStyle w:val="FootnoteReference"/>
        </w:rPr>
        <w:footnoteReference w:id="2"/>
      </w:r>
    </w:p>
    <w:p w:rsidR="002C1EF9" w:rsidRPr="00571781" w:rsidRDefault="002C1EF9" w:rsidP="002C1EF9">
      <w:pPr>
        <w:numPr>
          <w:ilvl w:val="0"/>
          <w:numId w:val="2"/>
        </w:numPr>
        <w:spacing w:after="0" w:line="240" w:lineRule="auto"/>
        <w:contextualSpacing/>
        <w:jc w:val="both"/>
        <w:rPr>
          <w:rFonts w:ascii="Times New Roman" w:hAnsi="Times New Roman"/>
          <w:sz w:val="24"/>
          <w:szCs w:val="24"/>
        </w:rPr>
      </w:pPr>
      <w:r w:rsidRPr="00571781">
        <w:rPr>
          <w:rFonts w:ascii="Times New Roman" w:hAnsi="Times New Roman"/>
          <w:sz w:val="24"/>
          <w:szCs w:val="24"/>
        </w:rPr>
        <w:t>rate to be charged for the nonpayment of property taxes for properties with an assessed value of more than $</w:t>
      </w:r>
      <w:r>
        <w:rPr>
          <w:rFonts w:ascii="Times New Roman" w:hAnsi="Times New Roman"/>
          <w:sz w:val="24"/>
          <w:szCs w:val="24"/>
        </w:rPr>
        <w:t>2</w:t>
      </w:r>
      <w:r w:rsidRPr="00571781">
        <w:rPr>
          <w:rFonts w:ascii="Times New Roman" w:hAnsi="Times New Roman"/>
          <w:sz w:val="24"/>
          <w:szCs w:val="24"/>
        </w:rPr>
        <w:t xml:space="preserve">50,000 </w:t>
      </w:r>
      <w:r>
        <w:rPr>
          <w:rFonts w:ascii="Times New Roman" w:hAnsi="Times New Roman"/>
          <w:sz w:val="24"/>
          <w:szCs w:val="24"/>
        </w:rPr>
        <w:t xml:space="preserve">but no more than $450,000 </w:t>
      </w:r>
      <w:r w:rsidRPr="00571781">
        <w:rPr>
          <w:rFonts w:ascii="Times New Roman" w:hAnsi="Times New Roman"/>
          <w:sz w:val="24"/>
          <w:szCs w:val="24"/>
        </w:rPr>
        <w:t xml:space="preserve">that must be at least </w:t>
      </w:r>
      <w:r>
        <w:rPr>
          <w:rFonts w:ascii="Times New Roman" w:hAnsi="Times New Roman"/>
          <w:sz w:val="24"/>
          <w:szCs w:val="24"/>
        </w:rPr>
        <w:t>four</w:t>
      </w:r>
      <w:r w:rsidRPr="00571781">
        <w:rPr>
          <w:rFonts w:ascii="Times New Roman" w:hAnsi="Times New Roman"/>
          <w:sz w:val="24"/>
          <w:szCs w:val="24"/>
        </w:rPr>
        <w:t xml:space="preserve"> points higher than the prime rate;</w:t>
      </w:r>
      <w:r w:rsidRPr="00571781">
        <w:rPr>
          <w:rStyle w:val="FootnoteReference"/>
        </w:rPr>
        <w:footnoteReference w:id="3"/>
      </w:r>
      <w:r w:rsidRPr="00571781">
        <w:rPr>
          <w:rFonts w:ascii="Times New Roman" w:hAnsi="Times New Roman"/>
          <w:sz w:val="24"/>
          <w:szCs w:val="24"/>
        </w:rPr>
        <w:t xml:space="preserve"> </w:t>
      </w:r>
    </w:p>
    <w:p w:rsidR="00B74CAC" w:rsidRPr="00571781" w:rsidRDefault="00B74CAC" w:rsidP="00B74CAC">
      <w:pPr>
        <w:numPr>
          <w:ilvl w:val="0"/>
          <w:numId w:val="2"/>
        </w:numPr>
        <w:spacing w:after="0" w:line="240" w:lineRule="auto"/>
        <w:contextualSpacing/>
        <w:jc w:val="both"/>
        <w:rPr>
          <w:rFonts w:ascii="Times New Roman" w:hAnsi="Times New Roman"/>
          <w:sz w:val="24"/>
          <w:szCs w:val="24"/>
        </w:rPr>
      </w:pPr>
      <w:r w:rsidRPr="00571781">
        <w:rPr>
          <w:rFonts w:ascii="Times New Roman" w:hAnsi="Times New Roman"/>
          <w:sz w:val="24"/>
          <w:szCs w:val="24"/>
        </w:rPr>
        <w:t>rate to be charged for the nonpayment of property taxes for properties with an assessed value of more than $</w:t>
      </w:r>
      <w:r w:rsidR="002C1EF9">
        <w:rPr>
          <w:rFonts w:ascii="Times New Roman" w:hAnsi="Times New Roman"/>
          <w:sz w:val="24"/>
          <w:szCs w:val="24"/>
        </w:rPr>
        <w:t>4</w:t>
      </w:r>
      <w:r w:rsidRPr="00571781">
        <w:rPr>
          <w:rFonts w:ascii="Times New Roman" w:hAnsi="Times New Roman"/>
          <w:sz w:val="24"/>
          <w:szCs w:val="24"/>
        </w:rPr>
        <w:t>50,000 that must be at least six points higher than the prime rate;</w:t>
      </w:r>
      <w:r w:rsidRPr="00571781">
        <w:rPr>
          <w:rStyle w:val="FootnoteReference"/>
        </w:rPr>
        <w:footnoteReference w:id="4"/>
      </w:r>
      <w:r w:rsidRPr="00571781">
        <w:rPr>
          <w:rFonts w:ascii="Times New Roman" w:hAnsi="Times New Roman"/>
          <w:sz w:val="24"/>
          <w:szCs w:val="24"/>
        </w:rPr>
        <w:t xml:space="preserve"> </w:t>
      </w:r>
    </w:p>
    <w:p w:rsidR="00B74CAC" w:rsidRPr="00571781" w:rsidRDefault="00B74CAC" w:rsidP="00B74CAC">
      <w:pPr>
        <w:numPr>
          <w:ilvl w:val="0"/>
          <w:numId w:val="2"/>
        </w:numPr>
        <w:spacing w:after="0" w:line="240" w:lineRule="auto"/>
        <w:contextualSpacing/>
        <w:jc w:val="both"/>
        <w:rPr>
          <w:rFonts w:ascii="Times New Roman" w:hAnsi="Times New Roman"/>
          <w:sz w:val="24"/>
          <w:szCs w:val="24"/>
        </w:rPr>
      </w:pPr>
      <w:r w:rsidRPr="00571781">
        <w:rPr>
          <w:rFonts w:ascii="Times New Roman" w:hAnsi="Times New Roman"/>
          <w:sz w:val="24"/>
          <w:szCs w:val="24"/>
        </w:rPr>
        <w:t>rate to be charged for the nonpayment of water rents that must be at least six points higher than the prime rate;</w:t>
      </w:r>
      <w:r w:rsidRPr="00571781">
        <w:rPr>
          <w:rStyle w:val="FootnoteReference"/>
        </w:rPr>
        <w:footnoteReference w:id="5"/>
      </w:r>
      <w:r w:rsidRPr="00571781">
        <w:rPr>
          <w:rFonts w:ascii="Times New Roman" w:hAnsi="Times New Roman"/>
          <w:sz w:val="24"/>
          <w:szCs w:val="24"/>
        </w:rPr>
        <w:t xml:space="preserve">  and</w:t>
      </w:r>
    </w:p>
    <w:p w:rsidR="00B74CAC" w:rsidRPr="00571781" w:rsidRDefault="00B74CAC" w:rsidP="00B74CAC">
      <w:pPr>
        <w:numPr>
          <w:ilvl w:val="0"/>
          <w:numId w:val="2"/>
        </w:numPr>
        <w:spacing w:after="0" w:line="240" w:lineRule="auto"/>
        <w:contextualSpacing/>
        <w:jc w:val="both"/>
        <w:rPr>
          <w:rFonts w:ascii="Times New Roman" w:hAnsi="Times New Roman"/>
          <w:sz w:val="24"/>
          <w:szCs w:val="24"/>
        </w:rPr>
      </w:pPr>
      <w:r w:rsidRPr="00571781">
        <w:rPr>
          <w:rFonts w:ascii="Times New Roman" w:hAnsi="Times New Roman"/>
          <w:sz w:val="24"/>
          <w:szCs w:val="24"/>
        </w:rPr>
        <w:t xml:space="preserve">rate to be charged for the nonpayment of </w:t>
      </w:r>
      <w:r>
        <w:rPr>
          <w:rFonts w:ascii="Times New Roman" w:hAnsi="Times New Roman"/>
          <w:sz w:val="24"/>
          <w:szCs w:val="24"/>
        </w:rPr>
        <w:t>sewer</w:t>
      </w:r>
      <w:r w:rsidRPr="00571781">
        <w:rPr>
          <w:rFonts w:ascii="Times New Roman" w:hAnsi="Times New Roman"/>
          <w:sz w:val="24"/>
          <w:szCs w:val="24"/>
        </w:rPr>
        <w:t xml:space="preserve"> rents that must be at least six points higher than the prime rate. </w:t>
      </w:r>
      <w:r w:rsidRPr="00571781">
        <w:rPr>
          <w:rStyle w:val="FootnoteReference"/>
        </w:rPr>
        <w:footnoteReference w:id="6"/>
      </w:r>
    </w:p>
    <w:p w:rsidR="00B74CAC" w:rsidRDefault="00B74CAC" w:rsidP="00B74CAC">
      <w:pPr>
        <w:spacing w:after="0" w:line="240" w:lineRule="auto"/>
        <w:ind w:firstLine="720"/>
        <w:jc w:val="both"/>
        <w:rPr>
          <w:rFonts w:ascii="Times New Roman" w:hAnsi="Times New Roman"/>
          <w:sz w:val="24"/>
          <w:szCs w:val="24"/>
        </w:rPr>
      </w:pPr>
    </w:p>
    <w:p w:rsidR="00B74CAC" w:rsidRPr="00571781" w:rsidRDefault="00942D50" w:rsidP="00B74CAC">
      <w:pPr>
        <w:spacing w:after="0" w:line="480" w:lineRule="auto"/>
        <w:ind w:firstLine="720"/>
        <w:jc w:val="both"/>
        <w:rPr>
          <w:rFonts w:ascii="Times New Roman" w:hAnsi="Times New Roman"/>
          <w:sz w:val="24"/>
          <w:szCs w:val="24"/>
        </w:rPr>
      </w:pPr>
      <w:r>
        <w:rPr>
          <w:rFonts w:ascii="Times New Roman" w:hAnsi="Times New Roman"/>
          <w:sz w:val="24"/>
          <w:szCs w:val="24"/>
        </w:rPr>
        <w:t>U</w:t>
      </w:r>
      <w:r w:rsidRPr="00571781">
        <w:rPr>
          <w:rFonts w:ascii="Times New Roman" w:hAnsi="Times New Roman"/>
          <w:sz w:val="24"/>
          <w:szCs w:val="24"/>
        </w:rPr>
        <w:t>pon receipt of the recommendations</w:t>
      </w:r>
      <w:r>
        <w:rPr>
          <w:rFonts w:ascii="Times New Roman" w:hAnsi="Times New Roman"/>
          <w:sz w:val="24"/>
          <w:szCs w:val="24"/>
        </w:rPr>
        <w:t>,</w:t>
      </w:r>
      <w:r w:rsidRPr="00571781">
        <w:rPr>
          <w:rFonts w:ascii="Times New Roman" w:hAnsi="Times New Roman"/>
          <w:sz w:val="24"/>
          <w:szCs w:val="24"/>
        </w:rPr>
        <w:t xml:space="preserve"> </w:t>
      </w:r>
      <w:r>
        <w:rPr>
          <w:rFonts w:ascii="Times New Roman" w:hAnsi="Times New Roman"/>
          <w:sz w:val="24"/>
          <w:szCs w:val="24"/>
        </w:rPr>
        <w:t>t</w:t>
      </w:r>
      <w:r w:rsidR="00B74CAC" w:rsidRPr="00571781">
        <w:rPr>
          <w:rFonts w:ascii="Times New Roman" w:hAnsi="Times New Roman"/>
          <w:sz w:val="24"/>
          <w:szCs w:val="24"/>
        </w:rPr>
        <w:t xml:space="preserve">he Council may </w:t>
      </w:r>
      <w:r>
        <w:rPr>
          <w:rFonts w:ascii="Times New Roman" w:hAnsi="Times New Roman"/>
          <w:sz w:val="24"/>
          <w:szCs w:val="24"/>
        </w:rPr>
        <w:t>adopt</w:t>
      </w:r>
      <w:r w:rsidR="00B74CAC" w:rsidRPr="00571781">
        <w:rPr>
          <w:rFonts w:ascii="Times New Roman" w:hAnsi="Times New Roman"/>
          <w:sz w:val="24"/>
          <w:szCs w:val="24"/>
        </w:rPr>
        <w:t xml:space="preserve"> by resolution</w:t>
      </w:r>
      <w:r>
        <w:rPr>
          <w:rFonts w:ascii="Times New Roman" w:hAnsi="Times New Roman"/>
          <w:sz w:val="24"/>
          <w:szCs w:val="24"/>
        </w:rPr>
        <w:t xml:space="preserve"> either the rates recommended or those determined by the Council</w:t>
      </w:r>
      <w:r w:rsidR="00B74CAC" w:rsidRPr="00571781">
        <w:rPr>
          <w:rFonts w:ascii="Times New Roman" w:hAnsi="Times New Roman"/>
          <w:sz w:val="24"/>
          <w:szCs w:val="24"/>
        </w:rPr>
        <w:t>.</w:t>
      </w:r>
      <w:r w:rsidR="00B74CAC" w:rsidRPr="00571781">
        <w:rPr>
          <w:rStyle w:val="FootnoteReference"/>
        </w:rPr>
        <w:footnoteReference w:id="7"/>
      </w:r>
      <w:r w:rsidR="00B74CAC" w:rsidRPr="00571781">
        <w:rPr>
          <w:rFonts w:ascii="Times New Roman" w:hAnsi="Times New Roman"/>
          <w:sz w:val="24"/>
          <w:szCs w:val="24"/>
        </w:rPr>
        <w:t xml:space="preserve"> If the Council fails to act, then a default interest rate will be in effect for the following fiscal year.</w:t>
      </w:r>
      <w:r w:rsidR="00B74CAC" w:rsidRPr="00571781">
        <w:rPr>
          <w:rStyle w:val="FootnoteReference"/>
        </w:rPr>
        <w:footnoteReference w:id="8"/>
      </w:r>
    </w:p>
    <w:p w:rsidR="00B74CAC" w:rsidRDefault="00B74CAC" w:rsidP="00B74CAC">
      <w:pPr>
        <w:pStyle w:val="BodyText"/>
      </w:pPr>
      <w:r>
        <w:t>From Fiscal 1976 to Fiscal 1990, the interest rate for non-payment of property taxes was at times as high as 25.5%, and at times as low as 15.5%. Prior to Fiscal 2005, for water and sewer charges, there was no distinction between properties with a higher or lower assessed values. Similarly, prior to Fiscal 1991, for property taxes, there was no distinction between properties with a higher or lower assessed values. All property owners paid the same interest rate on either delinquent property taxes or on water/sewer charges regardless of the assessed value of their properties. The interest rate for the delinquent or non-payment of property taxes and water/sewer charges ha</w:t>
      </w:r>
      <w:r w:rsidR="000E0EC2">
        <w:t>d</w:t>
      </w:r>
      <w:r>
        <w:t xml:space="preserve"> remained steady between Fiscal 1991 and Fiscal 2016 with the rates for higher assessed property at 18% and the rates for lower assessed property at 9%. Beginning in Fiscal 2016, the Council adopted a rate lower than 9% in an attempt to ease the burden on property owners who were already struggling to pay their property taxes and to bring the interest rate charged by the City more in line with interest rates charged in other contexts.</w:t>
      </w:r>
    </w:p>
    <w:p w:rsidR="009C7CCC" w:rsidRPr="009C7CCC" w:rsidRDefault="009C7CCC" w:rsidP="009C7CCC">
      <w:pPr>
        <w:pStyle w:val="BodyText"/>
      </w:pPr>
      <w:r>
        <w:t xml:space="preserve">Interest rates were brought down to record lows during the COVID-19 pandemic, with rates hitting as low as 3% for the smallest category of properties in Fiscal 2022. Further, </w:t>
      </w:r>
      <w:r w:rsidR="000A2F90">
        <w:t>t</w:t>
      </w:r>
      <w:r>
        <w:t>he Council</w:t>
      </w:r>
      <w:r w:rsidRPr="009C7CCC">
        <w:t xml:space="preserve"> </w:t>
      </w:r>
      <w:r>
        <w:rPr>
          <w:color w:val="000000" w:themeColor="text1"/>
        </w:rPr>
        <w:t xml:space="preserve">also </w:t>
      </w:r>
      <w:r w:rsidRPr="009C7CCC">
        <w:t>adopted special interest rat</w:t>
      </w:r>
      <w:r>
        <w:t>es for the first quarter of Fiscals 2021 and 2022 that were available for</w:t>
      </w:r>
      <w:r w:rsidRPr="009C7CCC">
        <w:t xml:space="preserve"> certain property owners adversely affected by COVID-19</w:t>
      </w:r>
      <w:r>
        <w:t>. These special rates were granted</w:t>
      </w:r>
      <w:r w:rsidRPr="009C7CCC">
        <w:t xml:space="preserve"> under the authority </w:t>
      </w:r>
      <w:r>
        <w:t>of</w:t>
      </w:r>
      <w:r w:rsidRPr="009C7CCC">
        <w:t xml:space="preserve"> Local Laws 62 and 63 of 2020, and Local Laws 85 and 86 of 2021.</w:t>
      </w:r>
    </w:p>
    <w:p w:rsidR="00AB4574" w:rsidRDefault="009C7CCC" w:rsidP="00937199">
      <w:pPr>
        <w:spacing w:after="0" w:line="480" w:lineRule="auto"/>
        <w:ind w:firstLine="720"/>
        <w:jc w:val="both"/>
        <w:rPr>
          <w:rFonts w:ascii="Times New Roman" w:hAnsi="Times New Roman"/>
          <w:sz w:val="24"/>
          <w:szCs w:val="24"/>
        </w:rPr>
      </w:pPr>
      <w:r w:rsidRPr="009C7CCC">
        <w:rPr>
          <w:rFonts w:ascii="Times New Roman" w:hAnsi="Times New Roman"/>
          <w:sz w:val="24"/>
          <w:szCs w:val="24"/>
        </w:rPr>
        <w:t xml:space="preserve">Additionally, as part of Local Law </w:t>
      </w:r>
      <w:r w:rsidR="001D33F7">
        <w:rPr>
          <w:rFonts w:ascii="Times New Roman" w:hAnsi="Times New Roman"/>
          <w:sz w:val="24"/>
          <w:szCs w:val="24"/>
        </w:rPr>
        <w:t>24 of 2021</w:t>
      </w:r>
      <w:r w:rsidRPr="009C7CCC">
        <w:rPr>
          <w:rFonts w:ascii="Times New Roman" w:hAnsi="Times New Roman"/>
          <w:sz w:val="24"/>
          <w:szCs w:val="24"/>
        </w:rPr>
        <w:t>, the larger category of properties (those with assessed values</w:t>
      </w:r>
      <w:r>
        <w:rPr>
          <w:rFonts w:ascii="Times New Roman" w:hAnsi="Times New Roman"/>
          <w:sz w:val="24"/>
          <w:szCs w:val="24"/>
        </w:rPr>
        <w:t xml:space="preserve"> greater than $250,000) was </w:t>
      </w:r>
      <w:r w:rsidR="001D33F7">
        <w:rPr>
          <w:rFonts w:ascii="Times New Roman" w:hAnsi="Times New Roman"/>
          <w:sz w:val="24"/>
          <w:szCs w:val="24"/>
        </w:rPr>
        <w:t xml:space="preserve">further </w:t>
      </w:r>
      <w:r>
        <w:rPr>
          <w:rFonts w:ascii="Times New Roman" w:hAnsi="Times New Roman"/>
          <w:sz w:val="24"/>
          <w:szCs w:val="24"/>
        </w:rPr>
        <w:t>subdivided</w:t>
      </w:r>
      <w:r w:rsidR="001D33F7">
        <w:rPr>
          <w:rFonts w:ascii="Times New Roman" w:hAnsi="Times New Roman"/>
          <w:sz w:val="24"/>
          <w:szCs w:val="24"/>
        </w:rPr>
        <w:t xml:space="preserve"> into a medium and large tier of properties. This would</w:t>
      </w:r>
      <w:r>
        <w:rPr>
          <w:rFonts w:ascii="Times New Roman" w:hAnsi="Times New Roman"/>
          <w:sz w:val="24"/>
          <w:szCs w:val="24"/>
        </w:rPr>
        <w:t xml:space="preserve"> allow different interest rates to be set for properties with assessed values greater than $250,000 but no more than $450,000, and for properties with assessed values greater than $450,000.</w:t>
      </w:r>
      <w:r w:rsidR="001D33F7">
        <w:rPr>
          <w:rFonts w:ascii="Times New Roman" w:hAnsi="Times New Roman"/>
          <w:sz w:val="24"/>
          <w:szCs w:val="24"/>
        </w:rPr>
        <w:t xml:space="preserve"> As such, beginning with Fiscal 2022, the Council has adopted lower interest rates for this medium tier than it has for the larger tier.</w:t>
      </w:r>
    </w:p>
    <w:p w:rsidR="00AB4574" w:rsidRPr="00937199" w:rsidRDefault="00AB4574" w:rsidP="00937199">
      <w:pPr>
        <w:pStyle w:val="ListParagraph"/>
        <w:numPr>
          <w:ilvl w:val="0"/>
          <w:numId w:val="4"/>
        </w:numPr>
        <w:spacing w:before="240" w:after="0" w:line="480" w:lineRule="auto"/>
        <w:jc w:val="both"/>
        <w:rPr>
          <w:rFonts w:ascii="Times New Roman" w:hAnsi="Times New Roman"/>
          <w:b/>
          <w:sz w:val="24"/>
          <w:szCs w:val="24"/>
        </w:rPr>
      </w:pPr>
      <w:r w:rsidRPr="00937199">
        <w:rPr>
          <w:rFonts w:ascii="Times New Roman" w:hAnsi="Times New Roman"/>
          <w:b/>
          <w:sz w:val="24"/>
          <w:szCs w:val="24"/>
        </w:rPr>
        <w:t>History of Late Payment Interest Rates as Adopted by the City Council</w:t>
      </w:r>
    </w:p>
    <w:tbl>
      <w:tblPr>
        <w:tblW w:w="8720" w:type="dxa"/>
        <w:tblLook w:val="04A0" w:firstRow="1" w:lastRow="0" w:firstColumn="1" w:lastColumn="0" w:noHBand="0" w:noVBand="1"/>
      </w:tblPr>
      <w:tblGrid>
        <w:gridCol w:w="960"/>
        <w:gridCol w:w="1020"/>
        <w:gridCol w:w="1360"/>
        <w:gridCol w:w="1360"/>
        <w:gridCol w:w="1360"/>
        <w:gridCol w:w="1452"/>
        <w:gridCol w:w="1452"/>
      </w:tblGrid>
      <w:tr w:rsidR="00AB4574" w:rsidRPr="00AB4574" w:rsidTr="00AB4574">
        <w:trPr>
          <w:trHeight w:val="2115"/>
        </w:trPr>
        <w:tc>
          <w:tcPr>
            <w:tcW w:w="960" w:type="dxa"/>
            <w:tcBorders>
              <w:top w:val="single" w:sz="8" w:space="0" w:color="auto"/>
              <w:left w:val="single" w:sz="8" w:space="0" w:color="auto"/>
              <w:bottom w:val="single" w:sz="8" w:space="0" w:color="auto"/>
              <w:right w:val="single" w:sz="8" w:space="0" w:color="auto"/>
            </w:tcBorders>
            <w:shd w:val="clear" w:color="000000" w:fill="B4C6E7"/>
            <w:vAlign w:val="center"/>
            <w:hideMark/>
          </w:tcPr>
          <w:p w:rsidR="00AB4574" w:rsidRPr="00AB4574" w:rsidRDefault="00AB4574" w:rsidP="00AB4574">
            <w:pPr>
              <w:spacing w:after="0" w:line="240" w:lineRule="auto"/>
              <w:jc w:val="center"/>
              <w:rPr>
                <w:rFonts w:eastAsia="Times New Roman" w:cs="Calibri"/>
                <w:b/>
                <w:bCs/>
                <w:color w:val="000000"/>
              </w:rPr>
            </w:pPr>
            <w:r w:rsidRPr="00AB4574">
              <w:rPr>
                <w:rFonts w:eastAsia="Times New Roman" w:cs="Calibri"/>
                <w:b/>
                <w:bCs/>
                <w:color w:val="000000"/>
              </w:rPr>
              <w:t>Fiscal Year</w:t>
            </w:r>
          </w:p>
        </w:tc>
        <w:tc>
          <w:tcPr>
            <w:tcW w:w="960" w:type="dxa"/>
            <w:tcBorders>
              <w:top w:val="single" w:sz="8" w:space="0" w:color="auto"/>
              <w:left w:val="nil"/>
              <w:bottom w:val="single" w:sz="8" w:space="0" w:color="auto"/>
              <w:right w:val="single" w:sz="8" w:space="0" w:color="auto"/>
            </w:tcBorders>
            <w:shd w:val="clear" w:color="000000" w:fill="B4C6E7"/>
            <w:vAlign w:val="center"/>
            <w:hideMark/>
          </w:tcPr>
          <w:p w:rsidR="00AB4574" w:rsidRPr="00AB4574" w:rsidRDefault="00AB4574" w:rsidP="00AB4574">
            <w:pPr>
              <w:spacing w:after="0" w:line="240" w:lineRule="auto"/>
              <w:jc w:val="center"/>
              <w:rPr>
                <w:rFonts w:eastAsia="Times New Roman" w:cs="Calibri"/>
                <w:b/>
                <w:bCs/>
                <w:color w:val="000000"/>
              </w:rPr>
            </w:pPr>
            <w:r w:rsidRPr="00AB4574">
              <w:rPr>
                <w:rFonts w:eastAsia="Times New Roman" w:cs="Calibri"/>
                <w:b/>
                <w:bCs/>
                <w:color w:val="000000"/>
              </w:rPr>
              <w:t>Discount Rate</w:t>
            </w:r>
          </w:p>
        </w:tc>
        <w:tc>
          <w:tcPr>
            <w:tcW w:w="1360" w:type="dxa"/>
            <w:tcBorders>
              <w:top w:val="single" w:sz="8" w:space="0" w:color="auto"/>
              <w:left w:val="nil"/>
              <w:bottom w:val="single" w:sz="8" w:space="0" w:color="auto"/>
              <w:right w:val="single" w:sz="8" w:space="0" w:color="auto"/>
            </w:tcBorders>
            <w:shd w:val="clear" w:color="000000" w:fill="B4C6E7"/>
            <w:vAlign w:val="center"/>
            <w:hideMark/>
          </w:tcPr>
          <w:p w:rsidR="00AB4574" w:rsidRPr="00AB4574" w:rsidRDefault="00AB4574" w:rsidP="00AB4574">
            <w:pPr>
              <w:spacing w:after="0" w:line="240" w:lineRule="auto"/>
              <w:jc w:val="center"/>
              <w:rPr>
                <w:rFonts w:eastAsia="Times New Roman" w:cs="Calibri"/>
                <w:b/>
                <w:bCs/>
                <w:color w:val="000000"/>
              </w:rPr>
            </w:pPr>
            <w:r w:rsidRPr="00AB4574">
              <w:rPr>
                <w:rFonts w:eastAsia="Times New Roman" w:cs="Calibri"/>
                <w:b/>
                <w:bCs/>
                <w:color w:val="000000"/>
              </w:rPr>
              <w:t>Delinquent Property Tax Large Properties</w:t>
            </w:r>
          </w:p>
        </w:tc>
        <w:tc>
          <w:tcPr>
            <w:tcW w:w="1360" w:type="dxa"/>
            <w:tcBorders>
              <w:top w:val="single" w:sz="8" w:space="0" w:color="auto"/>
              <w:left w:val="nil"/>
              <w:bottom w:val="single" w:sz="8" w:space="0" w:color="auto"/>
              <w:right w:val="single" w:sz="8" w:space="0" w:color="auto"/>
            </w:tcBorders>
            <w:shd w:val="clear" w:color="000000" w:fill="B4C6E7"/>
            <w:vAlign w:val="center"/>
            <w:hideMark/>
          </w:tcPr>
          <w:p w:rsidR="00AB4574" w:rsidRPr="00AB4574" w:rsidRDefault="00AB4574" w:rsidP="00AB4574">
            <w:pPr>
              <w:spacing w:after="0" w:line="240" w:lineRule="auto"/>
              <w:jc w:val="center"/>
              <w:rPr>
                <w:rFonts w:eastAsia="Times New Roman" w:cs="Calibri"/>
                <w:b/>
                <w:bCs/>
                <w:color w:val="000000"/>
              </w:rPr>
            </w:pPr>
            <w:r w:rsidRPr="00AB4574">
              <w:rPr>
                <w:rFonts w:eastAsia="Times New Roman" w:cs="Calibri"/>
                <w:b/>
                <w:bCs/>
                <w:color w:val="000000"/>
              </w:rPr>
              <w:t>Delinquent Medium Properties</w:t>
            </w:r>
          </w:p>
        </w:tc>
        <w:tc>
          <w:tcPr>
            <w:tcW w:w="1360" w:type="dxa"/>
            <w:tcBorders>
              <w:top w:val="single" w:sz="8" w:space="0" w:color="auto"/>
              <w:left w:val="nil"/>
              <w:bottom w:val="single" w:sz="8" w:space="0" w:color="auto"/>
              <w:right w:val="single" w:sz="8" w:space="0" w:color="auto"/>
            </w:tcBorders>
            <w:shd w:val="clear" w:color="000000" w:fill="B4C6E7"/>
            <w:vAlign w:val="center"/>
            <w:hideMark/>
          </w:tcPr>
          <w:p w:rsidR="00AB4574" w:rsidRPr="00AB4574" w:rsidRDefault="00AB4574" w:rsidP="00AB4574">
            <w:pPr>
              <w:spacing w:after="0" w:line="240" w:lineRule="auto"/>
              <w:jc w:val="center"/>
              <w:rPr>
                <w:rFonts w:eastAsia="Times New Roman" w:cs="Calibri"/>
                <w:b/>
                <w:bCs/>
                <w:color w:val="000000"/>
              </w:rPr>
            </w:pPr>
            <w:r w:rsidRPr="00AB4574">
              <w:rPr>
                <w:rFonts w:eastAsia="Times New Roman" w:cs="Calibri"/>
                <w:b/>
                <w:bCs/>
                <w:color w:val="000000"/>
              </w:rPr>
              <w:t>Delinquent Property Tax Small Properties</w:t>
            </w:r>
          </w:p>
        </w:tc>
        <w:tc>
          <w:tcPr>
            <w:tcW w:w="1360" w:type="dxa"/>
            <w:tcBorders>
              <w:top w:val="single" w:sz="8" w:space="0" w:color="auto"/>
              <w:left w:val="nil"/>
              <w:bottom w:val="single" w:sz="8" w:space="0" w:color="auto"/>
              <w:right w:val="single" w:sz="8" w:space="0" w:color="auto"/>
            </w:tcBorders>
            <w:shd w:val="clear" w:color="000000" w:fill="B4C6E7"/>
            <w:vAlign w:val="center"/>
            <w:hideMark/>
          </w:tcPr>
          <w:p w:rsidR="00AB4574" w:rsidRPr="00AB4574" w:rsidRDefault="00AB4574" w:rsidP="00AB4574">
            <w:pPr>
              <w:spacing w:after="0" w:line="240" w:lineRule="auto"/>
              <w:jc w:val="center"/>
              <w:rPr>
                <w:rFonts w:eastAsia="Times New Roman" w:cs="Calibri"/>
                <w:b/>
                <w:bCs/>
                <w:color w:val="000000"/>
              </w:rPr>
            </w:pPr>
            <w:r w:rsidRPr="00AB4574">
              <w:rPr>
                <w:rFonts w:eastAsia="Times New Roman" w:cs="Calibri"/>
                <w:b/>
                <w:bCs/>
                <w:color w:val="000000"/>
              </w:rPr>
              <w:t>Delinquent Water/Sewer Large Properties</w:t>
            </w:r>
          </w:p>
        </w:tc>
        <w:tc>
          <w:tcPr>
            <w:tcW w:w="1360" w:type="dxa"/>
            <w:tcBorders>
              <w:top w:val="single" w:sz="8" w:space="0" w:color="auto"/>
              <w:left w:val="nil"/>
              <w:bottom w:val="single" w:sz="8" w:space="0" w:color="auto"/>
              <w:right w:val="single" w:sz="8" w:space="0" w:color="auto"/>
            </w:tcBorders>
            <w:shd w:val="clear" w:color="000000" w:fill="B4C6E7"/>
            <w:vAlign w:val="center"/>
            <w:hideMark/>
          </w:tcPr>
          <w:p w:rsidR="00AB4574" w:rsidRPr="00AB4574" w:rsidRDefault="00AB4574" w:rsidP="00AB4574">
            <w:pPr>
              <w:spacing w:after="0" w:line="240" w:lineRule="auto"/>
              <w:jc w:val="center"/>
              <w:rPr>
                <w:rFonts w:eastAsia="Times New Roman" w:cs="Calibri"/>
                <w:b/>
                <w:bCs/>
                <w:color w:val="000000"/>
              </w:rPr>
            </w:pPr>
            <w:r w:rsidRPr="00AB4574">
              <w:rPr>
                <w:rFonts w:eastAsia="Times New Roman" w:cs="Calibri"/>
                <w:b/>
                <w:bCs/>
                <w:color w:val="000000"/>
              </w:rPr>
              <w:t>Delinquent Water/Sewer Small Properties</w:t>
            </w:r>
          </w:p>
        </w:tc>
      </w:tr>
      <w:tr w:rsidR="00AB4574" w:rsidRPr="00AB4574" w:rsidTr="00AB4574">
        <w:trPr>
          <w:trHeight w:val="315"/>
        </w:trPr>
        <w:tc>
          <w:tcPr>
            <w:tcW w:w="8720" w:type="dxa"/>
            <w:gridSpan w:val="7"/>
            <w:tcBorders>
              <w:top w:val="single" w:sz="8" w:space="0" w:color="auto"/>
              <w:left w:val="single" w:sz="8" w:space="0" w:color="BFBFBF"/>
              <w:bottom w:val="single" w:sz="8" w:space="0" w:color="BFBFBF"/>
              <w:right w:val="single" w:sz="8" w:space="0" w:color="BFBFBF"/>
            </w:tcBorders>
            <w:shd w:val="clear" w:color="000000" w:fill="DDEBF7"/>
            <w:noWrap/>
            <w:vAlign w:val="center"/>
            <w:hideMark/>
          </w:tcPr>
          <w:p w:rsidR="00AB4574" w:rsidRPr="00AB4574" w:rsidRDefault="00AB4574" w:rsidP="00AB4574">
            <w:pPr>
              <w:spacing w:after="0" w:line="240" w:lineRule="auto"/>
              <w:rPr>
                <w:rFonts w:eastAsia="Times New Roman" w:cs="Calibri"/>
                <w:color w:val="000000"/>
              </w:rPr>
            </w:pPr>
            <w:r w:rsidRPr="00AB4574">
              <w:rPr>
                <w:rFonts w:eastAsia="Times New Roman" w:cs="Calibri"/>
                <w:color w:val="000000"/>
              </w:rPr>
              <w:t>Large Property Threshold = $2,000</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1976</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6.50%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1977</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6.00%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15%</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15%</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1978</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6.00%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15%</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15%</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1979</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6.00%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1980</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6.00%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22%</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22%</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1981</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6.00%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25.50%</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25.50%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1982</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6.00%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25.50%</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25.50%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1983</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6.00%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25%</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23%</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1984</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16.50%</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16.50%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315"/>
        </w:trPr>
        <w:tc>
          <w:tcPr>
            <w:tcW w:w="8720" w:type="dxa"/>
            <w:gridSpan w:val="7"/>
            <w:tcBorders>
              <w:top w:val="single" w:sz="8" w:space="0" w:color="BFBFBF"/>
              <w:left w:val="single" w:sz="8" w:space="0" w:color="BFBFBF"/>
              <w:bottom w:val="single" w:sz="8" w:space="0" w:color="BFBFBF"/>
              <w:right w:val="single" w:sz="8" w:space="0" w:color="BFBFBF"/>
            </w:tcBorders>
            <w:shd w:val="clear" w:color="000000" w:fill="DDEBF7"/>
            <w:noWrap/>
            <w:vAlign w:val="center"/>
            <w:hideMark/>
          </w:tcPr>
          <w:p w:rsidR="00AB4574" w:rsidRPr="00AB4574" w:rsidRDefault="00AB4574" w:rsidP="00AB4574">
            <w:pPr>
              <w:spacing w:after="0" w:line="240" w:lineRule="auto"/>
              <w:rPr>
                <w:rFonts w:eastAsia="Times New Roman" w:cs="Calibri"/>
                <w:color w:val="000000"/>
              </w:rPr>
            </w:pPr>
            <w:r w:rsidRPr="00AB4574">
              <w:rPr>
                <w:rFonts w:eastAsia="Times New Roman" w:cs="Calibri"/>
                <w:color w:val="000000"/>
              </w:rPr>
              <w:t>Large Property Threshold = $2,750</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1985</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18.50%</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18.50%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1986</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16%</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16%</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1987</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15%</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15%</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1988</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15.50%</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15.50%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1989</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19%</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19%</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1990</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19%</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19%</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900"/>
        </w:trPr>
        <w:tc>
          <w:tcPr>
            <w:tcW w:w="8720" w:type="dxa"/>
            <w:gridSpan w:val="7"/>
            <w:tcBorders>
              <w:top w:val="single" w:sz="8" w:space="0" w:color="BFBFBF"/>
              <w:left w:val="single" w:sz="8" w:space="0" w:color="BFBFBF"/>
              <w:bottom w:val="single" w:sz="8" w:space="0" w:color="BFBFBF"/>
              <w:right w:val="single" w:sz="8" w:space="0" w:color="BFBFBF"/>
            </w:tcBorders>
            <w:shd w:val="clear" w:color="000000" w:fill="DDEBF7"/>
            <w:vAlign w:val="center"/>
            <w:hideMark/>
          </w:tcPr>
          <w:p w:rsidR="00AB4574" w:rsidRPr="00AB4574" w:rsidRDefault="00AB4574" w:rsidP="00AB4574">
            <w:pPr>
              <w:spacing w:after="0" w:line="240" w:lineRule="auto"/>
              <w:rPr>
                <w:rFonts w:eastAsia="Times New Roman" w:cs="Calibri"/>
                <w:color w:val="000000"/>
              </w:rPr>
            </w:pPr>
            <w:r w:rsidRPr="00AB4574">
              <w:rPr>
                <w:rFonts w:eastAsia="Times New Roman" w:cs="Calibri"/>
                <w:color w:val="000000"/>
              </w:rPr>
              <w:t>1990-2004 Local Law 47 of 1990 provided for delinquent payments on properties with value less than $2,750 and further distinguished those paid by a mortgage agent.</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1991</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Not Cited</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1992</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1993</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1994</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1995</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1996</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1997</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1998</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1999</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2000</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2001</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2002</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2003</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2004</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1200"/>
        </w:trPr>
        <w:tc>
          <w:tcPr>
            <w:tcW w:w="8720" w:type="dxa"/>
            <w:gridSpan w:val="7"/>
            <w:tcBorders>
              <w:top w:val="single" w:sz="8" w:space="0" w:color="BFBFBF"/>
              <w:left w:val="single" w:sz="8" w:space="0" w:color="BFBFBF"/>
              <w:bottom w:val="single" w:sz="8" w:space="0" w:color="BFBFBF"/>
              <w:right w:val="single" w:sz="8" w:space="0" w:color="BFBFBF"/>
            </w:tcBorders>
            <w:shd w:val="clear" w:color="000000" w:fill="DDEBF7"/>
            <w:vAlign w:val="center"/>
            <w:hideMark/>
          </w:tcPr>
          <w:p w:rsidR="00AB4574" w:rsidRPr="00AB4574" w:rsidRDefault="00AB4574" w:rsidP="00AB4574">
            <w:pPr>
              <w:spacing w:after="0" w:line="240" w:lineRule="auto"/>
              <w:rPr>
                <w:rFonts w:eastAsia="Times New Roman" w:cs="Calibri"/>
                <w:color w:val="000000"/>
              </w:rPr>
            </w:pPr>
            <w:r w:rsidRPr="00AB4574">
              <w:rPr>
                <w:rFonts w:eastAsia="Times New Roman" w:cs="Calibri"/>
                <w:color w:val="000000"/>
              </w:rPr>
              <w:t>2005-2008 thresholds were changed from &lt;/&gt; $2,750 to &lt;/&gt; $80,000.  References to DOH order and escrow agents eliminated.  Water &amp; sewer divisions determined by the new thresholds. Delinquent Water/Sewer &lt; $80,000</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2005</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2006</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1.50%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2007</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1.50%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2008</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1.50%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r>
      <w:tr w:rsidR="00AB4574" w:rsidRPr="00AB4574" w:rsidTr="00AB4574">
        <w:trPr>
          <w:trHeight w:val="315"/>
        </w:trPr>
        <w:tc>
          <w:tcPr>
            <w:tcW w:w="8720" w:type="dxa"/>
            <w:gridSpan w:val="7"/>
            <w:tcBorders>
              <w:top w:val="single" w:sz="8" w:space="0" w:color="BFBFBF"/>
              <w:left w:val="single" w:sz="8" w:space="0" w:color="BFBFBF"/>
              <w:bottom w:val="single" w:sz="8" w:space="0" w:color="BFBFBF"/>
              <w:right w:val="single" w:sz="8" w:space="0" w:color="BFBFBF"/>
            </w:tcBorders>
            <w:shd w:val="clear" w:color="000000" w:fill="DDEBF7"/>
            <w:noWrap/>
            <w:vAlign w:val="center"/>
            <w:hideMark/>
          </w:tcPr>
          <w:p w:rsidR="00AB4574" w:rsidRPr="00AB4574" w:rsidRDefault="00AB4574" w:rsidP="00AB4574">
            <w:pPr>
              <w:spacing w:after="0" w:line="240" w:lineRule="auto"/>
              <w:rPr>
                <w:rFonts w:eastAsia="Times New Roman" w:cs="Calibri"/>
                <w:color w:val="000000"/>
              </w:rPr>
            </w:pPr>
            <w:r w:rsidRPr="00AB4574">
              <w:rPr>
                <w:rFonts w:eastAsia="Times New Roman" w:cs="Calibri"/>
                <w:color w:val="000000"/>
              </w:rPr>
              <w:t>2006 to 2021 Large/Small Property threshold changed from &lt;/&gt; $80,000 to &lt;/&gt;$250,000</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2009</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1.50%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2010</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1.50%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2011*</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1.50%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2012</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2013</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2014</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r>
      <w:tr w:rsidR="00AB4574" w:rsidRPr="00AB4574" w:rsidTr="00AB4574">
        <w:trPr>
          <w:trHeight w:val="315"/>
        </w:trPr>
        <w:tc>
          <w:tcPr>
            <w:tcW w:w="960" w:type="dxa"/>
            <w:tcBorders>
              <w:top w:val="nil"/>
              <w:left w:val="single" w:sz="8" w:space="0" w:color="BFBFBF"/>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2015</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1.00%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r>
      <w:tr w:rsidR="00AB4574" w:rsidRPr="00AB4574" w:rsidTr="00AB4574">
        <w:trPr>
          <w:trHeight w:val="315"/>
        </w:trPr>
        <w:tc>
          <w:tcPr>
            <w:tcW w:w="960" w:type="dxa"/>
            <w:tcBorders>
              <w:top w:val="nil"/>
              <w:left w:val="single" w:sz="8" w:space="0" w:color="D9D9D9"/>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2016</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0.50%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r>
      <w:tr w:rsidR="00AB4574" w:rsidRPr="00AB4574" w:rsidTr="00AB4574">
        <w:trPr>
          <w:trHeight w:val="315"/>
        </w:trPr>
        <w:tc>
          <w:tcPr>
            <w:tcW w:w="960" w:type="dxa"/>
            <w:tcBorders>
              <w:top w:val="nil"/>
              <w:left w:val="single" w:sz="8" w:space="0" w:color="D9D9D9"/>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2017</w:t>
            </w:r>
          </w:p>
        </w:tc>
        <w:tc>
          <w:tcPr>
            <w:tcW w:w="9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0.50%</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BFBFBF"/>
              <w:right w:val="single" w:sz="8" w:space="0" w:color="BFBFBF"/>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6%</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r>
      <w:tr w:rsidR="00AB4574" w:rsidRPr="00AB4574" w:rsidTr="00AB4574">
        <w:trPr>
          <w:trHeight w:val="315"/>
        </w:trPr>
        <w:tc>
          <w:tcPr>
            <w:tcW w:w="960" w:type="dxa"/>
            <w:tcBorders>
              <w:top w:val="nil"/>
              <w:left w:val="single" w:sz="8" w:space="0" w:color="D9D9D9"/>
              <w:bottom w:val="single" w:sz="8" w:space="0" w:color="D9D9D9"/>
              <w:right w:val="single" w:sz="8" w:space="0" w:color="D9D9D9"/>
            </w:tcBorders>
            <w:shd w:val="clear" w:color="000000" w:fill="FFFFFF"/>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2018</w:t>
            </w:r>
          </w:p>
        </w:tc>
        <w:tc>
          <w:tcPr>
            <w:tcW w:w="9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0.50%</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6%</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315"/>
        </w:trPr>
        <w:tc>
          <w:tcPr>
            <w:tcW w:w="960" w:type="dxa"/>
            <w:tcBorders>
              <w:top w:val="nil"/>
              <w:left w:val="single" w:sz="8" w:space="0" w:color="D9D9D9"/>
              <w:bottom w:val="single" w:sz="8" w:space="0" w:color="D9D9D9"/>
              <w:right w:val="single" w:sz="8" w:space="0" w:color="D9D9D9"/>
            </w:tcBorders>
            <w:shd w:val="clear" w:color="auto" w:fill="auto"/>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2019</w:t>
            </w:r>
          </w:p>
        </w:tc>
        <w:tc>
          <w:tcPr>
            <w:tcW w:w="960" w:type="dxa"/>
            <w:tcBorders>
              <w:top w:val="nil"/>
              <w:left w:val="nil"/>
              <w:bottom w:val="single" w:sz="8" w:space="0" w:color="D9D9D9"/>
              <w:right w:val="single" w:sz="8" w:space="0" w:color="D9D9D9"/>
            </w:tcBorders>
            <w:shd w:val="clear" w:color="auto" w:fill="auto"/>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0.50%</w:t>
            </w:r>
          </w:p>
        </w:tc>
        <w:tc>
          <w:tcPr>
            <w:tcW w:w="1360" w:type="dxa"/>
            <w:tcBorders>
              <w:top w:val="nil"/>
              <w:left w:val="nil"/>
              <w:bottom w:val="single" w:sz="8" w:space="0" w:color="D9D9D9"/>
              <w:right w:val="single" w:sz="8" w:space="0" w:color="D9D9D9"/>
            </w:tcBorders>
            <w:shd w:val="clear" w:color="auto" w:fill="auto"/>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D9D9D9"/>
              <w:right w:val="single" w:sz="8" w:space="0" w:color="D9D9D9"/>
            </w:tcBorders>
            <w:shd w:val="clear" w:color="auto" w:fill="auto"/>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7%</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315"/>
        </w:trPr>
        <w:tc>
          <w:tcPr>
            <w:tcW w:w="960" w:type="dxa"/>
            <w:tcBorders>
              <w:top w:val="nil"/>
              <w:left w:val="single" w:sz="8" w:space="0" w:color="D9D9D9"/>
              <w:bottom w:val="single" w:sz="8" w:space="0" w:color="D9D9D9"/>
              <w:right w:val="single" w:sz="8" w:space="0" w:color="D9D9D9"/>
            </w:tcBorders>
            <w:shd w:val="clear" w:color="auto" w:fill="auto"/>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2020</w:t>
            </w:r>
          </w:p>
        </w:tc>
        <w:tc>
          <w:tcPr>
            <w:tcW w:w="960" w:type="dxa"/>
            <w:tcBorders>
              <w:top w:val="nil"/>
              <w:left w:val="nil"/>
              <w:bottom w:val="single" w:sz="8" w:space="0" w:color="D9D9D9"/>
              <w:right w:val="single" w:sz="8" w:space="0" w:color="D9D9D9"/>
            </w:tcBorders>
            <w:shd w:val="clear" w:color="auto" w:fill="auto"/>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0.50%</w:t>
            </w:r>
          </w:p>
        </w:tc>
        <w:tc>
          <w:tcPr>
            <w:tcW w:w="1360" w:type="dxa"/>
            <w:tcBorders>
              <w:top w:val="nil"/>
              <w:left w:val="nil"/>
              <w:bottom w:val="single" w:sz="8" w:space="0" w:color="D9D9D9"/>
              <w:right w:val="single" w:sz="8" w:space="0" w:color="D9D9D9"/>
            </w:tcBorders>
            <w:shd w:val="clear" w:color="auto" w:fill="auto"/>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D9D9D9"/>
              <w:right w:val="single" w:sz="8" w:space="0" w:color="D9D9D9"/>
            </w:tcBorders>
            <w:shd w:val="clear" w:color="auto" w:fill="auto"/>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6%</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9%</w:t>
            </w:r>
          </w:p>
        </w:tc>
      </w:tr>
      <w:tr w:rsidR="00AB4574" w:rsidRPr="00AB4574" w:rsidTr="00AB4574">
        <w:trPr>
          <w:trHeight w:val="315"/>
        </w:trPr>
        <w:tc>
          <w:tcPr>
            <w:tcW w:w="960" w:type="dxa"/>
            <w:tcBorders>
              <w:top w:val="nil"/>
              <w:left w:val="single" w:sz="8" w:space="0" w:color="D9D9D9"/>
              <w:bottom w:val="single" w:sz="8" w:space="0" w:color="D9D9D9"/>
              <w:right w:val="single" w:sz="8" w:space="0" w:color="D9D9D9"/>
            </w:tcBorders>
            <w:shd w:val="clear" w:color="auto" w:fill="auto"/>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2021</w:t>
            </w:r>
          </w:p>
        </w:tc>
        <w:tc>
          <w:tcPr>
            <w:tcW w:w="960" w:type="dxa"/>
            <w:tcBorders>
              <w:top w:val="nil"/>
              <w:left w:val="nil"/>
              <w:bottom w:val="single" w:sz="8" w:space="0" w:color="D9D9D9"/>
              <w:right w:val="single" w:sz="8" w:space="0" w:color="D9D9D9"/>
            </w:tcBorders>
            <w:shd w:val="clear" w:color="auto" w:fill="auto"/>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0.50%</w:t>
            </w:r>
          </w:p>
        </w:tc>
        <w:tc>
          <w:tcPr>
            <w:tcW w:w="1360" w:type="dxa"/>
            <w:tcBorders>
              <w:top w:val="nil"/>
              <w:left w:val="nil"/>
              <w:bottom w:val="single" w:sz="8" w:space="0" w:color="D9D9D9"/>
              <w:right w:val="single" w:sz="8" w:space="0" w:color="D9D9D9"/>
            </w:tcBorders>
            <w:shd w:val="clear" w:color="auto" w:fill="auto"/>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18%</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D9D9D9"/>
              <w:right w:val="single" w:sz="8" w:space="0" w:color="D9D9D9"/>
            </w:tcBorders>
            <w:shd w:val="clear" w:color="auto" w:fill="auto"/>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6%</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630"/>
        </w:trPr>
        <w:tc>
          <w:tcPr>
            <w:tcW w:w="8720" w:type="dxa"/>
            <w:gridSpan w:val="7"/>
            <w:tcBorders>
              <w:top w:val="single" w:sz="8" w:space="0" w:color="BFBFBF"/>
              <w:left w:val="single" w:sz="8" w:space="0" w:color="BFBFBF"/>
              <w:bottom w:val="single" w:sz="8" w:space="0" w:color="BFBFBF"/>
              <w:right w:val="single" w:sz="8" w:space="0" w:color="BFBFBF"/>
            </w:tcBorders>
            <w:shd w:val="clear" w:color="000000" w:fill="DDEBF7"/>
            <w:vAlign w:val="center"/>
            <w:hideMark/>
          </w:tcPr>
          <w:p w:rsidR="00AB4574" w:rsidRPr="00AB4574" w:rsidRDefault="00AB4574" w:rsidP="00AB4574">
            <w:pPr>
              <w:spacing w:after="0" w:line="240" w:lineRule="auto"/>
              <w:rPr>
                <w:rFonts w:eastAsia="Times New Roman" w:cs="Calibri"/>
                <w:color w:val="000000"/>
              </w:rPr>
            </w:pPr>
            <w:r w:rsidRPr="00AB4574">
              <w:rPr>
                <w:rFonts w:eastAsia="Times New Roman" w:cs="Calibri"/>
                <w:color w:val="000000"/>
              </w:rPr>
              <w:t>2022 to present Medium category created with threshold of $250,000 to $450,000, Large category threshold changed to $450,000 and above</w:t>
            </w:r>
          </w:p>
        </w:tc>
      </w:tr>
      <w:tr w:rsidR="00AB4574" w:rsidRPr="00AB4574" w:rsidTr="00AB4574">
        <w:trPr>
          <w:trHeight w:val="315"/>
        </w:trPr>
        <w:tc>
          <w:tcPr>
            <w:tcW w:w="960" w:type="dxa"/>
            <w:tcBorders>
              <w:top w:val="nil"/>
              <w:left w:val="single" w:sz="8" w:space="0" w:color="D9D9D9"/>
              <w:bottom w:val="single" w:sz="8" w:space="0" w:color="D9D9D9"/>
              <w:right w:val="single" w:sz="8" w:space="0" w:color="D9D9D9"/>
            </w:tcBorders>
            <w:shd w:val="clear" w:color="auto" w:fill="auto"/>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2022</w:t>
            </w:r>
          </w:p>
        </w:tc>
        <w:tc>
          <w:tcPr>
            <w:tcW w:w="960" w:type="dxa"/>
            <w:tcBorders>
              <w:top w:val="nil"/>
              <w:left w:val="nil"/>
              <w:bottom w:val="single" w:sz="8" w:space="0" w:color="D9D9D9"/>
              <w:right w:val="single" w:sz="8" w:space="0" w:color="D9D9D9"/>
            </w:tcBorders>
            <w:shd w:val="clear" w:color="auto" w:fill="auto"/>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0.50%</w:t>
            </w:r>
          </w:p>
        </w:tc>
        <w:tc>
          <w:tcPr>
            <w:tcW w:w="1360" w:type="dxa"/>
            <w:tcBorders>
              <w:top w:val="nil"/>
              <w:left w:val="nil"/>
              <w:bottom w:val="single" w:sz="8" w:space="0" w:color="D9D9D9"/>
              <w:right w:val="single" w:sz="8" w:space="0" w:color="D9D9D9"/>
            </w:tcBorders>
            <w:shd w:val="clear" w:color="auto" w:fill="auto"/>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13%</w:t>
            </w:r>
          </w:p>
        </w:tc>
        <w:tc>
          <w:tcPr>
            <w:tcW w:w="1360" w:type="dxa"/>
            <w:tcBorders>
              <w:top w:val="nil"/>
              <w:left w:val="nil"/>
              <w:bottom w:val="single" w:sz="8" w:space="0" w:color="D9D9D9"/>
              <w:right w:val="single" w:sz="8" w:space="0" w:color="D9D9D9"/>
            </w:tcBorders>
            <w:shd w:val="clear" w:color="auto" w:fill="auto"/>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6%</w:t>
            </w:r>
          </w:p>
        </w:tc>
        <w:tc>
          <w:tcPr>
            <w:tcW w:w="1360" w:type="dxa"/>
            <w:tcBorders>
              <w:top w:val="nil"/>
              <w:left w:val="nil"/>
              <w:bottom w:val="single" w:sz="8" w:space="0" w:color="D9D9D9"/>
              <w:right w:val="single" w:sz="8" w:space="0" w:color="D9D9D9"/>
            </w:tcBorders>
            <w:shd w:val="clear" w:color="auto" w:fill="auto"/>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3%</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r w:rsidR="00AB4574" w:rsidRPr="00AB4574" w:rsidTr="00AB4574">
        <w:trPr>
          <w:trHeight w:val="315"/>
        </w:trPr>
        <w:tc>
          <w:tcPr>
            <w:tcW w:w="960" w:type="dxa"/>
            <w:tcBorders>
              <w:top w:val="nil"/>
              <w:left w:val="single" w:sz="8" w:space="0" w:color="D9D9D9"/>
              <w:bottom w:val="single" w:sz="8" w:space="0" w:color="D9D9D9"/>
              <w:right w:val="single" w:sz="8" w:space="0" w:color="D9D9D9"/>
            </w:tcBorders>
            <w:shd w:val="clear" w:color="auto" w:fill="auto"/>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2023</w:t>
            </w:r>
          </w:p>
        </w:tc>
        <w:tc>
          <w:tcPr>
            <w:tcW w:w="960" w:type="dxa"/>
            <w:tcBorders>
              <w:top w:val="nil"/>
              <w:left w:val="nil"/>
              <w:bottom w:val="single" w:sz="8" w:space="0" w:color="D9D9D9"/>
              <w:right w:val="single" w:sz="8" w:space="0" w:color="D9D9D9"/>
            </w:tcBorders>
            <w:shd w:val="clear" w:color="auto" w:fill="auto"/>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0.50%</w:t>
            </w:r>
          </w:p>
        </w:tc>
        <w:tc>
          <w:tcPr>
            <w:tcW w:w="1360" w:type="dxa"/>
            <w:tcBorders>
              <w:top w:val="nil"/>
              <w:left w:val="nil"/>
              <w:bottom w:val="single" w:sz="8" w:space="0" w:color="D9D9D9"/>
              <w:right w:val="single" w:sz="8" w:space="0" w:color="D9D9D9"/>
            </w:tcBorders>
            <w:shd w:val="clear" w:color="auto" w:fill="auto"/>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14%</w:t>
            </w:r>
          </w:p>
        </w:tc>
        <w:tc>
          <w:tcPr>
            <w:tcW w:w="1360" w:type="dxa"/>
            <w:tcBorders>
              <w:top w:val="nil"/>
              <w:left w:val="nil"/>
              <w:bottom w:val="single" w:sz="8" w:space="0" w:color="D9D9D9"/>
              <w:right w:val="single" w:sz="8" w:space="0" w:color="D9D9D9"/>
            </w:tcBorders>
            <w:shd w:val="clear" w:color="auto" w:fill="auto"/>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7%</w:t>
            </w:r>
          </w:p>
        </w:tc>
        <w:tc>
          <w:tcPr>
            <w:tcW w:w="1360" w:type="dxa"/>
            <w:tcBorders>
              <w:top w:val="nil"/>
              <w:left w:val="nil"/>
              <w:bottom w:val="single" w:sz="8" w:space="0" w:color="D9D9D9"/>
              <w:right w:val="single" w:sz="8" w:space="0" w:color="D9D9D9"/>
            </w:tcBorders>
            <w:shd w:val="clear" w:color="auto" w:fill="auto"/>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4%</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c>
          <w:tcPr>
            <w:tcW w:w="1360" w:type="dxa"/>
            <w:tcBorders>
              <w:top w:val="nil"/>
              <w:left w:val="nil"/>
              <w:bottom w:val="single" w:sz="8" w:space="0" w:color="D9D9D9"/>
              <w:right w:val="single" w:sz="8" w:space="0" w:color="D9D9D9"/>
            </w:tcBorders>
            <w:shd w:val="clear" w:color="000000" w:fill="FFFFFF"/>
            <w:noWrap/>
            <w:vAlign w:val="center"/>
            <w:hideMark/>
          </w:tcPr>
          <w:p w:rsidR="00AB4574" w:rsidRPr="00AB4574" w:rsidRDefault="00AB4574" w:rsidP="00AB4574">
            <w:pPr>
              <w:spacing w:after="0" w:line="240" w:lineRule="auto"/>
              <w:jc w:val="center"/>
              <w:rPr>
                <w:rFonts w:eastAsia="Times New Roman" w:cs="Calibri"/>
                <w:color w:val="000000"/>
              </w:rPr>
            </w:pPr>
            <w:r w:rsidRPr="00AB4574">
              <w:rPr>
                <w:rFonts w:eastAsia="Times New Roman" w:cs="Calibri"/>
                <w:color w:val="000000"/>
              </w:rPr>
              <w:t>N/A</w:t>
            </w:r>
          </w:p>
        </w:tc>
      </w:tr>
    </w:tbl>
    <w:p w:rsidR="009C7CCC" w:rsidRDefault="009C7CCC" w:rsidP="009C7CCC">
      <w:pPr>
        <w:spacing w:after="0" w:line="480" w:lineRule="auto"/>
        <w:ind w:firstLine="720"/>
        <w:jc w:val="both"/>
        <w:rPr>
          <w:rFonts w:ascii="Times New Roman" w:hAnsi="Times New Roman"/>
          <w:sz w:val="24"/>
          <w:szCs w:val="24"/>
        </w:rPr>
      </w:pPr>
    </w:p>
    <w:p w:rsidR="00EA309C" w:rsidRPr="007D4E1E" w:rsidRDefault="00EA309C" w:rsidP="007D4E1E">
      <w:pPr>
        <w:pStyle w:val="ListParagraph"/>
        <w:numPr>
          <w:ilvl w:val="0"/>
          <w:numId w:val="4"/>
        </w:numPr>
        <w:spacing w:after="0" w:line="480" w:lineRule="auto"/>
        <w:jc w:val="both"/>
        <w:rPr>
          <w:rFonts w:ascii="Times New Roman" w:hAnsi="Times New Roman"/>
          <w:b/>
          <w:sz w:val="24"/>
          <w:szCs w:val="24"/>
        </w:rPr>
      </w:pPr>
      <w:r>
        <w:rPr>
          <w:rFonts w:ascii="Times New Roman" w:hAnsi="Times New Roman"/>
          <w:b/>
          <w:sz w:val="24"/>
          <w:szCs w:val="24"/>
        </w:rPr>
        <w:t xml:space="preserve">Installment </w:t>
      </w:r>
      <w:r w:rsidRPr="007D4E1E">
        <w:rPr>
          <w:rFonts w:ascii="Times New Roman" w:eastAsia="Times New Roman" w:hAnsi="Times New Roman"/>
          <w:b/>
          <w:sz w:val="24"/>
          <w:szCs w:val="24"/>
        </w:rPr>
        <w:t>Agreements</w:t>
      </w:r>
    </w:p>
    <w:p w:rsidR="00EA309C" w:rsidRPr="0002764F" w:rsidRDefault="00EA309C" w:rsidP="00847CD5">
      <w:pPr>
        <w:spacing w:after="0" w:line="480" w:lineRule="auto"/>
        <w:jc w:val="both"/>
        <w:rPr>
          <w:rFonts w:ascii="Times New Roman" w:hAnsi="Times New Roman"/>
          <w:sz w:val="24"/>
          <w:szCs w:val="24"/>
        </w:rPr>
      </w:pPr>
      <w:r>
        <w:rPr>
          <w:rFonts w:ascii="Times New Roman" w:hAnsi="Times New Roman"/>
          <w:sz w:val="24"/>
          <w:szCs w:val="24"/>
        </w:rPr>
        <w:tab/>
      </w:r>
      <w:r w:rsidRPr="0002764F">
        <w:rPr>
          <w:rFonts w:ascii="Times New Roman" w:hAnsi="Times New Roman"/>
          <w:sz w:val="24"/>
          <w:szCs w:val="24"/>
        </w:rPr>
        <w:t xml:space="preserve">Currently, when </w:t>
      </w:r>
      <w:r w:rsidR="00F56139">
        <w:rPr>
          <w:rFonts w:ascii="Times New Roman" w:hAnsi="Times New Roman"/>
          <w:sz w:val="24"/>
          <w:szCs w:val="24"/>
        </w:rPr>
        <w:t>a</w:t>
      </w:r>
      <w:r w:rsidRPr="0002764F">
        <w:rPr>
          <w:rFonts w:ascii="Times New Roman" w:hAnsi="Times New Roman"/>
          <w:sz w:val="24"/>
          <w:szCs w:val="24"/>
        </w:rPr>
        <w:t xml:space="preserve"> property owner owes property tax arrears, he or she is able to enter into an installment agreement with </w:t>
      </w:r>
      <w:r>
        <w:rPr>
          <w:rFonts w:ascii="Times New Roman" w:hAnsi="Times New Roman"/>
          <w:sz w:val="24"/>
          <w:szCs w:val="24"/>
        </w:rPr>
        <w:t>the Department of Finance (“</w:t>
      </w:r>
      <w:r w:rsidRPr="0002764F">
        <w:rPr>
          <w:rFonts w:ascii="Times New Roman" w:hAnsi="Times New Roman"/>
          <w:sz w:val="24"/>
          <w:szCs w:val="24"/>
        </w:rPr>
        <w:t>DOF</w:t>
      </w:r>
      <w:r>
        <w:rPr>
          <w:rFonts w:ascii="Times New Roman" w:hAnsi="Times New Roman"/>
          <w:sz w:val="24"/>
          <w:szCs w:val="24"/>
        </w:rPr>
        <w:t>”)</w:t>
      </w:r>
      <w:r w:rsidRPr="0002764F">
        <w:rPr>
          <w:rFonts w:ascii="Times New Roman" w:hAnsi="Times New Roman"/>
          <w:sz w:val="24"/>
          <w:szCs w:val="24"/>
        </w:rPr>
        <w:t xml:space="preserve"> in order to pay back the amount owed over time.</w:t>
      </w:r>
      <w:r w:rsidRPr="0002764F">
        <w:rPr>
          <w:rStyle w:val="FootnoteReference"/>
        </w:rPr>
        <w:footnoteReference w:id="9"/>
      </w:r>
      <w:r w:rsidRPr="0002764F">
        <w:rPr>
          <w:rFonts w:ascii="Times New Roman" w:hAnsi="Times New Roman"/>
          <w:sz w:val="24"/>
          <w:szCs w:val="24"/>
        </w:rPr>
        <w:t xml:space="preserve"> </w:t>
      </w:r>
      <w:r w:rsidR="00847CD5">
        <w:rPr>
          <w:rFonts w:ascii="Times New Roman" w:hAnsi="Times New Roman"/>
          <w:sz w:val="24"/>
          <w:szCs w:val="24"/>
        </w:rPr>
        <w:t xml:space="preserve">This installment agreement </w:t>
      </w:r>
      <w:r w:rsidRPr="0002764F">
        <w:rPr>
          <w:rFonts w:ascii="Times New Roman" w:hAnsi="Times New Roman"/>
          <w:sz w:val="24"/>
          <w:szCs w:val="24"/>
        </w:rPr>
        <w:t>can be entered into for a period of up to ten years with as little as zero dollars in down payment.</w:t>
      </w:r>
      <w:r w:rsidRPr="0002764F">
        <w:rPr>
          <w:rStyle w:val="FootnoteReference"/>
        </w:rPr>
        <w:footnoteReference w:id="10"/>
      </w:r>
      <w:r w:rsidRPr="0002764F">
        <w:rPr>
          <w:rFonts w:ascii="Times New Roman" w:hAnsi="Times New Roman"/>
          <w:sz w:val="24"/>
          <w:szCs w:val="24"/>
        </w:rPr>
        <w:t xml:space="preserve"> If a property has a lien or liens noticed for the lien sale, execution of an installment agreement will result in the lien not being sold in the lien sale.</w:t>
      </w:r>
      <w:r w:rsidRPr="0002764F">
        <w:rPr>
          <w:rStyle w:val="FootnoteReference"/>
        </w:rPr>
        <w:footnoteReference w:id="11"/>
      </w:r>
      <w:r w:rsidRPr="0002764F">
        <w:rPr>
          <w:rFonts w:ascii="Times New Roman" w:hAnsi="Times New Roman"/>
          <w:sz w:val="24"/>
          <w:szCs w:val="24"/>
        </w:rPr>
        <w:t xml:space="preserve"> However, if a property owner defaults on the installment agreement</w:t>
      </w:r>
      <w:r>
        <w:rPr>
          <w:rFonts w:ascii="Times New Roman" w:hAnsi="Times New Roman"/>
          <w:sz w:val="24"/>
          <w:szCs w:val="24"/>
        </w:rPr>
        <w:t>, defined as failing to make payments for a period of six months</w:t>
      </w:r>
      <w:r w:rsidRPr="0002764F">
        <w:rPr>
          <w:rFonts w:ascii="Times New Roman" w:hAnsi="Times New Roman"/>
          <w:sz w:val="24"/>
          <w:szCs w:val="24"/>
        </w:rPr>
        <w:t>, he or she will be barred from entering into a new payment agreement for a period of five years, unless the property owner can</w:t>
      </w:r>
      <w:r w:rsidR="007D4E1E">
        <w:rPr>
          <w:rFonts w:ascii="Times New Roman" w:hAnsi="Times New Roman"/>
          <w:sz w:val="24"/>
          <w:szCs w:val="24"/>
        </w:rPr>
        <w:t>:</w:t>
      </w:r>
      <w:r>
        <w:rPr>
          <w:rFonts w:ascii="Times New Roman" w:hAnsi="Times New Roman"/>
          <w:sz w:val="24"/>
          <w:szCs w:val="24"/>
        </w:rPr>
        <w:t xml:space="preserve"> </w:t>
      </w:r>
      <w:r w:rsidR="007D4E1E">
        <w:rPr>
          <w:rFonts w:ascii="Times New Roman" w:hAnsi="Times New Roman"/>
          <w:sz w:val="24"/>
          <w:szCs w:val="24"/>
        </w:rPr>
        <w:t>(</w:t>
      </w:r>
      <w:r>
        <w:rPr>
          <w:rFonts w:ascii="Times New Roman" w:hAnsi="Times New Roman"/>
          <w:sz w:val="24"/>
          <w:szCs w:val="24"/>
        </w:rPr>
        <w:t>1)</w:t>
      </w:r>
      <w:r w:rsidRPr="0002764F">
        <w:rPr>
          <w:rFonts w:ascii="Times New Roman" w:hAnsi="Times New Roman"/>
          <w:sz w:val="24"/>
          <w:szCs w:val="24"/>
        </w:rPr>
        <w:t xml:space="preserve"> demonstrate extenuating circumstances (such as loss of income due to unemployment, death, treatment of an illness, military service, or involuntary absence)</w:t>
      </w:r>
      <w:r w:rsidR="007D4E1E">
        <w:rPr>
          <w:rFonts w:ascii="Times New Roman" w:hAnsi="Times New Roman"/>
          <w:sz w:val="24"/>
          <w:szCs w:val="24"/>
        </w:rPr>
        <w:t>;</w:t>
      </w:r>
      <w:r>
        <w:rPr>
          <w:rFonts w:ascii="Times New Roman" w:hAnsi="Times New Roman"/>
          <w:sz w:val="24"/>
          <w:szCs w:val="24"/>
        </w:rPr>
        <w:t xml:space="preserve"> </w:t>
      </w:r>
      <w:r w:rsidR="007D4E1E">
        <w:rPr>
          <w:rFonts w:ascii="Times New Roman" w:hAnsi="Times New Roman"/>
          <w:sz w:val="24"/>
          <w:szCs w:val="24"/>
        </w:rPr>
        <w:t>(</w:t>
      </w:r>
      <w:r>
        <w:rPr>
          <w:rFonts w:ascii="Times New Roman" w:hAnsi="Times New Roman"/>
          <w:sz w:val="24"/>
          <w:szCs w:val="24"/>
        </w:rPr>
        <w:t>2) cures the default by paying all missed</w:t>
      </w:r>
      <w:r w:rsidR="007D4E1E">
        <w:rPr>
          <w:rFonts w:ascii="Times New Roman" w:hAnsi="Times New Roman"/>
          <w:sz w:val="24"/>
          <w:szCs w:val="24"/>
        </w:rPr>
        <w:t xml:space="preserve"> payments plus accrued interest;</w:t>
      </w:r>
      <w:r w:rsidRPr="0002764F">
        <w:rPr>
          <w:rFonts w:ascii="Times New Roman" w:hAnsi="Times New Roman"/>
          <w:sz w:val="24"/>
          <w:szCs w:val="24"/>
        </w:rPr>
        <w:t xml:space="preserve"> or</w:t>
      </w:r>
      <w:r>
        <w:rPr>
          <w:rFonts w:ascii="Times New Roman" w:hAnsi="Times New Roman"/>
          <w:sz w:val="24"/>
          <w:szCs w:val="24"/>
        </w:rPr>
        <w:t xml:space="preserve"> </w:t>
      </w:r>
      <w:r w:rsidR="007D4E1E">
        <w:rPr>
          <w:rFonts w:ascii="Times New Roman" w:hAnsi="Times New Roman"/>
          <w:sz w:val="24"/>
          <w:szCs w:val="24"/>
        </w:rPr>
        <w:t>(</w:t>
      </w:r>
      <w:r>
        <w:rPr>
          <w:rFonts w:ascii="Times New Roman" w:hAnsi="Times New Roman"/>
          <w:sz w:val="24"/>
          <w:szCs w:val="24"/>
        </w:rPr>
        <w:t>3)</w:t>
      </w:r>
      <w:r w:rsidRPr="0002764F">
        <w:rPr>
          <w:rFonts w:ascii="Times New Roman" w:hAnsi="Times New Roman"/>
          <w:sz w:val="24"/>
          <w:szCs w:val="24"/>
        </w:rPr>
        <w:t xml:space="preserve"> </w:t>
      </w:r>
      <w:r>
        <w:rPr>
          <w:rFonts w:ascii="Times New Roman" w:hAnsi="Times New Roman"/>
          <w:sz w:val="24"/>
          <w:szCs w:val="24"/>
        </w:rPr>
        <w:t>makes a down payment of</w:t>
      </w:r>
      <w:r w:rsidRPr="0002764F">
        <w:rPr>
          <w:rFonts w:ascii="Times New Roman" w:hAnsi="Times New Roman"/>
          <w:sz w:val="24"/>
          <w:szCs w:val="24"/>
        </w:rPr>
        <w:t xml:space="preserve"> 20 percent</w:t>
      </w:r>
      <w:r>
        <w:rPr>
          <w:rFonts w:ascii="Times New Roman" w:hAnsi="Times New Roman"/>
          <w:sz w:val="24"/>
          <w:szCs w:val="24"/>
        </w:rPr>
        <w:t xml:space="preserve"> or more</w:t>
      </w:r>
      <w:r w:rsidRPr="0002764F">
        <w:rPr>
          <w:rFonts w:ascii="Times New Roman" w:hAnsi="Times New Roman"/>
          <w:sz w:val="24"/>
          <w:szCs w:val="24"/>
        </w:rPr>
        <w:t xml:space="preserve"> </w:t>
      </w:r>
      <w:r>
        <w:rPr>
          <w:rFonts w:ascii="Times New Roman" w:hAnsi="Times New Roman"/>
          <w:sz w:val="24"/>
          <w:szCs w:val="24"/>
        </w:rPr>
        <w:t xml:space="preserve">of all applicable delinquent taxes and charges including any </w:t>
      </w:r>
      <w:r w:rsidRPr="002569E9">
        <w:rPr>
          <w:rFonts w:ascii="Times New Roman" w:hAnsi="Times New Roman"/>
          <w:sz w:val="24"/>
          <w:szCs w:val="24"/>
        </w:rPr>
        <w:t>outstanding interest and fees</w:t>
      </w:r>
      <w:r>
        <w:rPr>
          <w:rFonts w:ascii="Times New Roman" w:hAnsi="Times New Roman"/>
          <w:sz w:val="24"/>
          <w:szCs w:val="24"/>
        </w:rPr>
        <w:t xml:space="preserve"> on a new installment agreement</w:t>
      </w:r>
      <w:r w:rsidRPr="0002764F">
        <w:rPr>
          <w:rFonts w:ascii="Times New Roman" w:hAnsi="Times New Roman"/>
          <w:sz w:val="24"/>
          <w:szCs w:val="24"/>
        </w:rPr>
        <w:t>.</w:t>
      </w:r>
      <w:r w:rsidRPr="0002764F">
        <w:rPr>
          <w:rStyle w:val="FootnoteReference"/>
        </w:rPr>
        <w:footnoteReference w:id="12"/>
      </w:r>
      <w:r w:rsidRPr="0002764F">
        <w:rPr>
          <w:rFonts w:ascii="Times New Roman" w:hAnsi="Times New Roman"/>
          <w:sz w:val="24"/>
          <w:szCs w:val="24"/>
        </w:rPr>
        <w:t xml:space="preserve"> </w:t>
      </w:r>
    </w:p>
    <w:p w:rsidR="00EA309C" w:rsidRDefault="00EA309C" w:rsidP="007D4E1E">
      <w:pPr>
        <w:spacing w:after="0" w:line="480" w:lineRule="auto"/>
        <w:ind w:firstLine="720"/>
        <w:jc w:val="both"/>
        <w:rPr>
          <w:rFonts w:ascii="Times New Roman" w:hAnsi="Times New Roman"/>
          <w:sz w:val="24"/>
          <w:szCs w:val="24"/>
        </w:rPr>
      </w:pPr>
      <w:r w:rsidRPr="0002764F">
        <w:rPr>
          <w:rFonts w:ascii="Times New Roman" w:hAnsi="Times New Roman"/>
          <w:sz w:val="24"/>
          <w:szCs w:val="24"/>
        </w:rPr>
        <w:t>Under th</w:t>
      </w:r>
      <w:r w:rsidR="00847CD5">
        <w:rPr>
          <w:rFonts w:ascii="Times New Roman" w:hAnsi="Times New Roman"/>
          <w:sz w:val="24"/>
          <w:szCs w:val="24"/>
        </w:rPr>
        <w:t xml:space="preserve">is </w:t>
      </w:r>
      <w:r w:rsidRPr="0002764F">
        <w:rPr>
          <w:rFonts w:ascii="Times New Roman" w:hAnsi="Times New Roman"/>
          <w:sz w:val="24"/>
          <w:szCs w:val="24"/>
        </w:rPr>
        <w:t>installment agreement plan, installment amounts are calculated based on the amount owed, interest rates, and pay-off period, but without regard for income or ability to pay. Moreover, as a term of the installment agreement, property owners must agree to pay all current property taxes as they accrue and interest continues to accrue on the unpaid taxes until they are paid through the installment agreement plan at the same rate of interest as they did prior to the execution of the agreement.</w:t>
      </w:r>
      <w:r w:rsidRPr="0002764F">
        <w:rPr>
          <w:rStyle w:val="FootnoteReference"/>
        </w:rPr>
        <w:footnoteReference w:id="13"/>
      </w:r>
      <w:r w:rsidRPr="0002764F">
        <w:rPr>
          <w:rFonts w:ascii="Times New Roman" w:hAnsi="Times New Roman"/>
          <w:sz w:val="24"/>
          <w:szCs w:val="24"/>
        </w:rPr>
        <w:t xml:space="preserve"> </w:t>
      </w:r>
    </w:p>
    <w:p w:rsidR="00A00EB5" w:rsidRDefault="00EA309C" w:rsidP="00EA309C">
      <w:pPr>
        <w:spacing w:after="0" w:line="480" w:lineRule="auto"/>
        <w:ind w:firstLine="720"/>
        <w:jc w:val="both"/>
        <w:rPr>
          <w:rFonts w:ascii="Times New Roman" w:hAnsi="Times New Roman"/>
          <w:sz w:val="24"/>
          <w:szCs w:val="24"/>
        </w:rPr>
      </w:pPr>
      <w:r>
        <w:rPr>
          <w:rFonts w:ascii="Times New Roman" w:hAnsi="Times New Roman"/>
          <w:sz w:val="24"/>
          <w:szCs w:val="24"/>
        </w:rPr>
        <w:t xml:space="preserve">Additionally, </w:t>
      </w:r>
      <w:r w:rsidRPr="00571781">
        <w:rPr>
          <w:rFonts w:ascii="Times New Roman" w:hAnsi="Times New Roman"/>
          <w:sz w:val="24"/>
          <w:szCs w:val="24"/>
        </w:rPr>
        <w:t>property owners with a com</w:t>
      </w:r>
      <w:r>
        <w:rPr>
          <w:rFonts w:ascii="Times New Roman" w:hAnsi="Times New Roman"/>
          <w:sz w:val="24"/>
          <w:szCs w:val="24"/>
        </w:rPr>
        <w:t>bined income of $86,400 or less who own</w:t>
      </w:r>
      <w:r w:rsidRPr="00571781">
        <w:rPr>
          <w:rFonts w:ascii="Times New Roman" w:hAnsi="Times New Roman"/>
          <w:sz w:val="24"/>
          <w:szCs w:val="24"/>
        </w:rPr>
        <w:t xml:space="preserve"> one- to three- family </w:t>
      </w:r>
      <w:r w:rsidR="000A2F90">
        <w:rPr>
          <w:rFonts w:ascii="Times New Roman" w:hAnsi="Times New Roman"/>
          <w:sz w:val="24"/>
          <w:szCs w:val="24"/>
        </w:rPr>
        <w:t xml:space="preserve">homes </w:t>
      </w:r>
      <w:r>
        <w:rPr>
          <w:rFonts w:ascii="Times New Roman" w:hAnsi="Times New Roman"/>
          <w:sz w:val="24"/>
          <w:szCs w:val="24"/>
        </w:rPr>
        <w:t>or</w:t>
      </w:r>
      <w:r w:rsidRPr="00571781">
        <w:rPr>
          <w:rFonts w:ascii="Times New Roman" w:hAnsi="Times New Roman"/>
          <w:sz w:val="24"/>
          <w:szCs w:val="24"/>
        </w:rPr>
        <w:t xml:space="preserve"> condominium</w:t>
      </w:r>
      <w:r>
        <w:rPr>
          <w:rFonts w:ascii="Times New Roman" w:hAnsi="Times New Roman"/>
          <w:sz w:val="24"/>
          <w:szCs w:val="24"/>
        </w:rPr>
        <w:t>s</w:t>
      </w:r>
      <w:r w:rsidRPr="00571781">
        <w:rPr>
          <w:rFonts w:ascii="Times New Roman" w:hAnsi="Times New Roman"/>
          <w:sz w:val="24"/>
          <w:szCs w:val="24"/>
        </w:rPr>
        <w:t xml:space="preserve"> where such property is </w:t>
      </w:r>
      <w:r>
        <w:rPr>
          <w:rFonts w:ascii="Times New Roman" w:hAnsi="Times New Roman"/>
          <w:sz w:val="24"/>
          <w:szCs w:val="24"/>
        </w:rPr>
        <w:t>the owner’s primary residence are eligible for enrollment in the City’s PT AID (Property Tax and Interest Deferral) Program</w:t>
      </w:r>
      <w:r w:rsidR="007D4E1E">
        <w:rPr>
          <w:rFonts w:ascii="Times New Roman" w:hAnsi="Times New Roman"/>
          <w:sz w:val="24"/>
          <w:szCs w:val="24"/>
        </w:rPr>
        <w:t>,</w:t>
      </w:r>
      <w:r w:rsidR="00A00EB5">
        <w:rPr>
          <w:rStyle w:val="FootnoteReference"/>
          <w:rFonts w:ascii="Times New Roman" w:hAnsi="Times New Roman"/>
          <w:sz w:val="24"/>
          <w:szCs w:val="24"/>
        </w:rPr>
        <w:footnoteReference w:id="14"/>
      </w:r>
      <w:r w:rsidR="00A00EB5">
        <w:rPr>
          <w:rFonts w:ascii="Times New Roman" w:hAnsi="Times New Roman"/>
          <w:sz w:val="24"/>
          <w:szCs w:val="24"/>
        </w:rPr>
        <w:t xml:space="preserve"> which is made up of </w:t>
      </w:r>
      <w:r w:rsidR="00A00EB5" w:rsidRPr="00A00EB5">
        <w:rPr>
          <w:rFonts w:ascii="Times New Roman" w:hAnsi="Times New Roman"/>
          <w:sz w:val="24"/>
          <w:szCs w:val="24"/>
        </w:rPr>
        <w:t>three income-based installment agreements</w:t>
      </w:r>
      <w:r w:rsidR="00A00EB5">
        <w:rPr>
          <w:rFonts w:ascii="Times New Roman" w:hAnsi="Times New Roman"/>
          <w:sz w:val="24"/>
          <w:szCs w:val="24"/>
        </w:rPr>
        <w:t>:</w:t>
      </w:r>
      <w:r w:rsidR="00A00EB5" w:rsidRPr="00A00EB5">
        <w:rPr>
          <w:rFonts w:ascii="Times New Roman" w:hAnsi="Times New Roman"/>
          <w:sz w:val="24"/>
          <w:szCs w:val="24"/>
        </w:rPr>
        <w:t xml:space="preserve"> </w:t>
      </w:r>
    </w:p>
    <w:p w:rsidR="00A00EB5" w:rsidRDefault="00A00EB5" w:rsidP="00A00EB5">
      <w:pPr>
        <w:pStyle w:val="ListParagraph"/>
        <w:numPr>
          <w:ilvl w:val="0"/>
          <w:numId w:val="6"/>
        </w:numPr>
        <w:spacing w:after="0" w:line="480" w:lineRule="auto"/>
        <w:jc w:val="both"/>
        <w:rPr>
          <w:rFonts w:ascii="Times New Roman" w:hAnsi="Times New Roman"/>
          <w:sz w:val="24"/>
          <w:szCs w:val="24"/>
        </w:rPr>
      </w:pPr>
      <w:r w:rsidRPr="007D4E1E">
        <w:rPr>
          <w:rFonts w:ascii="Times New Roman" w:hAnsi="Times New Roman"/>
          <w:sz w:val="24"/>
          <w:szCs w:val="24"/>
        </w:rPr>
        <w:t xml:space="preserve">The senior low-income installment agreement allows property owners who are at least 65 years old to defer payment of a percentage of their tax arrears and prospective tax liability until the termination of the installment agreement upon expiration, death, or transfer. </w:t>
      </w:r>
    </w:p>
    <w:p w:rsidR="00A00EB5" w:rsidRDefault="00A00EB5" w:rsidP="00A00EB5">
      <w:pPr>
        <w:pStyle w:val="ListParagraph"/>
        <w:numPr>
          <w:ilvl w:val="0"/>
          <w:numId w:val="6"/>
        </w:numPr>
        <w:spacing w:after="0" w:line="480" w:lineRule="auto"/>
        <w:jc w:val="both"/>
        <w:rPr>
          <w:rFonts w:ascii="Times New Roman" w:hAnsi="Times New Roman"/>
          <w:sz w:val="24"/>
          <w:szCs w:val="24"/>
        </w:rPr>
      </w:pPr>
      <w:r w:rsidRPr="007D4E1E">
        <w:rPr>
          <w:rFonts w:ascii="Times New Roman" w:hAnsi="Times New Roman"/>
          <w:sz w:val="24"/>
          <w:szCs w:val="24"/>
        </w:rPr>
        <w:t xml:space="preserve">The fixed-length income-based installment agreement allows property owners to pay off tax arrears and one year of prospective tax liability by paying installments based on a percentage of income until the debt is repaid. </w:t>
      </w:r>
    </w:p>
    <w:p w:rsidR="00A00EB5" w:rsidRDefault="00A00EB5" w:rsidP="00A00EB5">
      <w:pPr>
        <w:pStyle w:val="ListParagraph"/>
        <w:numPr>
          <w:ilvl w:val="0"/>
          <w:numId w:val="6"/>
        </w:numPr>
        <w:spacing w:after="0" w:line="480" w:lineRule="auto"/>
        <w:jc w:val="both"/>
        <w:rPr>
          <w:rFonts w:ascii="Times New Roman" w:hAnsi="Times New Roman"/>
          <w:sz w:val="24"/>
          <w:szCs w:val="24"/>
        </w:rPr>
      </w:pPr>
      <w:r w:rsidRPr="007D4E1E">
        <w:rPr>
          <w:rFonts w:ascii="Times New Roman" w:hAnsi="Times New Roman"/>
          <w:sz w:val="24"/>
          <w:szCs w:val="24"/>
        </w:rPr>
        <w:t xml:space="preserve">Finally, the extenuating circumstances income-based installment agreement allows property owners with extenuating circumstances (such as loss of income due to unemployment, death, treatment of an illness, military service, or involuntary absence) to enter into a one-year installment agreement to pay off tax arrears and property taxes that accrue during that year by paying installments based on a percentage of income. </w:t>
      </w:r>
    </w:p>
    <w:p w:rsidR="003A5DCA" w:rsidRDefault="003A5DCA" w:rsidP="00A00EB5">
      <w:pPr>
        <w:spacing w:after="0" w:line="480" w:lineRule="auto"/>
        <w:ind w:firstLine="720"/>
        <w:jc w:val="both"/>
        <w:rPr>
          <w:rFonts w:ascii="Times New Roman" w:hAnsi="Times New Roman"/>
          <w:sz w:val="24"/>
          <w:szCs w:val="24"/>
        </w:rPr>
      </w:pPr>
    </w:p>
    <w:p w:rsidR="00EA309C" w:rsidRPr="007D4E1E" w:rsidRDefault="00EA309C" w:rsidP="00A00EB5">
      <w:pPr>
        <w:spacing w:after="0" w:line="480" w:lineRule="auto"/>
        <w:ind w:firstLine="720"/>
        <w:jc w:val="both"/>
        <w:rPr>
          <w:rFonts w:ascii="Times New Roman" w:hAnsi="Times New Roman"/>
          <w:sz w:val="24"/>
          <w:szCs w:val="24"/>
        </w:rPr>
      </w:pPr>
      <w:r w:rsidRPr="007D4E1E">
        <w:rPr>
          <w:rFonts w:ascii="Times New Roman" w:hAnsi="Times New Roman"/>
          <w:sz w:val="24"/>
          <w:szCs w:val="24"/>
        </w:rPr>
        <w:t>A property owner who satisfies the requirements can enter into an installment agreement with DOF for the payment of real property taxes, assessments, or other charges subject to a lien (except for sewer rents, sewer surcharges or water rents). The execution of any installment agreement will not suspend the accrual of applicable liens, interest or other charges against the property, but it will prevent inclusion of the property in the lien sale.</w:t>
      </w:r>
    </w:p>
    <w:p w:rsidR="00A00EB5" w:rsidRPr="00571781" w:rsidRDefault="00A00EB5" w:rsidP="00EA309C">
      <w:pPr>
        <w:spacing w:after="0" w:line="480" w:lineRule="auto"/>
        <w:ind w:firstLine="720"/>
        <w:jc w:val="both"/>
        <w:rPr>
          <w:rFonts w:ascii="Times New Roman" w:hAnsi="Times New Roman"/>
          <w:sz w:val="24"/>
          <w:szCs w:val="24"/>
        </w:rPr>
      </w:pPr>
      <w:r>
        <w:rPr>
          <w:rFonts w:ascii="Times New Roman" w:hAnsi="Times New Roman"/>
          <w:sz w:val="24"/>
          <w:szCs w:val="24"/>
        </w:rPr>
        <w:t xml:space="preserve">When the PT AID program was initially legislated as part of Local Law 45 of 2019, all homeowners had to have incomes no greater than $58,399. However, Local Law 24 of 2021 raised the income thresholds to the current $86,400. </w:t>
      </w:r>
    </w:p>
    <w:p w:rsidR="00EA309C" w:rsidRDefault="00EA309C" w:rsidP="007D4E1E">
      <w:pPr>
        <w:pStyle w:val="ListParagraph"/>
        <w:spacing w:after="0" w:line="480" w:lineRule="auto"/>
        <w:ind w:left="1080"/>
        <w:jc w:val="both"/>
        <w:rPr>
          <w:rFonts w:ascii="Times New Roman" w:hAnsi="Times New Roman"/>
          <w:b/>
          <w:sz w:val="24"/>
          <w:szCs w:val="24"/>
        </w:rPr>
      </w:pPr>
    </w:p>
    <w:p w:rsidR="009C7CCC" w:rsidRPr="00937199" w:rsidRDefault="009C7CCC" w:rsidP="00937199">
      <w:pPr>
        <w:pStyle w:val="ListParagraph"/>
        <w:numPr>
          <w:ilvl w:val="0"/>
          <w:numId w:val="4"/>
        </w:numPr>
        <w:spacing w:after="0" w:line="480" w:lineRule="auto"/>
        <w:jc w:val="both"/>
        <w:rPr>
          <w:rFonts w:ascii="Times New Roman" w:hAnsi="Times New Roman"/>
          <w:b/>
          <w:sz w:val="24"/>
          <w:szCs w:val="24"/>
        </w:rPr>
      </w:pPr>
      <w:r w:rsidRPr="00937199">
        <w:rPr>
          <w:rFonts w:ascii="Times New Roman" w:hAnsi="Times New Roman"/>
          <w:b/>
          <w:sz w:val="24"/>
          <w:szCs w:val="24"/>
        </w:rPr>
        <w:t>Background on</w:t>
      </w:r>
      <w:r w:rsidR="0018054E">
        <w:rPr>
          <w:rFonts w:ascii="Times New Roman" w:hAnsi="Times New Roman"/>
          <w:b/>
          <w:sz w:val="24"/>
          <w:szCs w:val="24"/>
        </w:rPr>
        <w:t xml:space="preserve"> Int. No. </w:t>
      </w:r>
      <w:r w:rsidRPr="00937199">
        <w:rPr>
          <w:rFonts w:ascii="Times New Roman" w:hAnsi="Times New Roman"/>
          <w:b/>
          <w:sz w:val="24"/>
          <w:szCs w:val="24"/>
        </w:rPr>
        <w:t xml:space="preserve"> 524</w:t>
      </w:r>
    </w:p>
    <w:p w:rsidR="001D33F7" w:rsidRDefault="001D33F7" w:rsidP="001D33F7">
      <w:pPr>
        <w:spacing w:after="0" w:line="480" w:lineRule="auto"/>
        <w:ind w:firstLine="720"/>
        <w:jc w:val="both"/>
        <w:rPr>
          <w:rFonts w:ascii="Times New Roman" w:hAnsi="Times New Roman"/>
          <w:sz w:val="24"/>
          <w:szCs w:val="24"/>
        </w:rPr>
      </w:pPr>
      <w:r>
        <w:rPr>
          <w:rFonts w:ascii="Times New Roman" w:hAnsi="Times New Roman"/>
          <w:sz w:val="24"/>
          <w:szCs w:val="24"/>
        </w:rPr>
        <w:t>Introduction 5</w:t>
      </w:r>
      <w:r w:rsidR="008E5171">
        <w:rPr>
          <w:rFonts w:ascii="Times New Roman" w:hAnsi="Times New Roman"/>
          <w:sz w:val="24"/>
          <w:szCs w:val="24"/>
        </w:rPr>
        <w:t>24 is a reintroduction of Introduction</w:t>
      </w:r>
      <w:r>
        <w:rPr>
          <w:rFonts w:ascii="Times New Roman" w:hAnsi="Times New Roman"/>
          <w:sz w:val="24"/>
          <w:szCs w:val="24"/>
        </w:rPr>
        <w:t xml:space="preserve"> 1262 of 2018 that </w:t>
      </w:r>
      <w:r w:rsidR="008E5171">
        <w:rPr>
          <w:rFonts w:ascii="Times New Roman" w:hAnsi="Times New Roman"/>
          <w:sz w:val="24"/>
          <w:szCs w:val="24"/>
        </w:rPr>
        <w:t xml:space="preserve">was </w:t>
      </w:r>
      <w:r>
        <w:rPr>
          <w:rFonts w:ascii="Times New Roman" w:hAnsi="Times New Roman"/>
          <w:sz w:val="24"/>
          <w:szCs w:val="24"/>
        </w:rPr>
        <w:t>intended to address two issues.</w:t>
      </w:r>
    </w:p>
    <w:p w:rsidR="00B74CAC" w:rsidRDefault="001D33F7" w:rsidP="001D33F7">
      <w:pPr>
        <w:spacing w:after="0" w:line="480" w:lineRule="auto"/>
        <w:ind w:firstLine="720"/>
        <w:jc w:val="both"/>
        <w:rPr>
          <w:rFonts w:ascii="Times New Roman" w:hAnsi="Times New Roman"/>
          <w:sz w:val="24"/>
          <w:szCs w:val="24"/>
        </w:rPr>
      </w:pPr>
      <w:r>
        <w:rPr>
          <w:rFonts w:ascii="Times New Roman" w:hAnsi="Times New Roman"/>
          <w:sz w:val="24"/>
          <w:szCs w:val="24"/>
        </w:rPr>
        <w:t>First, d</w:t>
      </w:r>
      <w:r w:rsidR="00B74CAC" w:rsidRPr="0002764F">
        <w:rPr>
          <w:rFonts w:ascii="Times New Roman" w:hAnsi="Times New Roman"/>
          <w:sz w:val="24"/>
          <w:szCs w:val="24"/>
        </w:rPr>
        <w:t xml:space="preserve">espite the requirements in the Administrative Code, in Fiscal 2018, the Banking Commission ceased recommending rates for nonpayment of water and sewer rents because State law sets the nonpayment interest rate for these charges. Specifically, §1045-j(5) of the Public Authorities Law states that “Such fees, rates, rents or other charges, if not paid when due, shall constitute a lien upon the premises served and a charge against the owners thereof, which lien </w:t>
      </w:r>
      <w:r w:rsidR="00B74CAC" w:rsidRPr="0002764F">
        <w:rPr>
          <w:rFonts w:ascii="Times New Roman" w:hAnsi="Times New Roman"/>
          <w:i/>
          <w:sz w:val="24"/>
          <w:szCs w:val="24"/>
        </w:rPr>
        <w:t>and charge shall bear interest at the same rate as would unpaid taxes of the city</w:t>
      </w:r>
      <w:r w:rsidR="00B74CAC" w:rsidRPr="0002764F">
        <w:rPr>
          <w:rFonts w:ascii="Times New Roman" w:hAnsi="Times New Roman"/>
          <w:sz w:val="24"/>
          <w:szCs w:val="24"/>
        </w:rPr>
        <w:t>.” (emphasis added)</w:t>
      </w:r>
    </w:p>
    <w:p w:rsidR="009C7CCC" w:rsidRDefault="001D33F7" w:rsidP="009C7CCC">
      <w:pPr>
        <w:spacing w:after="0" w:line="480" w:lineRule="auto"/>
        <w:ind w:firstLine="720"/>
        <w:jc w:val="both"/>
        <w:rPr>
          <w:rFonts w:ascii="Times New Roman" w:hAnsi="Times New Roman"/>
          <w:sz w:val="24"/>
          <w:szCs w:val="24"/>
        </w:rPr>
      </w:pPr>
      <w:r>
        <w:rPr>
          <w:rFonts w:ascii="Times New Roman" w:hAnsi="Times New Roman"/>
          <w:sz w:val="24"/>
          <w:szCs w:val="24"/>
        </w:rPr>
        <w:t>Second</w:t>
      </w:r>
      <w:r w:rsidR="00B74CAC" w:rsidRPr="004E2E3F">
        <w:rPr>
          <w:rFonts w:ascii="Times New Roman" w:hAnsi="Times New Roman"/>
          <w:sz w:val="24"/>
          <w:szCs w:val="24"/>
        </w:rPr>
        <w:t xml:space="preserve">, all tax arrears owed to the City accrue interest at the same rate regardless of whether the property owner is making a good faith effort to address the debt by entering into an installment agreement with the City or whether the property owner is taking no steps to pay the City what it is owed. </w:t>
      </w:r>
    </w:p>
    <w:p w:rsidR="00F762FA" w:rsidRDefault="0018054E" w:rsidP="009C7CCC">
      <w:pPr>
        <w:spacing w:after="0" w:line="480" w:lineRule="auto"/>
        <w:ind w:firstLine="720"/>
        <w:jc w:val="both"/>
        <w:rPr>
          <w:rFonts w:ascii="Times New Roman" w:hAnsi="Times New Roman"/>
          <w:sz w:val="24"/>
          <w:szCs w:val="24"/>
        </w:rPr>
      </w:pPr>
      <w:r>
        <w:rPr>
          <w:rFonts w:ascii="Times New Roman" w:hAnsi="Times New Roman"/>
          <w:sz w:val="24"/>
          <w:szCs w:val="24"/>
        </w:rPr>
        <w:t>In relation to this second issue, t</w:t>
      </w:r>
      <w:r w:rsidR="00F762FA">
        <w:rPr>
          <w:rFonts w:ascii="Times New Roman" w:hAnsi="Times New Roman"/>
          <w:sz w:val="24"/>
          <w:szCs w:val="24"/>
        </w:rPr>
        <w:t>he temporary lien sale task force (Task Force) which met in 2015 and 2016 pursuant to Local Law 14 of 2015 recommended that</w:t>
      </w:r>
      <w:r w:rsidR="00F762FA" w:rsidRPr="00F762FA">
        <w:rPr>
          <w:rFonts w:ascii="Times New Roman" w:hAnsi="Times New Roman"/>
          <w:sz w:val="24"/>
          <w:szCs w:val="24"/>
        </w:rPr>
        <w:t xml:space="preserve"> further efforts be made to minimize the number of properties with liens sold in the lien sale by offering improved options for payment, increased access to information about available exemptions and abatements, and assistance to property owners to help them resolve their payment problems and avoid a stressful and financially overwhelming process.</w:t>
      </w:r>
      <w:r w:rsidR="00F762FA">
        <w:rPr>
          <w:rStyle w:val="FootnoteReference"/>
          <w:rFonts w:ascii="Times New Roman" w:hAnsi="Times New Roman"/>
          <w:sz w:val="24"/>
          <w:szCs w:val="24"/>
        </w:rPr>
        <w:footnoteReference w:id="15"/>
      </w:r>
      <w:r w:rsidR="00F762FA" w:rsidRPr="00F762FA">
        <w:rPr>
          <w:rFonts w:ascii="Times New Roman" w:hAnsi="Times New Roman"/>
          <w:sz w:val="24"/>
          <w:szCs w:val="24"/>
        </w:rPr>
        <w:t xml:space="preserve">  </w:t>
      </w:r>
      <w:r w:rsidR="00F762FA">
        <w:rPr>
          <w:rFonts w:ascii="Times New Roman" w:hAnsi="Times New Roman"/>
          <w:sz w:val="24"/>
          <w:szCs w:val="24"/>
        </w:rPr>
        <w:t>In response to these recommendations, in 2018, the Council adopted Int. No. 1143 which created new installment agreements which, when entered into by homeowners whose homes were their primary residence and adhered to, would keep their homes out of the lien sales</w:t>
      </w:r>
      <w:r w:rsidR="00C738ED">
        <w:rPr>
          <w:rFonts w:ascii="Times New Roman" w:hAnsi="Times New Roman"/>
          <w:sz w:val="24"/>
          <w:szCs w:val="24"/>
        </w:rPr>
        <w:t>. However, as noted abo</w:t>
      </w:r>
      <w:r w:rsidR="007D4E1E">
        <w:rPr>
          <w:rFonts w:ascii="Times New Roman" w:hAnsi="Times New Roman"/>
          <w:sz w:val="24"/>
          <w:szCs w:val="24"/>
        </w:rPr>
        <w:t>ve, the tax arrears on properties</w:t>
      </w:r>
      <w:r w:rsidR="00C738ED">
        <w:rPr>
          <w:rFonts w:ascii="Times New Roman" w:hAnsi="Times New Roman"/>
          <w:sz w:val="24"/>
          <w:szCs w:val="24"/>
        </w:rPr>
        <w:t xml:space="preserve"> subject to </w:t>
      </w:r>
      <w:r w:rsidR="007D4E1E">
        <w:rPr>
          <w:rFonts w:ascii="Times New Roman" w:hAnsi="Times New Roman"/>
          <w:sz w:val="24"/>
          <w:szCs w:val="24"/>
        </w:rPr>
        <w:t>any of the var</w:t>
      </w:r>
      <w:r w:rsidR="000A2F90">
        <w:rPr>
          <w:rFonts w:ascii="Times New Roman" w:hAnsi="Times New Roman"/>
          <w:sz w:val="24"/>
          <w:szCs w:val="24"/>
        </w:rPr>
        <w:t>i</w:t>
      </w:r>
      <w:r w:rsidR="007D4E1E">
        <w:rPr>
          <w:rFonts w:ascii="Times New Roman" w:hAnsi="Times New Roman"/>
          <w:sz w:val="24"/>
          <w:szCs w:val="24"/>
        </w:rPr>
        <w:t xml:space="preserve">ous </w:t>
      </w:r>
      <w:r w:rsidR="00C738ED">
        <w:rPr>
          <w:rFonts w:ascii="Times New Roman" w:hAnsi="Times New Roman"/>
          <w:sz w:val="24"/>
          <w:szCs w:val="24"/>
        </w:rPr>
        <w:t>installment agreements continue to accrue interest at the same interest rates as all other properties in that category.</w:t>
      </w:r>
      <w:r>
        <w:rPr>
          <w:rFonts w:ascii="Times New Roman" w:hAnsi="Times New Roman"/>
          <w:sz w:val="24"/>
          <w:szCs w:val="24"/>
        </w:rPr>
        <w:t xml:space="preserve"> Int. No. 524 attempts to assist those taxpayers making a good faith effort to pay off their tax arrears with the possibility of a lower interest rate.</w:t>
      </w:r>
    </w:p>
    <w:p w:rsidR="009C7CCC" w:rsidRDefault="009C7CCC" w:rsidP="009C7CCC">
      <w:pPr>
        <w:spacing w:after="0" w:line="480" w:lineRule="auto"/>
        <w:ind w:firstLine="720"/>
        <w:jc w:val="both"/>
        <w:rPr>
          <w:rFonts w:ascii="Times New Roman" w:hAnsi="Times New Roman"/>
          <w:sz w:val="24"/>
          <w:szCs w:val="24"/>
        </w:rPr>
      </w:pPr>
      <w:r>
        <w:rPr>
          <w:rFonts w:ascii="Times New Roman" w:hAnsi="Times New Roman"/>
          <w:sz w:val="24"/>
          <w:szCs w:val="24"/>
        </w:rPr>
        <w:t xml:space="preserve">On November 20, </w:t>
      </w:r>
      <w:r w:rsidR="008E5171">
        <w:rPr>
          <w:rFonts w:ascii="Times New Roman" w:hAnsi="Times New Roman"/>
          <w:sz w:val="24"/>
          <w:szCs w:val="24"/>
        </w:rPr>
        <w:t>2018, the Finance Committee held a</w:t>
      </w:r>
      <w:r>
        <w:rPr>
          <w:rFonts w:ascii="Times New Roman" w:hAnsi="Times New Roman"/>
          <w:sz w:val="24"/>
          <w:szCs w:val="24"/>
        </w:rPr>
        <w:t xml:space="preserve"> hearing</w:t>
      </w:r>
      <w:r w:rsidR="001D33F7">
        <w:rPr>
          <w:rFonts w:ascii="Times New Roman" w:hAnsi="Times New Roman"/>
          <w:sz w:val="24"/>
          <w:szCs w:val="24"/>
        </w:rPr>
        <w:t xml:space="preserve"> on Intro 1262 </w:t>
      </w:r>
      <w:r>
        <w:rPr>
          <w:rFonts w:ascii="Times New Roman" w:hAnsi="Times New Roman"/>
          <w:sz w:val="24"/>
          <w:szCs w:val="24"/>
        </w:rPr>
        <w:t>prior to its introduction on November 28, 2018. The bill was</w:t>
      </w:r>
      <w:r w:rsidR="001D33F7">
        <w:rPr>
          <w:rFonts w:ascii="Times New Roman" w:hAnsi="Times New Roman"/>
          <w:sz w:val="24"/>
          <w:szCs w:val="24"/>
        </w:rPr>
        <w:t xml:space="preserve"> subsequently</w:t>
      </w:r>
      <w:r>
        <w:rPr>
          <w:rFonts w:ascii="Times New Roman" w:hAnsi="Times New Roman"/>
          <w:sz w:val="24"/>
          <w:szCs w:val="24"/>
        </w:rPr>
        <w:t xml:space="preserve"> laid over, and then filed at the end of the 2018-2021 Council Session. </w:t>
      </w:r>
    </w:p>
    <w:p w:rsidR="00B74CAC" w:rsidRPr="004E2E3F" w:rsidRDefault="00B74CAC" w:rsidP="00B74CAC">
      <w:pPr>
        <w:spacing w:after="0" w:line="480" w:lineRule="auto"/>
        <w:ind w:firstLine="720"/>
        <w:jc w:val="both"/>
        <w:rPr>
          <w:rFonts w:ascii="Times New Roman" w:hAnsi="Times New Roman"/>
          <w:sz w:val="24"/>
          <w:szCs w:val="24"/>
        </w:rPr>
      </w:pPr>
    </w:p>
    <w:p w:rsidR="00B74CAC" w:rsidRPr="00937199" w:rsidRDefault="00B74CAC" w:rsidP="00937199">
      <w:pPr>
        <w:pStyle w:val="ListParagraph"/>
        <w:numPr>
          <w:ilvl w:val="0"/>
          <w:numId w:val="4"/>
        </w:numPr>
        <w:spacing w:after="0" w:line="480" w:lineRule="auto"/>
        <w:jc w:val="both"/>
        <w:rPr>
          <w:rFonts w:ascii="Times New Roman" w:hAnsi="Times New Roman"/>
          <w:b/>
          <w:sz w:val="24"/>
          <w:szCs w:val="24"/>
        </w:rPr>
      </w:pPr>
      <w:r w:rsidRPr="00937199">
        <w:rPr>
          <w:rFonts w:ascii="Times New Roman" w:hAnsi="Times New Roman"/>
          <w:b/>
          <w:sz w:val="24"/>
          <w:szCs w:val="24"/>
        </w:rPr>
        <w:t>Analysis of Int</w:t>
      </w:r>
      <w:r w:rsidR="0018054E">
        <w:rPr>
          <w:rFonts w:ascii="Times New Roman" w:hAnsi="Times New Roman"/>
          <w:b/>
          <w:sz w:val="24"/>
          <w:szCs w:val="24"/>
        </w:rPr>
        <w:t>. No.</w:t>
      </w:r>
      <w:r w:rsidRPr="00937199">
        <w:rPr>
          <w:rFonts w:ascii="Times New Roman" w:hAnsi="Times New Roman"/>
          <w:b/>
          <w:sz w:val="24"/>
          <w:szCs w:val="24"/>
        </w:rPr>
        <w:t xml:space="preserve"> 524</w:t>
      </w:r>
    </w:p>
    <w:p w:rsidR="00B74CAC" w:rsidRPr="00475AF2" w:rsidRDefault="00B74CAC" w:rsidP="00B74CAC">
      <w:pPr>
        <w:pStyle w:val="SingleSpaceHanging1"/>
        <w:spacing w:after="0" w:line="480" w:lineRule="auto"/>
        <w:ind w:left="0" w:firstLine="720"/>
      </w:pPr>
      <w:r w:rsidRPr="00726ED4">
        <w:t>Section 1 of</w:t>
      </w:r>
      <w:r>
        <w:t xml:space="preserve"> </w:t>
      </w:r>
      <w:r w:rsidRPr="00726ED4">
        <w:t>Int.</w:t>
      </w:r>
      <w:r w:rsidR="0018054E">
        <w:t xml:space="preserve"> No.</w:t>
      </w:r>
      <w:r>
        <w:t xml:space="preserve"> 524</w:t>
      </w:r>
      <w:r w:rsidRPr="00726ED4">
        <w:t xml:space="preserve"> </w:t>
      </w:r>
      <w:r w:rsidRPr="005412DA">
        <w:t xml:space="preserve">would </w:t>
      </w:r>
      <w:r>
        <w:t>specify that</w:t>
      </w:r>
      <w:r w:rsidRPr="00726ED4">
        <w:t xml:space="preserve"> </w:t>
      </w:r>
      <w:r>
        <w:t>f</w:t>
      </w:r>
      <w:r w:rsidRPr="00024A85">
        <w:t xml:space="preserve">or real property with an assessed value of </w:t>
      </w:r>
      <w:r>
        <w:t>$250,000</w:t>
      </w:r>
      <w:r w:rsidRPr="00024A85">
        <w:t xml:space="preserve"> or less that is subject to an executed installment agreement that is not default</w:t>
      </w:r>
      <w:r>
        <w:t>, the Banking C</w:t>
      </w:r>
      <w:r w:rsidRPr="00024A85">
        <w:t xml:space="preserve">ommission </w:t>
      </w:r>
      <w:r>
        <w:t>must recommend an interest rate for the nonpayment of property taxes that is at least equal to</w:t>
      </w:r>
      <w:r w:rsidRPr="00024A85">
        <w:t xml:space="preserve"> the most recently determined federal short-term rate</w:t>
      </w:r>
      <w:r>
        <w:t xml:space="preserve">. The Council would then be authorized to adopt a rate applicable to those properties. </w:t>
      </w:r>
    </w:p>
    <w:p w:rsidR="00B74CAC" w:rsidRDefault="00B74CAC" w:rsidP="00B74CAC">
      <w:pPr>
        <w:pStyle w:val="SingleSpaceHanging1"/>
        <w:spacing w:after="0" w:line="480" w:lineRule="auto"/>
        <w:ind w:left="0" w:firstLine="720"/>
      </w:pPr>
      <w:r w:rsidRPr="00024A85">
        <w:t>Section 2 of</w:t>
      </w:r>
      <w:r>
        <w:t xml:space="preserve"> </w:t>
      </w:r>
      <w:r w:rsidRPr="00024A85">
        <w:t>Int</w:t>
      </w:r>
      <w:r w:rsidR="0018054E">
        <w:t>. No</w:t>
      </w:r>
      <w:r w:rsidRPr="00024A85">
        <w:t>.</w:t>
      </w:r>
      <w:r>
        <w:t xml:space="preserve"> 524</w:t>
      </w:r>
      <w:r w:rsidRPr="00024A85">
        <w:t xml:space="preserve"> would repeal subdivision c of section 11-312 of the administrative code of the city of New York</w:t>
      </w:r>
      <w:r w:rsidR="0018054E">
        <w:t>,</w:t>
      </w:r>
      <w:r>
        <w:t xml:space="preserve"> which requires the Banking Commission to submit a recommendation to the Council, and authorizes the Council to adopt an interest rate for the nonpayment of water charges</w:t>
      </w:r>
      <w:r w:rsidRPr="00024A85">
        <w:t>.</w:t>
      </w:r>
    </w:p>
    <w:p w:rsidR="00B74CAC" w:rsidRPr="00726ED4" w:rsidRDefault="00B74CAC" w:rsidP="00B74CAC">
      <w:pPr>
        <w:pStyle w:val="SingleSpaceHanging1"/>
        <w:spacing w:after="0" w:line="480" w:lineRule="auto"/>
        <w:ind w:left="0" w:firstLine="720"/>
      </w:pPr>
      <w:r w:rsidRPr="00726ED4">
        <w:t>Section 3 of</w:t>
      </w:r>
      <w:r>
        <w:t xml:space="preserve"> </w:t>
      </w:r>
      <w:r w:rsidRPr="00726ED4">
        <w:t>Int</w:t>
      </w:r>
      <w:r w:rsidR="0018054E">
        <w:t>. No</w:t>
      </w:r>
      <w:r w:rsidRPr="00726ED4">
        <w:t xml:space="preserve">. </w:t>
      </w:r>
      <w:r>
        <w:t xml:space="preserve">524 </w:t>
      </w:r>
      <w:r w:rsidRPr="00726ED4">
        <w:t>would repeal subdivision e of section 11-313 of the administrative code of the city of New York</w:t>
      </w:r>
      <w:r w:rsidR="0018054E">
        <w:t>,</w:t>
      </w:r>
      <w:r w:rsidRPr="00144B63">
        <w:t xml:space="preserve"> </w:t>
      </w:r>
      <w:r>
        <w:t>which requires the Banking Commission to submit a recommendation to the Council, and authorizes the Council to adopt, an interest rate for the nonpayment of sewer charges</w:t>
      </w:r>
      <w:r w:rsidRPr="00726ED4">
        <w:t xml:space="preserve">. </w:t>
      </w:r>
    </w:p>
    <w:p w:rsidR="00E81C65" w:rsidRDefault="00B74CAC" w:rsidP="00B74CAC">
      <w:pPr>
        <w:pStyle w:val="SingleSpaceHanging1"/>
        <w:spacing w:after="0" w:line="480" w:lineRule="auto"/>
        <w:ind w:left="0" w:firstLine="720"/>
      </w:pPr>
      <w:r w:rsidRPr="00726ED4">
        <w:t xml:space="preserve">Section 4 of Int. </w:t>
      </w:r>
      <w:r w:rsidR="0018054E">
        <w:t xml:space="preserve">No. </w:t>
      </w:r>
      <w:r w:rsidR="008E5171">
        <w:t xml:space="preserve">524 </w:t>
      </w:r>
      <w:r w:rsidRPr="00726ED4">
        <w:t>would provide that t</w:t>
      </w:r>
      <w:r w:rsidR="008E5171">
        <w:t>he local law take effect immediately and would be retroactive to January 1, 2022</w:t>
      </w:r>
      <w:r w:rsidRPr="00726ED4">
        <w:t>.</w:t>
      </w:r>
    </w:p>
    <w:sectPr w:rsidR="00E81C65">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A32" w:rsidRDefault="00051A32" w:rsidP="00B74CAC">
      <w:pPr>
        <w:spacing w:after="0" w:line="240" w:lineRule="auto"/>
      </w:pPr>
      <w:r>
        <w:separator/>
      </w:r>
    </w:p>
  </w:endnote>
  <w:endnote w:type="continuationSeparator" w:id="0">
    <w:p w:rsidR="00051A32" w:rsidRDefault="00051A32" w:rsidP="00B7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CAC" w:rsidRDefault="00B74CAC" w:rsidP="007357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4CAC" w:rsidRDefault="00B74CAC" w:rsidP="000276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CAC" w:rsidRPr="00DF6446" w:rsidRDefault="00B74CAC" w:rsidP="00735733">
    <w:pPr>
      <w:pStyle w:val="Footer"/>
      <w:framePr w:wrap="none" w:vAnchor="text" w:hAnchor="margin" w:xAlign="right" w:y="1"/>
      <w:rPr>
        <w:rStyle w:val="PageNumber"/>
        <w:rFonts w:ascii="Times New Roman" w:hAnsi="Times New Roman"/>
        <w:sz w:val="24"/>
        <w:szCs w:val="24"/>
      </w:rPr>
    </w:pPr>
    <w:r w:rsidRPr="00DF6446">
      <w:rPr>
        <w:rStyle w:val="PageNumber"/>
        <w:rFonts w:ascii="Times New Roman" w:hAnsi="Times New Roman"/>
        <w:sz w:val="24"/>
        <w:szCs w:val="24"/>
      </w:rPr>
      <w:fldChar w:fldCharType="begin"/>
    </w:r>
    <w:r w:rsidRPr="00DF6446">
      <w:rPr>
        <w:rStyle w:val="PageNumber"/>
        <w:rFonts w:ascii="Times New Roman" w:hAnsi="Times New Roman"/>
        <w:sz w:val="24"/>
        <w:szCs w:val="24"/>
      </w:rPr>
      <w:instrText xml:space="preserve">PAGE  </w:instrText>
    </w:r>
    <w:r w:rsidRPr="00DF6446">
      <w:rPr>
        <w:rStyle w:val="PageNumber"/>
        <w:rFonts w:ascii="Times New Roman" w:hAnsi="Times New Roman"/>
        <w:sz w:val="24"/>
        <w:szCs w:val="24"/>
      </w:rPr>
      <w:fldChar w:fldCharType="separate"/>
    </w:r>
    <w:r w:rsidR="00984F2B">
      <w:rPr>
        <w:rStyle w:val="PageNumber"/>
        <w:rFonts w:ascii="Times New Roman" w:hAnsi="Times New Roman"/>
        <w:noProof/>
        <w:sz w:val="24"/>
        <w:szCs w:val="24"/>
      </w:rPr>
      <w:t>1</w:t>
    </w:r>
    <w:r w:rsidRPr="00DF6446">
      <w:rPr>
        <w:rStyle w:val="PageNumber"/>
        <w:rFonts w:ascii="Times New Roman" w:hAnsi="Times New Roman"/>
        <w:sz w:val="24"/>
        <w:szCs w:val="24"/>
      </w:rPr>
      <w:fldChar w:fldCharType="end"/>
    </w:r>
  </w:p>
  <w:tbl>
    <w:tblPr>
      <w:tblW w:w="0" w:type="auto"/>
      <w:jc w:val="center"/>
      <w:tblLayout w:type="fixed"/>
      <w:tblLook w:val="0000" w:firstRow="0" w:lastRow="0" w:firstColumn="0" w:lastColumn="0" w:noHBand="0" w:noVBand="0"/>
    </w:tblPr>
    <w:tblGrid>
      <w:gridCol w:w="3192"/>
      <w:gridCol w:w="3192"/>
      <w:gridCol w:w="3192"/>
    </w:tblGrid>
    <w:tr w:rsidR="00B74CAC" w:rsidRPr="00DF6446">
      <w:trPr>
        <w:jc w:val="center"/>
      </w:trPr>
      <w:tc>
        <w:tcPr>
          <w:tcW w:w="3192" w:type="dxa"/>
          <w:vAlign w:val="center"/>
        </w:tcPr>
        <w:p w:rsidR="00B74CAC" w:rsidRPr="00DF6446" w:rsidRDefault="00B74CAC" w:rsidP="0002764F">
          <w:pPr>
            <w:ind w:right="360"/>
            <w:rPr>
              <w:rFonts w:ascii="Times New Roman" w:hAnsi="Times New Roman"/>
              <w:sz w:val="24"/>
              <w:szCs w:val="24"/>
            </w:rPr>
          </w:pPr>
        </w:p>
      </w:tc>
      <w:tc>
        <w:tcPr>
          <w:tcW w:w="3192" w:type="dxa"/>
        </w:tcPr>
        <w:p w:rsidR="00B74CAC" w:rsidRPr="00DF6446" w:rsidRDefault="00B74CAC">
          <w:pPr>
            <w:jc w:val="center"/>
            <w:rPr>
              <w:rFonts w:ascii="Times New Roman" w:hAnsi="Times New Roman"/>
              <w:sz w:val="24"/>
              <w:szCs w:val="24"/>
            </w:rPr>
          </w:pPr>
        </w:p>
      </w:tc>
      <w:tc>
        <w:tcPr>
          <w:tcW w:w="3192" w:type="dxa"/>
          <w:vAlign w:val="center"/>
        </w:tcPr>
        <w:p w:rsidR="00B74CAC" w:rsidRPr="00DF6446" w:rsidRDefault="00B74CAC" w:rsidP="00230CA4">
          <w:pPr>
            <w:jc w:val="right"/>
            <w:rPr>
              <w:rFonts w:ascii="Times New Roman" w:hAnsi="Times New Roman"/>
              <w:sz w:val="24"/>
              <w:szCs w:val="24"/>
            </w:rPr>
          </w:pPr>
        </w:p>
      </w:tc>
    </w:tr>
  </w:tbl>
  <w:p w:rsidR="00B74CAC" w:rsidRPr="00DF6446" w:rsidRDefault="00B74CAC">
    <w:pPr>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CAC" w:rsidRDefault="00B74CAC">
    <w:pPr>
      <w:spacing w:before="140" w:line="100" w:lineRule="exact"/>
      <w:rPr>
        <w:sz w:val="10"/>
      </w:rPr>
    </w:pPr>
  </w:p>
  <w:p w:rsidR="00B74CAC" w:rsidRDefault="00B74CAC">
    <w:pPr>
      <w:tabs>
        <w:tab w:val="left" w:pos="1452"/>
        <w:tab w:val="left" w:pos="2244"/>
        <w:tab w:val="left" w:pos="2904"/>
        <w:tab w:val="left" w:pos="5148"/>
        <w:tab w:val="left" w:pos="7260"/>
      </w:tabs>
      <w:jc w:val="both"/>
      <w:rPr>
        <w:spacing w:val="-3"/>
      </w:rPr>
    </w:pPr>
  </w:p>
  <w:p w:rsidR="00B74CAC" w:rsidRDefault="00B74CAC">
    <w:pPr>
      <w:tabs>
        <w:tab w:val="left" w:pos="1452"/>
        <w:tab w:val="left" w:pos="2244"/>
        <w:tab w:val="left" w:pos="2904"/>
        <w:tab w:val="left" w:pos="5148"/>
        <w:tab w:val="left" w:pos="7260"/>
      </w:tabs>
      <w:jc w:val="both"/>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A32" w:rsidRDefault="00051A32" w:rsidP="00B74CAC">
      <w:pPr>
        <w:spacing w:after="0" w:line="240" w:lineRule="auto"/>
      </w:pPr>
      <w:r>
        <w:separator/>
      </w:r>
    </w:p>
  </w:footnote>
  <w:footnote w:type="continuationSeparator" w:id="0">
    <w:p w:rsidR="00051A32" w:rsidRDefault="00051A32" w:rsidP="00B74CAC">
      <w:pPr>
        <w:spacing w:after="0" w:line="240" w:lineRule="auto"/>
      </w:pPr>
      <w:r>
        <w:continuationSeparator/>
      </w:r>
    </w:p>
  </w:footnote>
  <w:footnote w:id="1">
    <w:p w:rsidR="00942D50" w:rsidRPr="00942D50" w:rsidRDefault="00942D50">
      <w:pPr>
        <w:pStyle w:val="FootnoteText"/>
      </w:pPr>
      <w:r>
        <w:rPr>
          <w:rStyle w:val="FootnoteReference"/>
        </w:rPr>
        <w:footnoteRef/>
      </w:r>
      <w:r>
        <w:t xml:space="preserve"> </w:t>
      </w:r>
      <w:r>
        <w:rPr>
          <w:i/>
        </w:rPr>
        <w:t xml:space="preserve">See </w:t>
      </w:r>
      <w:r>
        <w:t xml:space="preserve">NYC Charter </w:t>
      </w:r>
      <w:r w:rsidRPr="0002764F">
        <w:rPr>
          <w:rFonts w:ascii="Times New Roman" w:hAnsi="Times New Roman"/>
        </w:rPr>
        <w:t>§</w:t>
      </w:r>
      <w:r>
        <w:rPr>
          <w:rFonts w:ascii="Times New Roman" w:hAnsi="Times New Roman"/>
        </w:rPr>
        <w:t>1524</w:t>
      </w:r>
    </w:p>
  </w:footnote>
  <w:footnote w:id="2">
    <w:p w:rsidR="00B74CAC" w:rsidRPr="0002764F" w:rsidRDefault="00B74CAC" w:rsidP="00B74CAC">
      <w:pPr>
        <w:pStyle w:val="FootnoteText"/>
        <w:rPr>
          <w:rFonts w:ascii="Times New Roman" w:hAnsi="Times New Roman"/>
        </w:rPr>
      </w:pPr>
      <w:r w:rsidRPr="0002764F">
        <w:rPr>
          <w:rStyle w:val="FootnoteReference"/>
        </w:rPr>
        <w:footnoteRef/>
      </w:r>
      <w:r w:rsidRPr="0002764F">
        <w:rPr>
          <w:rFonts w:ascii="Times New Roman" w:hAnsi="Times New Roman"/>
        </w:rPr>
        <w:t xml:space="preserve"> </w:t>
      </w:r>
      <w:r w:rsidRPr="0002764F">
        <w:rPr>
          <w:rFonts w:ascii="Times New Roman" w:hAnsi="Times New Roman"/>
          <w:i/>
        </w:rPr>
        <w:t>See</w:t>
      </w:r>
      <w:r w:rsidRPr="0002764F">
        <w:rPr>
          <w:rFonts w:ascii="Times New Roman" w:hAnsi="Times New Roman"/>
        </w:rPr>
        <w:t xml:space="preserve"> Administrative Code §11-224.1(e)(i).</w:t>
      </w:r>
    </w:p>
  </w:footnote>
  <w:footnote w:id="3">
    <w:p w:rsidR="002C1EF9" w:rsidRPr="0002764F" w:rsidRDefault="002C1EF9" w:rsidP="002C1EF9">
      <w:pPr>
        <w:pStyle w:val="FootnoteText"/>
        <w:rPr>
          <w:rFonts w:ascii="Times New Roman" w:hAnsi="Times New Roman"/>
        </w:rPr>
      </w:pPr>
      <w:r w:rsidRPr="0002764F">
        <w:rPr>
          <w:rStyle w:val="FootnoteReference"/>
        </w:rPr>
        <w:footnoteRef/>
      </w:r>
      <w:r w:rsidRPr="0002764F">
        <w:rPr>
          <w:rFonts w:ascii="Times New Roman" w:hAnsi="Times New Roman"/>
        </w:rPr>
        <w:t xml:space="preserve"> </w:t>
      </w:r>
      <w:r w:rsidRPr="0002764F">
        <w:rPr>
          <w:rFonts w:ascii="Times New Roman" w:hAnsi="Times New Roman"/>
          <w:i/>
        </w:rPr>
        <w:t xml:space="preserve">See </w:t>
      </w:r>
      <w:r w:rsidRPr="0002764F">
        <w:rPr>
          <w:rFonts w:ascii="Times New Roman" w:hAnsi="Times New Roman"/>
        </w:rPr>
        <w:t>Administrative Code §11-224.1(e)(i).</w:t>
      </w:r>
    </w:p>
  </w:footnote>
  <w:footnote w:id="4">
    <w:p w:rsidR="00B74CAC" w:rsidRPr="0002764F" w:rsidRDefault="00B74CAC" w:rsidP="00B74CAC">
      <w:pPr>
        <w:pStyle w:val="FootnoteText"/>
        <w:rPr>
          <w:rFonts w:ascii="Times New Roman" w:hAnsi="Times New Roman"/>
        </w:rPr>
      </w:pPr>
      <w:r w:rsidRPr="0002764F">
        <w:rPr>
          <w:rStyle w:val="FootnoteReference"/>
        </w:rPr>
        <w:footnoteRef/>
      </w:r>
      <w:r w:rsidRPr="0002764F">
        <w:rPr>
          <w:rFonts w:ascii="Times New Roman" w:hAnsi="Times New Roman"/>
        </w:rPr>
        <w:t xml:space="preserve"> </w:t>
      </w:r>
      <w:r w:rsidRPr="0002764F">
        <w:rPr>
          <w:rFonts w:ascii="Times New Roman" w:hAnsi="Times New Roman"/>
          <w:i/>
        </w:rPr>
        <w:t xml:space="preserve">See </w:t>
      </w:r>
      <w:r w:rsidRPr="0002764F">
        <w:rPr>
          <w:rFonts w:ascii="Times New Roman" w:hAnsi="Times New Roman"/>
        </w:rPr>
        <w:t>Administrative Code §11-224.1(e)(i).</w:t>
      </w:r>
    </w:p>
  </w:footnote>
  <w:footnote w:id="5">
    <w:p w:rsidR="00B74CAC" w:rsidRPr="0002764F" w:rsidRDefault="00B74CAC" w:rsidP="00B74CAC">
      <w:pPr>
        <w:pStyle w:val="FootnoteText"/>
        <w:rPr>
          <w:rFonts w:ascii="Times New Roman" w:hAnsi="Times New Roman"/>
        </w:rPr>
      </w:pPr>
      <w:r w:rsidRPr="0002764F">
        <w:rPr>
          <w:rStyle w:val="FootnoteReference"/>
        </w:rPr>
        <w:footnoteRef/>
      </w:r>
      <w:r w:rsidRPr="0002764F">
        <w:rPr>
          <w:rFonts w:ascii="Times New Roman" w:hAnsi="Times New Roman"/>
        </w:rPr>
        <w:t xml:space="preserve"> </w:t>
      </w:r>
      <w:r w:rsidRPr="0002764F">
        <w:rPr>
          <w:rFonts w:ascii="Times New Roman" w:hAnsi="Times New Roman"/>
          <w:i/>
        </w:rPr>
        <w:t>See</w:t>
      </w:r>
      <w:r w:rsidRPr="0002764F">
        <w:rPr>
          <w:rFonts w:ascii="Times New Roman" w:hAnsi="Times New Roman"/>
        </w:rPr>
        <w:t xml:space="preserve"> Administrative Code §11-312</w:t>
      </w:r>
      <w:r>
        <w:rPr>
          <w:rFonts w:ascii="Times New Roman" w:hAnsi="Times New Roman"/>
        </w:rPr>
        <w:t>(c).</w:t>
      </w:r>
    </w:p>
  </w:footnote>
  <w:footnote w:id="6">
    <w:p w:rsidR="00B74CAC" w:rsidRPr="0002764F" w:rsidRDefault="00B74CAC" w:rsidP="00B74CAC">
      <w:pPr>
        <w:pStyle w:val="FootnoteText"/>
        <w:rPr>
          <w:rFonts w:ascii="Times New Roman" w:hAnsi="Times New Roman"/>
        </w:rPr>
      </w:pPr>
      <w:r w:rsidRPr="0002764F">
        <w:rPr>
          <w:rStyle w:val="FootnoteReference"/>
        </w:rPr>
        <w:footnoteRef/>
      </w:r>
      <w:r w:rsidRPr="0002764F">
        <w:rPr>
          <w:rFonts w:ascii="Times New Roman" w:hAnsi="Times New Roman"/>
        </w:rPr>
        <w:t xml:space="preserve"> </w:t>
      </w:r>
      <w:r w:rsidRPr="0002764F">
        <w:rPr>
          <w:rFonts w:ascii="Times New Roman" w:hAnsi="Times New Roman"/>
          <w:i/>
        </w:rPr>
        <w:t>See</w:t>
      </w:r>
      <w:r w:rsidRPr="0002764F">
        <w:rPr>
          <w:rFonts w:ascii="Times New Roman" w:hAnsi="Times New Roman"/>
        </w:rPr>
        <w:t xml:space="preserve"> Administrative Code §11-313(e).</w:t>
      </w:r>
    </w:p>
  </w:footnote>
  <w:footnote w:id="7">
    <w:p w:rsidR="00B74CAC" w:rsidRPr="0002764F" w:rsidRDefault="00B74CAC" w:rsidP="00B74CAC">
      <w:pPr>
        <w:pStyle w:val="FootnoteText"/>
        <w:rPr>
          <w:rFonts w:ascii="Times New Roman" w:hAnsi="Times New Roman"/>
        </w:rPr>
      </w:pPr>
      <w:r w:rsidRPr="0002764F">
        <w:rPr>
          <w:rStyle w:val="FootnoteReference"/>
        </w:rPr>
        <w:footnoteRef/>
      </w:r>
      <w:r w:rsidRPr="0002764F">
        <w:rPr>
          <w:rFonts w:ascii="Times New Roman" w:hAnsi="Times New Roman"/>
        </w:rPr>
        <w:t xml:space="preserve"> See Administrative Code §11-224.1(e).</w:t>
      </w:r>
    </w:p>
  </w:footnote>
  <w:footnote w:id="8">
    <w:p w:rsidR="00B74CAC" w:rsidRPr="0002764F" w:rsidRDefault="00B74CAC" w:rsidP="00B74CAC">
      <w:pPr>
        <w:pStyle w:val="FootnoteText"/>
        <w:rPr>
          <w:rFonts w:ascii="Times New Roman" w:hAnsi="Times New Roman"/>
        </w:rPr>
      </w:pPr>
      <w:r w:rsidRPr="0002764F">
        <w:rPr>
          <w:rStyle w:val="FootnoteReference"/>
        </w:rPr>
        <w:footnoteRef/>
      </w:r>
      <w:r w:rsidRPr="0002764F">
        <w:rPr>
          <w:rFonts w:ascii="Times New Roman" w:hAnsi="Times New Roman"/>
        </w:rPr>
        <w:t xml:space="preserve"> </w:t>
      </w:r>
      <w:r w:rsidRPr="0002764F">
        <w:rPr>
          <w:rFonts w:ascii="Times New Roman" w:hAnsi="Times New Roman"/>
          <w:i/>
        </w:rPr>
        <w:t>See</w:t>
      </w:r>
      <w:r w:rsidRPr="0002764F">
        <w:rPr>
          <w:rFonts w:ascii="Times New Roman" w:hAnsi="Times New Roman"/>
        </w:rPr>
        <w:t xml:space="preserve"> Administrative Code §11-224.1(c).</w:t>
      </w:r>
    </w:p>
  </w:footnote>
  <w:footnote w:id="9">
    <w:p w:rsidR="00EA309C" w:rsidRPr="00F812C5" w:rsidRDefault="00EA309C" w:rsidP="00EA309C">
      <w:pPr>
        <w:pStyle w:val="FootnoteText"/>
        <w:rPr>
          <w:rFonts w:ascii="Times New Roman" w:hAnsi="Times New Roman"/>
        </w:rPr>
      </w:pPr>
      <w:r w:rsidRPr="00F812C5">
        <w:rPr>
          <w:rStyle w:val="FootnoteReference"/>
        </w:rPr>
        <w:footnoteRef/>
      </w:r>
      <w:r w:rsidRPr="00F812C5">
        <w:rPr>
          <w:rFonts w:ascii="Times New Roman" w:hAnsi="Times New Roman"/>
        </w:rPr>
        <w:t xml:space="preserve"> </w:t>
      </w:r>
      <w:r w:rsidRPr="00F812C5">
        <w:rPr>
          <w:rFonts w:ascii="Times New Roman" w:hAnsi="Times New Roman"/>
          <w:i/>
        </w:rPr>
        <w:t>See</w:t>
      </w:r>
      <w:r w:rsidRPr="00F812C5">
        <w:rPr>
          <w:rFonts w:ascii="Times New Roman" w:hAnsi="Times New Roman"/>
        </w:rPr>
        <w:t xml:space="preserve"> Administrative Code §11-322.</w:t>
      </w:r>
    </w:p>
  </w:footnote>
  <w:footnote w:id="10">
    <w:p w:rsidR="00EA309C" w:rsidRPr="00F812C5" w:rsidRDefault="00EA309C" w:rsidP="00EA309C">
      <w:pPr>
        <w:pStyle w:val="FootnoteText"/>
        <w:rPr>
          <w:rFonts w:ascii="Times New Roman" w:hAnsi="Times New Roman"/>
        </w:rPr>
      </w:pPr>
      <w:r w:rsidRPr="00F812C5">
        <w:rPr>
          <w:rStyle w:val="FootnoteReference"/>
        </w:rPr>
        <w:footnoteRef/>
      </w:r>
      <w:r w:rsidRPr="00F812C5">
        <w:rPr>
          <w:rFonts w:ascii="Times New Roman" w:hAnsi="Times New Roman"/>
        </w:rPr>
        <w:t xml:space="preserve"> </w:t>
      </w:r>
      <w:r w:rsidRPr="00F812C5">
        <w:rPr>
          <w:rFonts w:ascii="Times New Roman" w:hAnsi="Times New Roman"/>
          <w:i/>
        </w:rPr>
        <w:t>See id</w:t>
      </w:r>
      <w:r>
        <w:rPr>
          <w:rFonts w:ascii="Times New Roman" w:hAnsi="Times New Roman"/>
          <w:i/>
        </w:rPr>
        <w:t>.</w:t>
      </w:r>
    </w:p>
  </w:footnote>
  <w:footnote w:id="11">
    <w:p w:rsidR="00EA309C" w:rsidRPr="00F812C5" w:rsidRDefault="00EA309C" w:rsidP="00EA309C">
      <w:pPr>
        <w:pStyle w:val="FootnoteText"/>
        <w:rPr>
          <w:rFonts w:ascii="Times New Roman" w:hAnsi="Times New Roman"/>
          <w:i/>
        </w:rPr>
      </w:pPr>
      <w:r w:rsidRPr="00F812C5">
        <w:rPr>
          <w:rStyle w:val="FootnoteReference"/>
        </w:rPr>
        <w:footnoteRef/>
      </w:r>
      <w:r w:rsidRPr="00F812C5">
        <w:rPr>
          <w:rFonts w:ascii="Times New Roman" w:hAnsi="Times New Roman"/>
        </w:rPr>
        <w:t xml:space="preserve"> </w:t>
      </w:r>
      <w:r w:rsidRPr="00F812C5">
        <w:rPr>
          <w:rFonts w:ascii="Times New Roman" w:hAnsi="Times New Roman"/>
          <w:i/>
        </w:rPr>
        <w:t>See id.</w:t>
      </w:r>
    </w:p>
  </w:footnote>
  <w:footnote w:id="12">
    <w:p w:rsidR="00EA309C" w:rsidRPr="00B70399" w:rsidRDefault="00EA309C" w:rsidP="00EA309C">
      <w:pPr>
        <w:pStyle w:val="FootnoteText"/>
      </w:pPr>
      <w:r w:rsidRPr="00F812C5">
        <w:rPr>
          <w:rStyle w:val="FootnoteReference"/>
        </w:rPr>
        <w:footnoteRef/>
      </w:r>
      <w:r w:rsidRPr="00F812C5">
        <w:rPr>
          <w:rFonts w:ascii="Times New Roman" w:hAnsi="Times New Roman"/>
        </w:rPr>
        <w:t xml:space="preserve"> </w:t>
      </w:r>
      <w:r w:rsidRPr="00F812C5">
        <w:rPr>
          <w:rFonts w:ascii="Times New Roman" w:hAnsi="Times New Roman"/>
          <w:i/>
        </w:rPr>
        <w:t>See id.</w:t>
      </w:r>
    </w:p>
  </w:footnote>
  <w:footnote w:id="13">
    <w:p w:rsidR="00EA309C" w:rsidRPr="00B70399" w:rsidRDefault="00EA309C" w:rsidP="00EA309C">
      <w:pPr>
        <w:pStyle w:val="FootnoteText"/>
        <w:rPr>
          <w:i/>
        </w:rPr>
      </w:pPr>
      <w:r w:rsidRPr="00B70399">
        <w:rPr>
          <w:rStyle w:val="FootnoteReference"/>
        </w:rPr>
        <w:footnoteRef/>
      </w:r>
      <w:r w:rsidRPr="00B70399">
        <w:t xml:space="preserve"> </w:t>
      </w:r>
      <w:r w:rsidRPr="00F812C5">
        <w:rPr>
          <w:rFonts w:ascii="Times New Roman" w:hAnsi="Times New Roman"/>
          <w:i/>
        </w:rPr>
        <w:t>See id.</w:t>
      </w:r>
    </w:p>
  </w:footnote>
  <w:footnote w:id="14">
    <w:p w:rsidR="00A00EB5" w:rsidRDefault="00A00EB5">
      <w:pPr>
        <w:pStyle w:val="FootnoteText"/>
      </w:pPr>
      <w:r>
        <w:rPr>
          <w:rStyle w:val="FootnoteReference"/>
        </w:rPr>
        <w:footnoteRef/>
      </w:r>
      <w:r>
        <w:t xml:space="preserve"> </w:t>
      </w:r>
      <w:r w:rsidRPr="00F812C5">
        <w:rPr>
          <w:rFonts w:ascii="Times New Roman" w:hAnsi="Times New Roman"/>
          <w:i/>
        </w:rPr>
        <w:t>See</w:t>
      </w:r>
      <w:r w:rsidRPr="00F812C5">
        <w:rPr>
          <w:rFonts w:ascii="Times New Roman" w:hAnsi="Times New Roman"/>
        </w:rPr>
        <w:t xml:space="preserve"> Administrative Code §11-322.</w:t>
      </w:r>
      <w:r>
        <w:rPr>
          <w:rFonts w:ascii="Times New Roman" w:hAnsi="Times New Roman"/>
        </w:rPr>
        <w:t>1.</w:t>
      </w:r>
    </w:p>
  </w:footnote>
  <w:footnote w:id="15">
    <w:p w:rsidR="00F762FA" w:rsidRDefault="00F762FA">
      <w:pPr>
        <w:pStyle w:val="FootnoteText"/>
      </w:pPr>
      <w:r>
        <w:rPr>
          <w:rStyle w:val="FootnoteReference"/>
        </w:rPr>
        <w:footnoteRef/>
      </w:r>
      <w:r>
        <w:t xml:space="preserve"> </w:t>
      </w:r>
      <w:r w:rsidRPr="00F762FA">
        <w:t>The Report of the Tax Lien Task Force, September 2016, available at:</w:t>
      </w:r>
      <w:r w:rsidR="005648EF" w:rsidRPr="005648EF">
        <w:t xml:space="preserve"> https://www1.nyc.gov/assets/finance/downloads/pdf/reports/lien_sale_report/lien_sale_task_force_report.pdf</w:t>
      </w:r>
      <w:r w:rsidRPr="00F762FA">
        <w:t xml:space="preserve"> (last accessed </w:t>
      </w:r>
      <w:r w:rsidR="007D4E1E">
        <w:t>August 1,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968BE"/>
    <w:multiLevelType w:val="hybridMultilevel"/>
    <w:tmpl w:val="F4D4F352"/>
    <w:lvl w:ilvl="0" w:tplc="3F9819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1050E"/>
    <w:multiLevelType w:val="hybridMultilevel"/>
    <w:tmpl w:val="18FA7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B4924"/>
    <w:multiLevelType w:val="hybridMultilevel"/>
    <w:tmpl w:val="F1F29206"/>
    <w:lvl w:ilvl="0" w:tplc="3F9819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641DF"/>
    <w:multiLevelType w:val="hybridMultilevel"/>
    <w:tmpl w:val="8904D9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E2255F"/>
    <w:multiLevelType w:val="hybridMultilevel"/>
    <w:tmpl w:val="AF4C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434614"/>
    <w:multiLevelType w:val="hybridMultilevel"/>
    <w:tmpl w:val="7BBA0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AC"/>
    <w:rsid w:val="00051A32"/>
    <w:rsid w:val="000A2F90"/>
    <w:rsid w:val="000E0EC2"/>
    <w:rsid w:val="001571E3"/>
    <w:rsid w:val="0018054E"/>
    <w:rsid w:val="001851FC"/>
    <w:rsid w:val="001D33F7"/>
    <w:rsid w:val="002407B2"/>
    <w:rsid w:val="002617EC"/>
    <w:rsid w:val="00292805"/>
    <w:rsid w:val="002C1EF9"/>
    <w:rsid w:val="003A5DCA"/>
    <w:rsid w:val="005648EF"/>
    <w:rsid w:val="006765EC"/>
    <w:rsid w:val="007D4E1E"/>
    <w:rsid w:val="00847CD5"/>
    <w:rsid w:val="008E5171"/>
    <w:rsid w:val="0092552C"/>
    <w:rsid w:val="00937199"/>
    <w:rsid w:val="00942D50"/>
    <w:rsid w:val="00984F2B"/>
    <w:rsid w:val="009C7CCC"/>
    <w:rsid w:val="00A00EB5"/>
    <w:rsid w:val="00A94F47"/>
    <w:rsid w:val="00AB4574"/>
    <w:rsid w:val="00B1432F"/>
    <w:rsid w:val="00B32ADC"/>
    <w:rsid w:val="00B74CAC"/>
    <w:rsid w:val="00BE42E8"/>
    <w:rsid w:val="00C24A29"/>
    <w:rsid w:val="00C738ED"/>
    <w:rsid w:val="00E72010"/>
    <w:rsid w:val="00EA309C"/>
    <w:rsid w:val="00EC7CF6"/>
    <w:rsid w:val="00F56139"/>
    <w:rsid w:val="00F762FA"/>
    <w:rsid w:val="00FD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02AA5-0B01-4E72-A488-E820A959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CA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Hanging1">
    <w:name w:val="Single Space Hanging 1&quot;"/>
    <w:aliases w:val="SSH1"/>
    <w:basedOn w:val="Normal"/>
    <w:rsid w:val="00B74CAC"/>
    <w:pPr>
      <w:suppressAutoHyphens/>
      <w:spacing w:after="240" w:line="240" w:lineRule="auto"/>
      <w:ind w:left="2160" w:hanging="720"/>
      <w:jc w:val="both"/>
    </w:pPr>
    <w:rPr>
      <w:rFonts w:ascii="Times New Roman" w:eastAsia="Times New Roman" w:hAnsi="Times New Roman"/>
      <w:sz w:val="24"/>
      <w:szCs w:val="20"/>
    </w:rPr>
  </w:style>
  <w:style w:type="paragraph" w:styleId="FootnoteText">
    <w:name w:val="footnote text"/>
    <w:aliases w:val="FT"/>
    <w:basedOn w:val="Normal"/>
    <w:link w:val="FootnoteTextChar"/>
    <w:unhideWhenUsed/>
    <w:rsid w:val="00B74CAC"/>
    <w:pPr>
      <w:spacing w:after="0" w:line="240" w:lineRule="auto"/>
    </w:pPr>
    <w:rPr>
      <w:sz w:val="20"/>
      <w:szCs w:val="20"/>
    </w:rPr>
  </w:style>
  <w:style w:type="character" w:customStyle="1" w:styleId="FootnoteTextChar">
    <w:name w:val="Footnote Text Char"/>
    <w:aliases w:val="FT Char"/>
    <w:basedOn w:val="DefaultParagraphFont"/>
    <w:link w:val="FootnoteText"/>
    <w:rsid w:val="00B74CAC"/>
    <w:rPr>
      <w:rFonts w:ascii="Calibri" w:eastAsia="Calibri" w:hAnsi="Calibri" w:cs="Times New Roman"/>
      <w:sz w:val="20"/>
      <w:szCs w:val="20"/>
    </w:rPr>
  </w:style>
  <w:style w:type="character" w:styleId="FootnoteReference">
    <w:name w:val="footnote reference"/>
    <w:uiPriority w:val="99"/>
    <w:unhideWhenUsed/>
    <w:rsid w:val="00B74CAC"/>
    <w:rPr>
      <w:vertAlign w:val="superscript"/>
    </w:rPr>
  </w:style>
  <w:style w:type="paragraph" w:styleId="Footer">
    <w:name w:val="footer"/>
    <w:basedOn w:val="Normal"/>
    <w:link w:val="FooterChar"/>
    <w:uiPriority w:val="99"/>
    <w:unhideWhenUsed/>
    <w:rsid w:val="00B74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CAC"/>
    <w:rPr>
      <w:rFonts w:ascii="Calibri" w:eastAsia="Calibri" w:hAnsi="Calibri" w:cs="Times New Roman"/>
    </w:rPr>
  </w:style>
  <w:style w:type="paragraph" w:styleId="BodyText">
    <w:name w:val="Body Text"/>
    <w:basedOn w:val="Normal"/>
    <w:link w:val="BodyTextChar"/>
    <w:uiPriority w:val="99"/>
    <w:rsid w:val="00B74CAC"/>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B74CAC"/>
    <w:rPr>
      <w:rFonts w:ascii="Times New Roman" w:eastAsia="Times New Roman" w:hAnsi="Times New Roman" w:cs="Times New Roman"/>
      <w:sz w:val="24"/>
      <w:szCs w:val="24"/>
    </w:rPr>
  </w:style>
  <w:style w:type="character" w:styleId="PageNumber">
    <w:name w:val="page number"/>
    <w:rsid w:val="00B74CAC"/>
  </w:style>
  <w:style w:type="paragraph" w:styleId="ListParagraph">
    <w:name w:val="List Paragraph"/>
    <w:basedOn w:val="Normal"/>
    <w:uiPriority w:val="34"/>
    <w:qFormat/>
    <w:rsid w:val="009C7CCC"/>
    <w:pPr>
      <w:ind w:left="720"/>
      <w:contextualSpacing/>
    </w:pPr>
  </w:style>
  <w:style w:type="paragraph" w:styleId="BalloonText">
    <w:name w:val="Balloon Text"/>
    <w:basedOn w:val="Normal"/>
    <w:link w:val="BalloonTextChar"/>
    <w:uiPriority w:val="99"/>
    <w:semiHidden/>
    <w:unhideWhenUsed/>
    <w:rsid w:val="00EA309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A309C"/>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533228">
      <w:bodyDiv w:val="1"/>
      <w:marLeft w:val="0"/>
      <w:marRight w:val="0"/>
      <w:marTop w:val="0"/>
      <w:marBottom w:val="0"/>
      <w:divBdr>
        <w:top w:val="none" w:sz="0" w:space="0" w:color="auto"/>
        <w:left w:val="none" w:sz="0" w:space="0" w:color="auto"/>
        <w:bottom w:val="none" w:sz="0" w:space="0" w:color="auto"/>
        <w:right w:val="none" w:sz="0" w:space="0" w:color="auto"/>
      </w:divBdr>
    </w:div>
    <w:div w:id="1251310011">
      <w:bodyDiv w:val="1"/>
      <w:marLeft w:val="0"/>
      <w:marRight w:val="0"/>
      <w:marTop w:val="0"/>
      <w:marBottom w:val="0"/>
      <w:divBdr>
        <w:top w:val="none" w:sz="0" w:space="0" w:color="auto"/>
        <w:left w:val="none" w:sz="0" w:space="0" w:color="auto"/>
        <w:bottom w:val="none" w:sz="0" w:space="0" w:color="auto"/>
        <w:right w:val="none" w:sz="0" w:space="0" w:color="auto"/>
      </w:divBdr>
    </w:div>
    <w:div w:id="1867911237">
      <w:bodyDiv w:val="1"/>
      <w:marLeft w:val="0"/>
      <w:marRight w:val="0"/>
      <w:marTop w:val="0"/>
      <w:marBottom w:val="0"/>
      <w:divBdr>
        <w:top w:val="none" w:sz="0" w:space="0" w:color="auto"/>
        <w:left w:val="none" w:sz="0" w:space="0" w:color="auto"/>
        <w:bottom w:val="none" w:sz="0" w:space="0" w:color="auto"/>
        <w:right w:val="none" w:sz="0" w:space="0" w:color="auto"/>
      </w:divBdr>
    </w:div>
    <w:div w:id="1923250390">
      <w:bodyDiv w:val="1"/>
      <w:marLeft w:val="0"/>
      <w:marRight w:val="0"/>
      <w:marTop w:val="0"/>
      <w:marBottom w:val="0"/>
      <w:divBdr>
        <w:top w:val="none" w:sz="0" w:space="0" w:color="auto"/>
        <w:left w:val="none" w:sz="0" w:space="0" w:color="auto"/>
        <w:bottom w:val="none" w:sz="0" w:space="0" w:color="auto"/>
        <w:right w:val="none" w:sz="0" w:space="0" w:color="auto"/>
      </w:divBdr>
    </w:div>
    <w:div w:id="21163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249B8-1C0F-46CD-890B-10014DE9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2194</Words>
  <Characters>12507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Edev</dc:creator>
  <cp:keywords/>
  <dc:description/>
  <cp:lastModifiedBy>DelFranco, Ruthie</cp:lastModifiedBy>
  <cp:revision>2</cp:revision>
  <dcterms:created xsi:type="dcterms:W3CDTF">2022-08-02T02:38:00Z</dcterms:created>
  <dcterms:modified xsi:type="dcterms:W3CDTF">2022-08-02T02:38:00Z</dcterms:modified>
</cp:coreProperties>
</file>