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A5065" w14:textId="4B2C1009" w:rsidR="00B41EC8" w:rsidRPr="00A37550" w:rsidRDefault="00B41EC8" w:rsidP="00B41EC8">
      <w:pPr>
        <w:tabs>
          <w:tab w:val="left" w:pos="0"/>
        </w:tabs>
        <w:jc w:val="right"/>
      </w:pPr>
      <w:bookmarkStart w:id="0" w:name="_GoBack"/>
      <w:bookmarkEnd w:id="0"/>
      <w:r w:rsidRPr="00A37550">
        <w:rPr>
          <w:u w:val="single"/>
        </w:rPr>
        <w:t>Governm</w:t>
      </w:r>
      <w:r w:rsidR="00B37096">
        <w:rPr>
          <w:u w:val="single"/>
        </w:rPr>
        <w:t>ental Operations Committee</w:t>
      </w:r>
    </w:p>
    <w:p w14:paraId="12DAF6BB" w14:textId="1757070E" w:rsidR="00B41EC8" w:rsidRPr="00B877D6" w:rsidRDefault="00B41EC8" w:rsidP="00B41EC8">
      <w:pPr>
        <w:tabs>
          <w:tab w:val="left" w:pos="0"/>
        </w:tabs>
        <w:jc w:val="right"/>
        <w:rPr>
          <w:i/>
        </w:rPr>
      </w:pPr>
      <w:r>
        <w:t xml:space="preserve">CJ Murray, </w:t>
      </w:r>
      <w:r>
        <w:rPr>
          <w:i/>
          <w:iCs/>
        </w:rPr>
        <w:t xml:space="preserve">Senior </w:t>
      </w:r>
      <w:r>
        <w:rPr>
          <w:i/>
        </w:rPr>
        <w:t>Counsel</w:t>
      </w:r>
    </w:p>
    <w:p w14:paraId="753814B6" w14:textId="77777777" w:rsidR="00B41EC8" w:rsidRDefault="00B41EC8" w:rsidP="00B41EC8">
      <w:pPr>
        <w:tabs>
          <w:tab w:val="left" w:pos="0"/>
        </w:tabs>
        <w:jc w:val="right"/>
        <w:rPr>
          <w:i/>
        </w:rPr>
      </w:pPr>
      <w:r>
        <w:t>Sebastian Bacchi</w:t>
      </w:r>
      <w:r w:rsidRPr="00A37550">
        <w:t>,</w:t>
      </w:r>
      <w:r w:rsidRPr="00A37550">
        <w:rPr>
          <w:i/>
        </w:rPr>
        <w:t xml:space="preserve"> </w:t>
      </w:r>
      <w:r>
        <w:rPr>
          <w:i/>
        </w:rPr>
        <w:t xml:space="preserve">Principal </w:t>
      </w:r>
      <w:r w:rsidRPr="00A37550">
        <w:rPr>
          <w:i/>
        </w:rPr>
        <w:t>Finance Analyst</w:t>
      </w:r>
    </w:p>
    <w:p w14:paraId="5C0FF6B5" w14:textId="77777777" w:rsidR="00B41EC8" w:rsidRDefault="00B41EC8" w:rsidP="0087670C">
      <w:pPr>
        <w:tabs>
          <w:tab w:val="left" w:pos="5130"/>
        </w:tabs>
        <w:jc w:val="right"/>
        <w:rPr>
          <w:lang w:eastAsia="zh-CN"/>
        </w:rPr>
      </w:pPr>
    </w:p>
    <w:p w14:paraId="2840719F" w14:textId="4960E190" w:rsidR="00045CD2" w:rsidRPr="00426FAD" w:rsidRDefault="00CC044A" w:rsidP="0087670C">
      <w:pPr>
        <w:tabs>
          <w:tab w:val="left" w:pos="5130"/>
        </w:tabs>
        <w:jc w:val="right"/>
        <w:rPr>
          <w:lang w:eastAsia="zh-CN"/>
        </w:rPr>
      </w:pPr>
      <w:r>
        <w:rPr>
          <w:lang w:eastAsia="zh-CN"/>
        </w:rPr>
        <w:t xml:space="preserve"> </w:t>
      </w:r>
      <w:r w:rsidR="00045CD2" w:rsidRPr="00426FAD">
        <w:rPr>
          <w:u w:val="single"/>
          <w:lang w:eastAsia="zh-CN"/>
        </w:rPr>
        <w:t>Committee on Technology</w:t>
      </w:r>
    </w:p>
    <w:p w14:paraId="4B53A924" w14:textId="77777777" w:rsidR="00045CD2" w:rsidRPr="00426FAD" w:rsidRDefault="00045CD2" w:rsidP="006F5B13">
      <w:pPr>
        <w:ind w:left="4320" w:firstLine="720"/>
        <w:jc w:val="right"/>
        <w:rPr>
          <w:lang w:eastAsia="zh-CN"/>
        </w:rPr>
      </w:pPr>
      <w:r w:rsidRPr="00426FAD">
        <w:rPr>
          <w:lang w:eastAsia="zh-CN"/>
        </w:rPr>
        <w:t xml:space="preserve">Irene Byhovsky, </w:t>
      </w:r>
      <w:r w:rsidRPr="00206848">
        <w:rPr>
          <w:i/>
          <w:lang w:eastAsia="zh-CN"/>
        </w:rPr>
        <w:t>Legislative Counsel</w:t>
      </w:r>
      <w:r w:rsidRPr="00426FAD">
        <w:rPr>
          <w:lang w:eastAsia="zh-CN"/>
        </w:rPr>
        <w:t xml:space="preserve"> </w:t>
      </w:r>
    </w:p>
    <w:p w14:paraId="638CB5C0" w14:textId="7C9B6B37" w:rsidR="00045CD2" w:rsidRPr="00426FAD" w:rsidRDefault="00045CD2" w:rsidP="006F5B13">
      <w:pPr>
        <w:ind w:left="5040"/>
        <w:jc w:val="right"/>
        <w:rPr>
          <w:lang w:eastAsia="zh-CN"/>
        </w:rPr>
      </w:pPr>
      <w:r w:rsidRPr="00426FAD">
        <w:rPr>
          <w:lang w:eastAsia="zh-CN"/>
        </w:rPr>
        <w:t xml:space="preserve"> Charles Kim, </w:t>
      </w:r>
      <w:r w:rsidRPr="00206848">
        <w:rPr>
          <w:i/>
          <w:lang w:eastAsia="zh-CN"/>
        </w:rPr>
        <w:t>Legislative Policy Analyst</w:t>
      </w:r>
      <w:r w:rsidR="00CC044A" w:rsidRPr="00426FAD">
        <w:rPr>
          <w:lang w:eastAsia="zh-CN"/>
        </w:rPr>
        <w:t xml:space="preserve"> </w:t>
      </w:r>
    </w:p>
    <w:p w14:paraId="28256144" w14:textId="04F433B3" w:rsidR="00045CD2" w:rsidRPr="00426FAD" w:rsidRDefault="00045CD2" w:rsidP="006F5B13">
      <w:pPr>
        <w:tabs>
          <w:tab w:val="left" w:pos="0"/>
        </w:tabs>
        <w:jc w:val="right"/>
      </w:pPr>
      <w:r w:rsidRPr="00426FAD">
        <w:tab/>
      </w:r>
      <w:r w:rsidRPr="00426FAD">
        <w:tab/>
      </w:r>
      <w:r w:rsidRPr="00426FAD">
        <w:tab/>
      </w:r>
      <w:r w:rsidRPr="00426FAD">
        <w:tab/>
      </w:r>
      <w:r w:rsidRPr="00426FAD">
        <w:tab/>
      </w:r>
      <w:r w:rsidR="00CC044A" w:rsidRPr="00426FAD">
        <w:t xml:space="preserve">  </w:t>
      </w:r>
      <w:r w:rsidRPr="00426FAD">
        <w:t xml:space="preserve">Florentine Kabore, </w:t>
      </w:r>
      <w:r w:rsidRPr="00206848">
        <w:rPr>
          <w:i/>
        </w:rPr>
        <w:t>Finance Analyst</w:t>
      </w:r>
    </w:p>
    <w:p w14:paraId="6B676D9F" w14:textId="2947B079" w:rsidR="009B67E2" w:rsidRPr="00426FAD" w:rsidRDefault="009B67E2" w:rsidP="006F5B13">
      <w:pPr>
        <w:tabs>
          <w:tab w:val="left" w:pos="0"/>
        </w:tabs>
        <w:jc w:val="right"/>
      </w:pPr>
      <w:r w:rsidRPr="00426FAD">
        <w:t xml:space="preserve">Nicholas Montalbano, </w:t>
      </w:r>
      <w:r w:rsidRPr="00206848">
        <w:rPr>
          <w:i/>
        </w:rPr>
        <w:t>Data Analyst</w:t>
      </w:r>
    </w:p>
    <w:p w14:paraId="3D11315D" w14:textId="77777777" w:rsidR="00045CD2" w:rsidRPr="00426FAD" w:rsidRDefault="00045CD2" w:rsidP="006F5B13">
      <w:pPr>
        <w:jc w:val="both"/>
      </w:pPr>
    </w:p>
    <w:p w14:paraId="7F2EC31C" w14:textId="77777777" w:rsidR="0050125E" w:rsidRPr="00AF6C64" w:rsidRDefault="0050125E" w:rsidP="0050125E">
      <w:pPr>
        <w:jc w:val="right"/>
        <w:rPr>
          <w:u w:val="single"/>
        </w:rPr>
      </w:pPr>
      <w:r w:rsidRPr="00AF6C64">
        <w:rPr>
          <w:u w:val="single"/>
        </w:rPr>
        <w:t>Committee on Public Housing</w:t>
      </w:r>
    </w:p>
    <w:p w14:paraId="4000087A" w14:textId="77777777" w:rsidR="0050125E" w:rsidRPr="00AF6C64" w:rsidRDefault="0050125E" w:rsidP="0050125E">
      <w:pPr>
        <w:jc w:val="right"/>
      </w:pPr>
      <w:r w:rsidRPr="00AF6C64">
        <w:t xml:space="preserve">             Audrey Son, </w:t>
      </w:r>
      <w:r w:rsidRPr="0050125E">
        <w:rPr>
          <w:i/>
        </w:rPr>
        <w:t xml:space="preserve">Senior Counsel                                                                                    </w:t>
      </w:r>
    </w:p>
    <w:p w14:paraId="5C51FB2C" w14:textId="77777777" w:rsidR="0050125E" w:rsidRPr="00AF6C64" w:rsidRDefault="0050125E" w:rsidP="0050125E">
      <w:pPr>
        <w:jc w:val="right"/>
      </w:pPr>
      <w:r w:rsidRPr="00AF6C64">
        <w:t xml:space="preserve">                                                   Jose Conde, </w:t>
      </w:r>
      <w:r w:rsidRPr="0050125E">
        <w:rPr>
          <w:i/>
        </w:rPr>
        <w:t>Senior Policy Analyst</w:t>
      </w:r>
    </w:p>
    <w:p w14:paraId="501DB26E" w14:textId="77777777" w:rsidR="0050125E" w:rsidRPr="00AF6C64" w:rsidRDefault="0050125E" w:rsidP="0050125E">
      <w:pPr>
        <w:jc w:val="right"/>
      </w:pPr>
      <w:r w:rsidRPr="00AF6C64">
        <w:t xml:space="preserve">Ricky Chawla, </w:t>
      </w:r>
      <w:r w:rsidRPr="0050125E">
        <w:rPr>
          <w:i/>
        </w:rPr>
        <w:t>Policy Analyst</w:t>
      </w:r>
    </w:p>
    <w:p w14:paraId="1E5311EF" w14:textId="77777777" w:rsidR="0050125E" w:rsidRPr="00AF6C64" w:rsidRDefault="0050125E" w:rsidP="0050125E">
      <w:pPr>
        <w:jc w:val="right"/>
      </w:pPr>
      <w:r w:rsidRPr="00AF6C64">
        <w:t xml:space="preserve">John Basile, </w:t>
      </w:r>
      <w:r w:rsidRPr="0050125E">
        <w:rPr>
          <w:i/>
        </w:rPr>
        <w:t>Principal Financial Analyst</w:t>
      </w:r>
    </w:p>
    <w:p w14:paraId="6D1C58DB" w14:textId="7B67E859" w:rsidR="004B0071" w:rsidRDefault="004B0071" w:rsidP="007338BD">
      <w:pPr>
        <w:jc w:val="both"/>
      </w:pPr>
    </w:p>
    <w:p w14:paraId="5C49994A" w14:textId="77777777" w:rsidR="00DE6B18" w:rsidRPr="00426FAD" w:rsidRDefault="00DE6B18" w:rsidP="007338BD">
      <w:pPr>
        <w:jc w:val="both"/>
      </w:pPr>
    </w:p>
    <w:p w14:paraId="7A1D5EE6" w14:textId="6AA593AE" w:rsidR="00045CD2" w:rsidRPr="004B0071" w:rsidRDefault="00DE6B18" w:rsidP="00DE6B18">
      <w:pPr>
        <w:jc w:val="center"/>
        <w:rPr>
          <w:noProof/>
        </w:rPr>
      </w:pPr>
      <w:r w:rsidRPr="00B93C28">
        <w:rPr>
          <w:noProof/>
        </w:rPr>
        <w:drawing>
          <wp:inline distT="0" distB="0" distL="0" distR="0" wp14:anchorId="4B704909" wp14:editId="0F4FF021">
            <wp:extent cx="1168400" cy="109410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0" cy="1094105"/>
                    </a:xfrm>
                    <a:prstGeom prst="rect">
                      <a:avLst/>
                    </a:prstGeom>
                    <a:noFill/>
                    <a:ln>
                      <a:noFill/>
                    </a:ln>
                  </pic:spPr>
                </pic:pic>
              </a:graphicData>
            </a:graphic>
          </wp:inline>
        </w:drawing>
      </w:r>
    </w:p>
    <w:p w14:paraId="53CE89FA" w14:textId="77777777" w:rsidR="00045CD2" w:rsidRPr="00DE6B18" w:rsidRDefault="00045CD2" w:rsidP="006F5B13">
      <w:pPr>
        <w:pStyle w:val="Heading5"/>
        <w:keepNext w:val="0"/>
        <w:jc w:val="center"/>
        <w:rPr>
          <w:rFonts w:ascii="Times New Roman" w:hAnsi="Times New Roman" w:cs="Times New Roman"/>
          <w:b/>
          <w:color w:val="auto"/>
        </w:rPr>
      </w:pPr>
      <w:r w:rsidRPr="00DE6B18">
        <w:rPr>
          <w:rFonts w:ascii="Times New Roman" w:hAnsi="Times New Roman" w:cs="Times New Roman"/>
          <w:b/>
          <w:color w:val="auto"/>
        </w:rPr>
        <w:t>THE COUNCIL</w:t>
      </w:r>
    </w:p>
    <w:p w14:paraId="35900F5E" w14:textId="77777777" w:rsidR="00045CD2" w:rsidRPr="00426FAD" w:rsidRDefault="00045CD2" w:rsidP="006F5B13">
      <w:pPr>
        <w:jc w:val="center"/>
        <w:rPr>
          <w:b/>
          <w:u w:val="single"/>
        </w:rPr>
      </w:pPr>
    </w:p>
    <w:p w14:paraId="642490BA" w14:textId="641C5AD9" w:rsidR="00F00D2A" w:rsidRPr="002D013C" w:rsidRDefault="002D013C" w:rsidP="007338BD">
      <w:pPr>
        <w:pStyle w:val="Heading5"/>
        <w:keepNext w:val="0"/>
        <w:jc w:val="center"/>
        <w:rPr>
          <w:rFonts w:ascii="Times New Roman" w:hAnsi="Times New Roman" w:cs="Times New Roman"/>
          <w:b/>
          <w:color w:val="auto"/>
          <w:u w:val="single"/>
        </w:rPr>
      </w:pPr>
      <w:r>
        <w:rPr>
          <w:rFonts w:ascii="Times New Roman" w:hAnsi="Times New Roman" w:cs="Times New Roman"/>
          <w:b/>
          <w:color w:val="auto"/>
          <w:u w:val="single"/>
        </w:rPr>
        <w:t>COMMITTEE REPORT</w:t>
      </w:r>
      <w:r w:rsidR="00045CD2" w:rsidRPr="002D013C">
        <w:rPr>
          <w:rFonts w:ascii="Times New Roman" w:hAnsi="Times New Roman" w:cs="Times New Roman"/>
          <w:b/>
          <w:color w:val="auto"/>
          <w:u w:val="single"/>
        </w:rPr>
        <w:t xml:space="preserve"> OF THE INFRASTRUCTURE </w:t>
      </w:r>
      <w:r w:rsidR="00F00D2A" w:rsidRPr="002D013C">
        <w:rPr>
          <w:rFonts w:ascii="Times New Roman" w:hAnsi="Times New Roman" w:cs="Times New Roman"/>
          <w:b/>
          <w:color w:val="auto"/>
          <w:u w:val="single"/>
        </w:rPr>
        <w:t>AND</w:t>
      </w:r>
      <w:r w:rsidR="007338BD" w:rsidRPr="002D013C">
        <w:rPr>
          <w:rFonts w:ascii="Times New Roman" w:hAnsi="Times New Roman" w:cs="Times New Roman"/>
          <w:b/>
          <w:color w:val="auto"/>
          <w:u w:val="single"/>
        </w:rPr>
        <w:t xml:space="preserve"> </w:t>
      </w:r>
      <w:r>
        <w:rPr>
          <w:rFonts w:ascii="Times New Roman" w:hAnsi="Times New Roman" w:cs="Times New Roman"/>
          <w:b/>
          <w:color w:val="auto"/>
          <w:u w:val="single"/>
        </w:rPr>
        <w:br/>
      </w:r>
      <w:r w:rsidR="00F00D2A" w:rsidRPr="002D013C">
        <w:rPr>
          <w:rFonts w:ascii="Times New Roman" w:hAnsi="Times New Roman" w:cs="Times New Roman"/>
          <w:b/>
          <w:color w:val="auto"/>
          <w:u w:val="single"/>
        </w:rPr>
        <w:t>GOVERNMENTAL AFFAIRS</w:t>
      </w:r>
      <w:r w:rsidR="007338BD" w:rsidRPr="002D013C">
        <w:rPr>
          <w:rFonts w:ascii="Times New Roman" w:hAnsi="Times New Roman" w:cs="Times New Roman"/>
          <w:b/>
          <w:color w:val="auto"/>
          <w:u w:val="single"/>
        </w:rPr>
        <w:t xml:space="preserve"> D</w:t>
      </w:r>
      <w:r w:rsidRPr="002D013C">
        <w:rPr>
          <w:rFonts w:ascii="Times New Roman" w:hAnsi="Times New Roman" w:cs="Times New Roman"/>
          <w:b/>
          <w:color w:val="auto"/>
          <w:u w:val="single"/>
        </w:rPr>
        <w:t>I</w:t>
      </w:r>
      <w:r w:rsidR="007338BD" w:rsidRPr="002D013C">
        <w:rPr>
          <w:rFonts w:ascii="Times New Roman" w:hAnsi="Times New Roman" w:cs="Times New Roman"/>
          <w:b/>
          <w:color w:val="auto"/>
          <w:u w:val="single"/>
        </w:rPr>
        <w:t>VISIONS</w:t>
      </w:r>
    </w:p>
    <w:p w14:paraId="242A5EF2" w14:textId="29FEBF14" w:rsidR="00045CD2" w:rsidRDefault="008005A1" w:rsidP="006F5B13">
      <w:pPr>
        <w:tabs>
          <w:tab w:val="center" w:pos="4680"/>
        </w:tabs>
        <w:jc w:val="center"/>
        <w:rPr>
          <w:i/>
        </w:rPr>
      </w:pPr>
      <w:r w:rsidRPr="00426FAD">
        <w:rPr>
          <w:i/>
        </w:rPr>
        <w:t>Andrea Va</w:t>
      </w:r>
      <w:r w:rsidR="00CB5C66">
        <w:rPr>
          <w:i/>
        </w:rPr>
        <w:t>z</w:t>
      </w:r>
      <w:r w:rsidRPr="00426FAD">
        <w:rPr>
          <w:i/>
        </w:rPr>
        <w:t>quez</w:t>
      </w:r>
      <w:r w:rsidR="00045CD2" w:rsidRPr="00426FAD">
        <w:rPr>
          <w:i/>
        </w:rPr>
        <w:t>, Legislative Director</w:t>
      </w:r>
    </w:p>
    <w:p w14:paraId="2CF51CDC" w14:textId="7BF291A8" w:rsidR="00206848" w:rsidRPr="00426FAD" w:rsidRDefault="00206848" w:rsidP="006F5B13">
      <w:pPr>
        <w:tabs>
          <w:tab w:val="center" w:pos="4680"/>
        </w:tabs>
        <w:jc w:val="center"/>
      </w:pPr>
      <w:r>
        <w:rPr>
          <w:i/>
        </w:rPr>
        <w:t>Rachel Cordero, Deputy Director, Governmental Affairs</w:t>
      </w:r>
    </w:p>
    <w:p w14:paraId="0889318D" w14:textId="2855044C" w:rsidR="00045CD2" w:rsidRPr="00426FAD" w:rsidRDefault="00D9029C" w:rsidP="006F5B13">
      <w:pPr>
        <w:tabs>
          <w:tab w:val="center" w:pos="4680"/>
        </w:tabs>
        <w:jc w:val="center"/>
        <w:rPr>
          <w:b/>
          <w:u w:val="single"/>
        </w:rPr>
      </w:pPr>
      <w:r w:rsidRPr="00426FAD">
        <w:rPr>
          <w:i/>
          <w:iCs/>
        </w:rPr>
        <w:t>Bradley Reid</w:t>
      </w:r>
      <w:r w:rsidR="00045CD2" w:rsidRPr="00426FAD">
        <w:rPr>
          <w:i/>
          <w:iCs/>
        </w:rPr>
        <w:t>, Deputy Director</w:t>
      </w:r>
      <w:r w:rsidR="00F00D2A">
        <w:rPr>
          <w:i/>
          <w:iCs/>
        </w:rPr>
        <w:t xml:space="preserve">, Infrastructure </w:t>
      </w:r>
    </w:p>
    <w:p w14:paraId="123E9437" w14:textId="77777777" w:rsidR="00045CD2" w:rsidRPr="00426FAD" w:rsidRDefault="00045CD2" w:rsidP="006F5B13">
      <w:pPr>
        <w:tabs>
          <w:tab w:val="center" w:pos="4680"/>
        </w:tabs>
        <w:jc w:val="center"/>
        <w:rPr>
          <w:b/>
          <w:u w:val="single"/>
        </w:rPr>
      </w:pPr>
    </w:p>
    <w:p w14:paraId="2B91A686" w14:textId="77777777" w:rsidR="00206848" w:rsidRPr="00386FDA" w:rsidRDefault="00206848" w:rsidP="00206848">
      <w:pPr>
        <w:pStyle w:val="FootnoteText"/>
        <w:jc w:val="center"/>
      </w:pPr>
      <w:r w:rsidRPr="00386FDA">
        <w:rPr>
          <w:b/>
          <w:u w:val="single"/>
        </w:rPr>
        <w:t xml:space="preserve">COMMITTEE ON </w:t>
      </w:r>
      <w:r>
        <w:rPr>
          <w:b/>
          <w:u w:val="single"/>
        </w:rPr>
        <w:t>GOVERNMENTAL OPERATIONS</w:t>
      </w:r>
    </w:p>
    <w:p w14:paraId="19566132" w14:textId="30CCB7B0" w:rsidR="002D013C" w:rsidRPr="004B0071" w:rsidRDefault="00206848" w:rsidP="004B0071">
      <w:pPr>
        <w:jc w:val="center"/>
        <w:rPr>
          <w:i/>
        </w:rPr>
      </w:pPr>
      <w:r w:rsidRPr="00FB17EF">
        <w:rPr>
          <w:i/>
        </w:rPr>
        <w:t xml:space="preserve">Hon. </w:t>
      </w:r>
      <w:r>
        <w:rPr>
          <w:i/>
        </w:rPr>
        <w:t>Sandra Ung</w:t>
      </w:r>
      <w:r w:rsidRPr="00FB17EF">
        <w:rPr>
          <w:i/>
        </w:rPr>
        <w:t>, Chair</w:t>
      </w:r>
    </w:p>
    <w:p w14:paraId="05C8B8FB" w14:textId="6388FCC8" w:rsidR="00045CD2" w:rsidRPr="00426FAD" w:rsidRDefault="00045CD2" w:rsidP="006F5B13">
      <w:pPr>
        <w:jc w:val="center"/>
        <w:rPr>
          <w:b/>
          <w:u w:val="single"/>
        </w:rPr>
      </w:pPr>
      <w:r w:rsidRPr="00426FAD">
        <w:rPr>
          <w:b/>
          <w:u w:val="single"/>
        </w:rPr>
        <w:t>COMMITTEE ON TECHNOLOGY</w:t>
      </w:r>
    </w:p>
    <w:p w14:paraId="51FCD708" w14:textId="1438F8BB" w:rsidR="002D013C" w:rsidRPr="004B0071" w:rsidRDefault="00045CD2" w:rsidP="004B0071">
      <w:pPr>
        <w:jc w:val="center"/>
        <w:rPr>
          <w:i/>
        </w:rPr>
      </w:pPr>
      <w:r w:rsidRPr="00426FAD">
        <w:rPr>
          <w:i/>
        </w:rPr>
        <w:t xml:space="preserve">Hon. </w:t>
      </w:r>
      <w:r w:rsidR="00D9029C" w:rsidRPr="00426FAD">
        <w:rPr>
          <w:i/>
        </w:rPr>
        <w:t>Jennifer Gutiérrez</w:t>
      </w:r>
      <w:r w:rsidR="0050125E">
        <w:rPr>
          <w:i/>
        </w:rPr>
        <w:t>, Chair</w:t>
      </w:r>
    </w:p>
    <w:p w14:paraId="6B2B9DE1" w14:textId="08E19AD0" w:rsidR="00B41EC8" w:rsidRDefault="00B41EC8" w:rsidP="006F5B13">
      <w:pPr>
        <w:jc w:val="center"/>
        <w:rPr>
          <w:b/>
          <w:u w:val="single"/>
        </w:rPr>
      </w:pPr>
      <w:r w:rsidRPr="00426FAD">
        <w:rPr>
          <w:b/>
          <w:u w:val="single"/>
        </w:rPr>
        <w:t>COMMITTEE ON</w:t>
      </w:r>
      <w:r w:rsidR="00206848">
        <w:rPr>
          <w:b/>
          <w:u w:val="single"/>
        </w:rPr>
        <w:t xml:space="preserve"> PUBLIC HOUSING </w:t>
      </w:r>
    </w:p>
    <w:p w14:paraId="1AE10C39" w14:textId="77777777" w:rsidR="0050125E" w:rsidRPr="0050125E" w:rsidRDefault="0050125E" w:rsidP="0050125E">
      <w:pPr>
        <w:jc w:val="center"/>
        <w:rPr>
          <w:i/>
        </w:rPr>
      </w:pPr>
      <w:r w:rsidRPr="0050125E">
        <w:rPr>
          <w:i/>
        </w:rPr>
        <w:t xml:space="preserve">Hon. Alexa </w:t>
      </w:r>
      <w:r w:rsidRPr="0050125E">
        <w:rPr>
          <w:i/>
          <w:shd w:val="solid" w:color="FFFFFF" w:fill="FFFFFF"/>
        </w:rPr>
        <w:t>Avilés</w:t>
      </w:r>
      <w:r w:rsidRPr="0050125E">
        <w:rPr>
          <w:i/>
        </w:rPr>
        <w:t>, Chair</w:t>
      </w:r>
    </w:p>
    <w:p w14:paraId="674DE86A" w14:textId="578F85EB" w:rsidR="00045CD2" w:rsidRPr="00426FAD" w:rsidRDefault="00045CD2" w:rsidP="007338BD">
      <w:pPr>
        <w:tabs>
          <w:tab w:val="center" w:pos="4680"/>
        </w:tabs>
      </w:pPr>
    </w:p>
    <w:p w14:paraId="32DA1C2D" w14:textId="701BA1F7" w:rsidR="00045CD2" w:rsidRPr="00426FAD" w:rsidRDefault="00B41EC8" w:rsidP="006F5B13">
      <w:pPr>
        <w:tabs>
          <w:tab w:val="center" w:pos="4680"/>
        </w:tabs>
        <w:jc w:val="center"/>
        <w:rPr>
          <w:b/>
        </w:rPr>
      </w:pPr>
      <w:r>
        <w:rPr>
          <w:b/>
        </w:rPr>
        <w:t xml:space="preserve">June </w:t>
      </w:r>
      <w:r w:rsidR="007338BD">
        <w:rPr>
          <w:b/>
        </w:rPr>
        <w:t>30</w:t>
      </w:r>
      <w:r w:rsidR="00D9029C" w:rsidRPr="00426FAD">
        <w:rPr>
          <w:b/>
        </w:rPr>
        <w:t>, 2022</w:t>
      </w:r>
    </w:p>
    <w:p w14:paraId="57577992" w14:textId="4F67354B" w:rsidR="00B86D04" w:rsidRDefault="00B86D04" w:rsidP="006F5B13">
      <w:pPr>
        <w:jc w:val="both"/>
        <w:rPr>
          <w:b/>
          <w:bCs/>
        </w:rPr>
      </w:pPr>
    </w:p>
    <w:p w14:paraId="2F1634FC" w14:textId="77777777" w:rsidR="00045CD2" w:rsidRPr="00DE6B18" w:rsidRDefault="00045CD2" w:rsidP="00DE6B18">
      <w:pPr>
        <w:jc w:val="center"/>
      </w:pPr>
      <w:r w:rsidRPr="00DE6B18">
        <w:rPr>
          <w:bCs/>
        </w:rPr>
        <w:t>Oversight:</w:t>
      </w:r>
      <w:r w:rsidR="00CC044A" w:rsidRPr="00DE6B18">
        <w:rPr>
          <w:bCs/>
        </w:rPr>
        <w:t xml:space="preserve"> </w:t>
      </w:r>
      <w:r w:rsidR="00DE6B18" w:rsidRPr="00DE6B18">
        <w:t xml:space="preserve">Ensuring Equal Access to 311 – Reviewing the Experience of Limited-English Proficient New Yorkers and NYCHA </w:t>
      </w:r>
      <w:r w:rsidR="00DE6B18">
        <w:t>Residents</w:t>
      </w:r>
    </w:p>
    <w:p w14:paraId="389B8614" w14:textId="18329EA3" w:rsidR="00DE6B18" w:rsidRDefault="00DE6B18" w:rsidP="00A037E2">
      <w:pPr>
        <w:spacing w:after="160" w:line="259" w:lineRule="auto"/>
        <w:rPr>
          <w:b/>
        </w:rPr>
      </w:pPr>
      <w:r>
        <w:rPr>
          <w:b/>
        </w:rPr>
        <w:br w:type="page"/>
      </w:r>
    </w:p>
    <w:p w14:paraId="7C450AAC" w14:textId="5B2F12E5" w:rsidR="00DE6B18" w:rsidRDefault="00DE6B18" w:rsidP="00A037E2">
      <w:pPr>
        <w:ind w:left="1440" w:hanging="1440"/>
      </w:pPr>
      <w:r w:rsidRPr="00A037E2">
        <w:rPr>
          <w:b/>
          <w:u w:val="single"/>
        </w:rPr>
        <w:lastRenderedPageBreak/>
        <w:t>Int. 55</w:t>
      </w:r>
      <w:r w:rsidRPr="00A037E2">
        <w:rPr>
          <w:b/>
        </w:rPr>
        <w:t>:</w:t>
      </w:r>
      <w:r w:rsidRPr="00A037E2">
        <w:tab/>
        <w:t>By Council Members Menin, Hanif, Cabán, Gutiérrez, Holden, Dinowitz, Farías, Marte, Yeger, Ung, Schulman, Narcisse, Sanchez, Lee, Krishnan, Avilés, Won, Ossé, Louis, Ayala, Gennaro, Bottcher and Carr</w:t>
      </w:r>
    </w:p>
    <w:p w14:paraId="37F4C25E" w14:textId="77777777" w:rsidR="00A037E2" w:rsidRPr="00A037E2" w:rsidRDefault="00A037E2" w:rsidP="00A037E2">
      <w:pPr>
        <w:ind w:left="1440" w:hanging="1440"/>
      </w:pPr>
    </w:p>
    <w:p w14:paraId="1EA0930C" w14:textId="70B4494C" w:rsidR="00A037E2" w:rsidRDefault="00DE6B18" w:rsidP="00A037E2">
      <w:pPr>
        <w:ind w:left="1440" w:hanging="1440"/>
      </w:pPr>
      <w:r w:rsidRPr="00A037E2">
        <w:rPr>
          <w:b/>
          <w:u w:val="single"/>
        </w:rPr>
        <w:t>Title</w:t>
      </w:r>
      <w:r w:rsidRPr="00A037E2">
        <w:rPr>
          <w:b/>
        </w:rPr>
        <w:t>:</w:t>
      </w:r>
      <w:r w:rsidRPr="00A037E2">
        <w:tab/>
        <w:t>A Local Law to amend the administrative code of the city of New York, in relation to the creation of a separate 311 category for COVID-19 testing site complaints</w:t>
      </w:r>
    </w:p>
    <w:p w14:paraId="4F6CE105" w14:textId="0EBC89A8" w:rsidR="00A037E2" w:rsidRDefault="00A037E2" w:rsidP="00A037E2">
      <w:pPr>
        <w:ind w:left="1440" w:hanging="1440"/>
      </w:pPr>
    </w:p>
    <w:p w14:paraId="71F9BB3C" w14:textId="77777777" w:rsidR="00A037E2" w:rsidRPr="00A037E2" w:rsidRDefault="00A037E2" w:rsidP="00A037E2">
      <w:pPr>
        <w:ind w:left="1440" w:hanging="1440"/>
      </w:pPr>
    </w:p>
    <w:p w14:paraId="419AAF52" w14:textId="51310632" w:rsidR="00DE6B18" w:rsidRDefault="00DE6B18" w:rsidP="00A037E2">
      <w:pPr>
        <w:pStyle w:val="NormalWeb"/>
        <w:shd w:val="clear" w:color="auto" w:fill="FFFFFF"/>
        <w:spacing w:before="0" w:beforeAutospacing="0" w:after="0" w:afterAutospacing="0"/>
        <w:jc w:val="both"/>
      </w:pPr>
      <w:r w:rsidRPr="00A037E2">
        <w:rPr>
          <w:b/>
          <w:u w:val="single"/>
        </w:rPr>
        <w:t>Int. 167</w:t>
      </w:r>
      <w:r w:rsidRPr="00A037E2">
        <w:rPr>
          <w:b/>
        </w:rPr>
        <w:t>:</w:t>
      </w:r>
      <w:r w:rsidRPr="00A037E2">
        <w:tab/>
        <w:t>By Council Members Holden, Won, Yeger and Bottcher</w:t>
      </w:r>
    </w:p>
    <w:p w14:paraId="60C79403" w14:textId="77777777" w:rsidR="00A037E2" w:rsidRPr="00A037E2" w:rsidRDefault="00A037E2" w:rsidP="00A037E2">
      <w:pPr>
        <w:pStyle w:val="NormalWeb"/>
        <w:shd w:val="clear" w:color="auto" w:fill="FFFFFF"/>
        <w:spacing w:before="0" w:beforeAutospacing="0" w:after="0" w:afterAutospacing="0"/>
        <w:jc w:val="both"/>
      </w:pPr>
    </w:p>
    <w:p w14:paraId="7620EC1E" w14:textId="20833DBA" w:rsidR="00A037E2" w:rsidRDefault="00DE6B18" w:rsidP="00A037E2">
      <w:pPr>
        <w:ind w:left="1440" w:hanging="1440"/>
        <w:rPr>
          <w:rFonts w:eastAsia="Times New Roman"/>
        </w:rPr>
      </w:pPr>
      <w:r w:rsidRPr="00A037E2">
        <w:rPr>
          <w:b/>
          <w:u w:val="single"/>
        </w:rPr>
        <w:t>Title</w:t>
      </w:r>
      <w:r w:rsidRPr="00A037E2">
        <w:rPr>
          <w:b/>
        </w:rPr>
        <w:t>:</w:t>
      </w:r>
      <w:r w:rsidRPr="00A037E2">
        <w:tab/>
      </w:r>
      <w:r w:rsidRPr="00A037E2">
        <w:rPr>
          <w:rFonts w:eastAsia="Times New Roman"/>
        </w:rPr>
        <w:t>A Local Law to amend the administrative code of the city of New York, in relation to the number of steps to submit service requests or complaints on the 311 website and mobile application</w:t>
      </w:r>
    </w:p>
    <w:p w14:paraId="65E3C2A3" w14:textId="7C3B85CD" w:rsidR="00A037E2" w:rsidRDefault="00A037E2" w:rsidP="00A037E2">
      <w:pPr>
        <w:ind w:left="1440" w:hanging="1440"/>
        <w:rPr>
          <w:rFonts w:eastAsia="Times New Roman"/>
        </w:rPr>
      </w:pPr>
    </w:p>
    <w:p w14:paraId="128911EC" w14:textId="77777777" w:rsidR="00A037E2" w:rsidRPr="00A037E2" w:rsidRDefault="00A037E2" w:rsidP="00A037E2">
      <w:pPr>
        <w:ind w:left="1440" w:hanging="1440"/>
        <w:rPr>
          <w:rFonts w:eastAsia="Times New Roman"/>
        </w:rPr>
      </w:pPr>
    </w:p>
    <w:p w14:paraId="033ECC33" w14:textId="5172FFA7" w:rsidR="00096EFE" w:rsidRDefault="00096EFE" w:rsidP="00A037E2">
      <w:pPr>
        <w:ind w:left="1440" w:hanging="1440"/>
      </w:pPr>
      <w:r w:rsidRPr="00A037E2">
        <w:rPr>
          <w:b/>
          <w:u w:val="single"/>
        </w:rPr>
        <w:t>Int. 206</w:t>
      </w:r>
      <w:r w:rsidRPr="00A037E2">
        <w:rPr>
          <w:b/>
        </w:rPr>
        <w:t>:</w:t>
      </w:r>
      <w:r w:rsidRPr="00A037E2">
        <w:tab/>
        <w:t>By Council Members Ung, Joseph, Cabán, Stevens, Hanif, Brewer, Dinowitz</w:t>
      </w:r>
      <w:r w:rsidR="00A037E2" w:rsidRPr="00A037E2">
        <w:t>, Won, Marte Abreu and Williams</w:t>
      </w:r>
    </w:p>
    <w:p w14:paraId="43C690B2" w14:textId="77777777" w:rsidR="00A037E2" w:rsidRPr="00A037E2" w:rsidRDefault="00A037E2" w:rsidP="00A037E2">
      <w:pPr>
        <w:ind w:left="1440" w:hanging="1440"/>
      </w:pPr>
    </w:p>
    <w:p w14:paraId="569259C9" w14:textId="41DE051A" w:rsidR="00A037E2" w:rsidRDefault="00096EFE" w:rsidP="00A037E2">
      <w:pPr>
        <w:ind w:left="1440" w:hanging="1440"/>
      </w:pPr>
      <w:r w:rsidRPr="00A037E2">
        <w:rPr>
          <w:b/>
          <w:u w:val="single"/>
        </w:rPr>
        <w:t>Title</w:t>
      </w:r>
      <w:r w:rsidRPr="00A037E2">
        <w:rPr>
          <w:b/>
        </w:rPr>
        <w:t>:</w:t>
      </w:r>
      <w:r w:rsidRPr="00A037E2">
        <w:t xml:space="preserve"> </w:t>
      </w:r>
      <w:r w:rsidRPr="00A037E2">
        <w:tab/>
        <w:t>A Local Law to amend the administrative code of the city of New York, in relation to requiring the commissioner of information technology and telecommunications to report on wait times for the 311 customer service center to connect callers to an interpreter</w:t>
      </w:r>
    </w:p>
    <w:p w14:paraId="7D769E11" w14:textId="715E6033" w:rsidR="00A037E2" w:rsidRDefault="00A037E2" w:rsidP="00A037E2">
      <w:pPr>
        <w:ind w:left="1440" w:hanging="1440"/>
      </w:pPr>
    </w:p>
    <w:p w14:paraId="4C9D6842" w14:textId="77777777" w:rsidR="00A037E2" w:rsidRPr="00A037E2" w:rsidRDefault="00A037E2" w:rsidP="00A037E2">
      <w:pPr>
        <w:ind w:left="1440" w:hanging="1440"/>
      </w:pPr>
    </w:p>
    <w:p w14:paraId="3649DD23" w14:textId="52DDD781" w:rsidR="00096EFE" w:rsidRDefault="00096EFE" w:rsidP="00A037E2">
      <w:pPr>
        <w:ind w:left="1440" w:hanging="1440"/>
      </w:pPr>
      <w:r w:rsidRPr="00A037E2">
        <w:rPr>
          <w:b/>
          <w:u w:val="single"/>
        </w:rPr>
        <w:t>Int. 240</w:t>
      </w:r>
      <w:r w:rsidRPr="00A037E2">
        <w:rPr>
          <w:b/>
        </w:rPr>
        <w:t>:</w:t>
      </w:r>
      <w:r w:rsidRPr="00A037E2">
        <w:rPr>
          <w:b/>
        </w:rPr>
        <w:tab/>
      </w:r>
      <w:r w:rsidRPr="00A037E2">
        <w:t>By Council Members Gutiérrez, Joseph, Brooks-Powers, Stevens, Yeger, Menin, Williams, Schulman, Riley, Narcisse, Barron, Ossé, Ayala, Restler, Cabán, Abreu, Richardson Jordan, Nurse, Louis and Ariola</w:t>
      </w:r>
    </w:p>
    <w:p w14:paraId="23A14DFA" w14:textId="77777777" w:rsidR="00A037E2" w:rsidRPr="00A037E2" w:rsidRDefault="00A037E2" w:rsidP="00A037E2">
      <w:pPr>
        <w:ind w:left="1440" w:hanging="1440"/>
        <w:rPr>
          <w:b/>
        </w:rPr>
      </w:pPr>
    </w:p>
    <w:p w14:paraId="77116156" w14:textId="462B84E0" w:rsidR="00096EFE" w:rsidRPr="00A037E2" w:rsidRDefault="00096EFE" w:rsidP="00A037E2">
      <w:pPr>
        <w:ind w:left="1440" w:hanging="1440"/>
      </w:pPr>
      <w:r w:rsidRPr="00A037E2">
        <w:rPr>
          <w:b/>
          <w:u w:val="single"/>
        </w:rPr>
        <w:t>Title</w:t>
      </w:r>
      <w:r w:rsidRPr="00A037E2">
        <w:rPr>
          <w:b/>
        </w:rPr>
        <w:t>:</w:t>
      </w:r>
      <w:r w:rsidRPr="00A037E2">
        <w:rPr>
          <w:b/>
        </w:rPr>
        <w:tab/>
      </w:r>
      <w:r w:rsidRPr="00A037E2">
        <w:t>A Local Law to amend the administrative code of the city of New York, in relation to the department of information technology and telecommunications updating 311 complaint types and reporting on such updates</w:t>
      </w:r>
    </w:p>
    <w:p w14:paraId="0E98F5B0" w14:textId="481590C4" w:rsidR="00A037E2" w:rsidRDefault="00A037E2" w:rsidP="00A037E2">
      <w:pPr>
        <w:ind w:left="1440" w:hanging="1440"/>
        <w:rPr>
          <w:b/>
          <w:u w:val="single"/>
        </w:rPr>
      </w:pPr>
    </w:p>
    <w:p w14:paraId="7E5F7F73" w14:textId="77777777" w:rsidR="00A037E2" w:rsidRDefault="00A037E2" w:rsidP="00A037E2">
      <w:pPr>
        <w:ind w:left="1440" w:hanging="1440"/>
        <w:rPr>
          <w:b/>
          <w:u w:val="single"/>
        </w:rPr>
      </w:pPr>
    </w:p>
    <w:p w14:paraId="6A154ECC" w14:textId="14F1DABA" w:rsidR="00096EFE" w:rsidRDefault="00096EFE" w:rsidP="00A037E2">
      <w:pPr>
        <w:ind w:left="1440" w:hanging="1440"/>
      </w:pPr>
      <w:r w:rsidRPr="00A037E2">
        <w:rPr>
          <w:b/>
          <w:u w:val="single"/>
        </w:rPr>
        <w:t>Int. 296</w:t>
      </w:r>
      <w:r w:rsidRPr="00A037E2">
        <w:rPr>
          <w:b/>
        </w:rPr>
        <w:t>:</w:t>
      </w:r>
      <w:r w:rsidRPr="00A037E2">
        <w:tab/>
        <w:t>By Council Members Ung, Hanif, Brewer, Stevens, Velázquez, Williams, Yeger, Farías, Restler, Abreu, Krishnan, Nurse and Louis</w:t>
      </w:r>
    </w:p>
    <w:p w14:paraId="1D60BE28" w14:textId="77777777" w:rsidR="00A037E2" w:rsidRPr="00A037E2" w:rsidRDefault="00A037E2" w:rsidP="00A037E2">
      <w:pPr>
        <w:ind w:left="1440" w:hanging="1440"/>
      </w:pPr>
    </w:p>
    <w:p w14:paraId="398BF341" w14:textId="5FD377C0" w:rsidR="00A037E2" w:rsidRPr="00A037E2" w:rsidRDefault="00096EFE" w:rsidP="00A037E2">
      <w:pPr>
        <w:ind w:left="1440" w:hanging="1440"/>
        <w:rPr>
          <w:b/>
        </w:rPr>
      </w:pPr>
      <w:r w:rsidRPr="00A037E2">
        <w:rPr>
          <w:b/>
          <w:u w:val="single"/>
        </w:rPr>
        <w:t>Title</w:t>
      </w:r>
      <w:r w:rsidRPr="00A037E2">
        <w:rPr>
          <w:b/>
        </w:rPr>
        <w:t>:</w:t>
      </w:r>
      <w:r w:rsidRPr="00A037E2">
        <w:rPr>
          <w:b/>
        </w:rPr>
        <w:tab/>
      </w:r>
      <w:r w:rsidRPr="00A037E2">
        <w:t>A Local Law to amend the administrative code of the city of New York, in relation to the identification of languages spoken by callers to the 311 customer service center</w:t>
      </w:r>
    </w:p>
    <w:p w14:paraId="0B74C08A" w14:textId="7CE3949B" w:rsidR="00A037E2" w:rsidRDefault="00A037E2" w:rsidP="00A037E2">
      <w:pPr>
        <w:pStyle w:val="NormalWeb"/>
        <w:shd w:val="clear" w:color="auto" w:fill="FFFFFF"/>
        <w:spacing w:before="0" w:beforeAutospacing="0" w:after="0" w:afterAutospacing="0"/>
        <w:ind w:left="1440" w:hanging="1440"/>
        <w:jc w:val="both"/>
        <w:rPr>
          <w:b/>
          <w:u w:val="single"/>
        </w:rPr>
      </w:pPr>
    </w:p>
    <w:p w14:paraId="41C8ED47" w14:textId="77777777" w:rsidR="00A037E2" w:rsidRDefault="00A037E2" w:rsidP="00A037E2">
      <w:pPr>
        <w:pStyle w:val="NormalWeb"/>
        <w:shd w:val="clear" w:color="auto" w:fill="FFFFFF"/>
        <w:spacing w:before="0" w:beforeAutospacing="0" w:after="0" w:afterAutospacing="0"/>
        <w:ind w:left="1440" w:hanging="1440"/>
        <w:jc w:val="both"/>
        <w:rPr>
          <w:b/>
          <w:u w:val="single"/>
        </w:rPr>
      </w:pPr>
    </w:p>
    <w:p w14:paraId="6C18CEC3" w14:textId="34CD134E" w:rsidR="00A037E2" w:rsidRDefault="00A037E2" w:rsidP="00A037E2">
      <w:pPr>
        <w:pStyle w:val="NormalWeb"/>
        <w:shd w:val="clear" w:color="auto" w:fill="FFFFFF"/>
        <w:spacing w:before="0" w:beforeAutospacing="0" w:after="0" w:afterAutospacing="0"/>
        <w:ind w:left="1440" w:hanging="1440"/>
      </w:pPr>
      <w:r w:rsidRPr="00A037E2">
        <w:rPr>
          <w:b/>
          <w:u w:val="single"/>
        </w:rPr>
        <w:t>Res. 68</w:t>
      </w:r>
      <w:r w:rsidRPr="00A037E2">
        <w:rPr>
          <w:b/>
        </w:rPr>
        <w:t>:</w:t>
      </w:r>
      <w:r w:rsidRPr="00A037E2">
        <w:tab/>
        <w:t>By Council Members Kagan, Farias, Ossé, Louis, Stevens, Hanif, Cabán, Brewer, Won, Restler, Hanks and Avilés</w:t>
      </w:r>
    </w:p>
    <w:p w14:paraId="3A6A59B9" w14:textId="77777777" w:rsidR="00A037E2" w:rsidRDefault="00A037E2" w:rsidP="00A037E2">
      <w:pPr>
        <w:pStyle w:val="NormalWeb"/>
        <w:shd w:val="clear" w:color="auto" w:fill="FFFFFF"/>
        <w:spacing w:before="0" w:beforeAutospacing="0" w:after="0" w:afterAutospacing="0"/>
        <w:ind w:left="1440" w:hanging="1440"/>
      </w:pPr>
    </w:p>
    <w:p w14:paraId="64F08FBC" w14:textId="226A0FA1" w:rsidR="00A037E2" w:rsidRPr="00A53036" w:rsidRDefault="00A037E2" w:rsidP="00A53036">
      <w:pPr>
        <w:pStyle w:val="NormalWeb"/>
        <w:shd w:val="clear" w:color="auto" w:fill="FFFFFF"/>
        <w:spacing w:before="0" w:beforeAutospacing="0" w:after="0" w:afterAutospacing="0"/>
        <w:ind w:left="1440" w:hanging="1440"/>
        <w:rPr>
          <w:color w:val="000000"/>
          <w:sz w:val="27"/>
          <w:szCs w:val="27"/>
        </w:rPr>
      </w:pPr>
      <w:r>
        <w:rPr>
          <w:b/>
          <w:u w:val="single"/>
        </w:rPr>
        <w:t>Title</w:t>
      </w:r>
      <w:r>
        <w:rPr>
          <w:b/>
        </w:rPr>
        <w:t>:</w:t>
      </w:r>
      <w:r>
        <w:rPr>
          <w:b/>
        </w:rPr>
        <w:tab/>
      </w:r>
      <w:r>
        <w:rPr>
          <w:color w:val="000000"/>
        </w:rPr>
        <w:t>Resolution calling upon the New York State Legislature and U.S. Department of Housing &amp; Urban Development to take strong action and increase NYCHA accountability by auditing the responsiveness of NYCHA managers to tenants.</w:t>
      </w:r>
    </w:p>
    <w:p w14:paraId="216EE4D2" w14:textId="2A5841CD" w:rsidR="00096EFE" w:rsidRDefault="00096EFE" w:rsidP="00A037E2">
      <w:pPr>
        <w:rPr>
          <w:b/>
        </w:rPr>
      </w:pPr>
    </w:p>
    <w:p w14:paraId="16E12A38" w14:textId="77777777" w:rsidR="00751E9E" w:rsidRPr="00A037E2" w:rsidRDefault="00751E9E" w:rsidP="00A037E2">
      <w:pPr>
        <w:rPr>
          <w:b/>
        </w:rPr>
      </w:pPr>
    </w:p>
    <w:p w14:paraId="5787C2C5" w14:textId="2DD9E16E" w:rsidR="00045CD2" w:rsidRPr="006743BF" w:rsidRDefault="00045CD2" w:rsidP="00B33AFE">
      <w:pPr>
        <w:pStyle w:val="ListParagraph"/>
        <w:numPr>
          <w:ilvl w:val="0"/>
          <w:numId w:val="1"/>
        </w:numPr>
        <w:spacing w:line="480" w:lineRule="auto"/>
        <w:ind w:right="144"/>
        <w:contextualSpacing w:val="0"/>
        <w:rPr>
          <w:b/>
          <w:bCs/>
          <w:smallCaps/>
          <w:u w:val="single"/>
        </w:rPr>
      </w:pPr>
      <w:r w:rsidRPr="006743BF">
        <w:rPr>
          <w:b/>
          <w:bCs/>
          <w:smallCaps/>
          <w:u w:val="single"/>
        </w:rPr>
        <w:t>Introduction</w:t>
      </w:r>
      <w:r w:rsidR="00633201" w:rsidRPr="006743BF">
        <w:rPr>
          <w:b/>
          <w:bCs/>
          <w:smallCaps/>
          <w:u w:val="single"/>
        </w:rPr>
        <w:t xml:space="preserve"> </w:t>
      </w:r>
    </w:p>
    <w:p w14:paraId="4F3FE5D3" w14:textId="4BD335A3" w:rsidR="00600945" w:rsidRPr="00E45B1A" w:rsidRDefault="00E34B4B" w:rsidP="00E45B1A">
      <w:pPr>
        <w:autoSpaceDE w:val="0"/>
        <w:autoSpaceDN w:val="0"/>
        <w:adjustRightInd w:val="0"/>
        <w:spacing w:line="480" w:lineRule="auto"/>
        <w:ind w:firstLine="720"/>
        <w:jc w:val="both"/>
        <w:rPr>
          <w:shd w:val="clear" w:color="auto" w:fill="FFFFFF"/>
        </w:rPr>
      </w:pPr>
      <w:r w:rsidRPr="00426FAD">
        <w:rPr>
          <w:bCs/>
        </w:rPr>
        <w:t xml:space="preserve">On </w:t>
      </w:r>
      <w:r w:rsidR="00B41EC8">
        <w:rPr>
          <w:bCs/>
        </w:rPr>
        <w:t xml:space="preserve">June </w:t>
      </w:r>
      <w:r w:rsidR="00A037E2">
        <w:rPr>
          <w:bCs/>
        </w:rPr>
        <w:t>30,</w:t>
      </w:r>
      <w:r w:rsidRPr="00426FAD">
        <w:rPr>
          <w:bCs/>
        </w:rPr>
        <w:t xml:space="preserve"> 2022, the </w:t>
      </w:r>
      <w:r w:rsidR="00B41EC8">
        <w:rPr>
          <w:bCs/>
        </w:rPr>
        <w:t xml:space="preserve">Committee </w:t>
      </w:r>
      <w:r w:rsidR="00B37096">
        <w:t>Governmental Operations</w:t>
      </w:r>
      <w:r w:rsidR="00B37096" w:rsidRPr="00D773DC">
        <w:t xml:space="preserve">, chaired by Council Member </w:t>
      </w:r>
      <w:r w:rsidR="00B37096" w:rsidRPr="00F359FF">
        <w:t>Sandra Ung</w:t>
      </w:r>
      <w:r w:rsidR="00B37096" w:rsidRPr="00D773DC">
        <w:t xml:space="preserve">, </w:t>
      </w:r>
      <w:r w:rsidR="00B37096">
        <w:t>jointly with the</w:t>
      </w:r>
      <w:r w:rsidR="00B37096">
        <w:rPr>
          <w:bCs/>
        </w:rPr>
        <w:t xml:space="preserve"> </w:t>
      </w:r>
      <w:r w:rsidRPr="00426FAD">
        <w:rPr>
          <w:bCs/>
        </w:rPr>
        <w:t>Committee on Technology, chaired by Council Member Jennifer Gutiérrez</w:t>
      </w:r>
      <w:r w:rsidR="00A037E2">
        <w:rPr>
          <w:bCs/>
        </w:rPr>
        <w:t>,</w:t>
      </w:r>
      <w:r w:rsidRPr="00426FAD">
        <w:rPr>
          <w:bCs/>
        </w:rPr>
        <w:t xml:space="preserve"> </w:t>
      </w:r>
      <w:r w:rsidR="00B37096">
        <w:rPr>
          <w:bCs/>
        </w:rPr>
        <w:t xml:space="preserve">and the Committee on Public Housing, chaired by </w:t>
      </w:r>
      <w:r w:rsidR="00B37096" w:rsidRPr="00426FAD">
        <w:rPr>
          <w:bCs/>
        </w:rPr>
        <w:t>Council Member</w:t>
      </w:r>
      <w:r w:rsidR="00B37096">
        <w:rPr>
          <w:bCs/>
        </w:rPr>
        <w:t xml:space="preserve"> </w:t>
      </w:r>
      <w:r w:rsidR="00D80ADA">
        <w:rPr>
          <w:bCs/>
        </w:rPr>
        <w:t xml:space="preserve">Alexa </w:t>
      </w:r>
      <w:r w:rsidR="00B37096" w:rsidRPr="00B37096">
        <w:rPr>
          <w:shd w:val="solid" w:color="FFFFFF" w:fill="FFFFFF"/>
        </w:rPr>
        <w:t>Avilés</w:t>
      </w:r>
      <w:r w:rsidR="00F359FF">
        <w:rPr>
          <w:shd w:val="solid" w:color="FFFFFF" w:fill="FFFFFF"/>
        </w:rPr>
        <w:t>,</w:t>
      </w:r>
      <w:r w:rsidR="00B37096">
        <w:rPr>
          <w:bCs/>
        </w:rPr>
        <w:t xml:space="preserve"> </w:t>
      </w:r>
      <w:r w:rsidRPr="00426FAD">
        <w:rPr>
          <w:bCs/>
        </w:rPr>
        <w:t xml:space="preserve">will hold an oversight hearing on </w:t>
      </w:r>
      <w:r w:rsidR="00A037E2">
        <w:rPr>
          <w:bCs/>
        </w:rPr>
        <w:t>ensuring equal a</w:t>
      </w:r>
      <w:r w:rsidR="00A037E2" w:rsidRPr="00A037E2">
        <w:rPr>
          <w:bCs/>
        </w:rPr>
        <w:t>ccess to 311</w:t>
      </w:r>
      <w:r w:rsidRPr="00426FAD">
        <w:rPr>
          <w:bCs/>
        </w:rPr>
        <w:t xml:space="preserve">. </w:t>
      </w:r>
      <w:r w:rsidR="004E23D8">
        <w:t xml:space="preserve">In addition, the Committee on Technology will hold a first hearing on </w:t>
      </w:r>
      <w:r w:rsidR="00F359FF">
        <w:t>the following</w:t>
      </w:r>
      <w:r w:rsidR="00EB3D9D">
        <w:t xml:space="preserve"> five</w:t>
      </w:r>
      <w:r w:rsidR="00F359FF">
        <w:t xml:space="preserve"> </w:t>
      </w:r>
      <w:r w:rsidR="004E23D8">
        <w:t xml:space="preserve">bills: </w:t>
      </w:r>
      <w:r w:rsidR="00EB3D9D">
        <w:t>Int. 55</w:t>
      </w:r>
      <w:r w:rsidR="004E23D8">
        <w:t xml:space="preserve"> (Menin)</w:t>
      </w:r>
      <w:r w:rsidR="004E23D8" w:rsidRPr="004E23D8">
        <w:t>, in relation to the creation of a separate 311 category for C</w:t>
      </w:r>
      <w:r w:rsidR="004E23D8">
        <w:t xml:space="preserve">OVID-19 testing site complaints; </w:t>
      </w:r>
      <w:r w:rsidR="004E23D8" w:rsidRPr="004E23D8">
        <w:t>Int. 167</w:t>
      </w:r>
      <w:r w:rsidR="004E23D8">
        <w:t xml:space="preserve"> (Holden)</w:t>
      </w:r>
      <w:r w:rsidR="004E23D8" w:rsidRPr="004E23D8">
        <w:rPr>
          <w:shd w:val="clear" w:color="auto" w:fill="FFFFFF"/>
        </w:rPr>
        <w:t>, in relation to the number of steps to submit service requests or complaints on the 311</w:t>
      </w:r>
      <w:r w:rsidR="004E23D8">
        <w:rPr>
          <w:shd w:val="clear" w:color="auto" w:fill="FFFFFF"/>
        </w:rPr>
        <w:t xml:space="preserve"> website and mobile application; </w:t>
      </w:r>
      <w:r w:rsidR="00EB3D9D">
        <w:rPr>
          <w:shd w:val="clear" w:color="auto" w:fill="FFFFFF"/>
        </w:rPr>
        <w:t>Int. 206 (Ung),</w:t>
      </w:r>
      <w:r w:rsidR="00EB3D9D" w:rsidRPr="00EB3D9D">
        <w:t xml:space="preserve"> </w:t>
      </w:r>
      <w:r w:rsidR="00122C26">
        <w:rPr>
          <w:shd w:val="clear" w:color="auto" w:fill="FFFFFF"/>
        </w:rPr>
        <w:t>in relation to requiring the Commissioner of I</w:t>
      </w:r>
      <w:r w:rsidR="00EB3D9D" w:rsidRPr="00EB3D9D">
        <w:rPr>
          <w:shd w:val="clear" w:color="auto" w:fill="FFFFFF"/>
        </w:rPr>
        <w:t>nf</w:t>
      </w:r>
      <w:r w:rsidR="00122C26">
        <w:rPr>
          <w:shd w:val="clear" w:color="auto" w:fill="FFFFFF"/>
        </w:rPr>
        <w:t>ormation Technology and T</w:t>
      </w:r>
      <w:r w:rsidR="00EB3D9D" w:rsidRPr="00EB3D9D">
        <w:rPr>
          <w:shd w:val="clear" w:color="auto" w:fill="FFFFFF"/>
        </w:rPr>
        <w:t>elecommunications to report on wait times for the 311 customer service center to connect callers to an interpreter</w:t>
      </w:r>
      <w:r w:rsidR="00EB3D9D">
        <w:rPr>
          <w:shd w:val="clear" w:color="auto" w:fill="FFFFFF"/>
        </w:rPr>
        <w:t xml:space="preserve">; </w:t>
      </w:r>
      <w:r w:rsidR="00EB3D9D">
        <w:t>Int. 240</w:t>
      </w:r>
      <w:r w:rsidR="004E23D8" w:rsidRPr="004E23D8">
        <w:t xml:space="preserve"> </w:t>
      </w:r>
      <w:r w:rsidR="004E23D8">
        <w:t>(</w:t>
      </w:r>
      <w:r w:rsidR="004E23D8" w:rsidRPr="004E23D8">
        <w:t>Gutiérrez)</w:t>
      </w:r>
      <w:r w:rsidR="00122C26">
        <w:rPr>
          <w:shd w:val="clear" w:color="auto" w:fill="FFFFFF"/>
        </w:rPr>
        <w:t>, in relation to the Department of Information Technology and T</w:t>
      </w:r>
      <w:r w:rsidR="004E23D8" w:rsidRPr="004E23D8">
        <w:rPr>
          <w:shd w:val="clear" w:color="auto" w:fill="FFFFFF"/>
        </w:rPr>
        <w:t>elecommunications updating 311 complaint type</w:t>
      </w:r>
      <w:r w:rsidR="004E23D8">
        <w:rPr>
          <w:shd w:val="clear" w:color="auto" w:fill="FFFFFF"/>
        </w:rPr>
        <w:t>s and reporting on such updates</w:t>
      </w:r>
      <w:r w:rsidR="00EB3D9D">
        <w:rPr>
          <w:shd w:val="clear" w:color="auto" w:fill="FFFFFF"/>
        </w:rPr>
        <w:t xml:space="preserve">; and </w:t>
      </w:r>
      <w:r w:rsidR="00600945">
        <w:rPr>
          <w:shd w:val="clear" w:color="auto" w:fill="FFFFFF"/>
        </w:rPr>
        <w:t>Int. 296 (Ung),</w:t>
      </w:r>
      <w:r w:rsidR="00600945" w:rsidRPr="00600945">
        <w:t xml:space="preserve"> </w:t>
      </w:r>
      <w:r w:rsidR="00600945" w:rsidRPr="00600945">
        <w:rPr>
          <w:shd w:val="clear" w:color="auto" w:fill="FFFFFF"/>
        </w:rPr>
        <w:t>in relation to the identification of languages spoken by callers to the 311 customer service center</w:t>
      </w:r>
      <w:r w:rsidR="004E23D8">
        <w:rPr>
          <w:shd w:val="clear" w:color="auto" w:fill="FFFFFF"/>
        </w:rPr>
        <w:t xml:space="preserve">. </w:t>
      </w:r>
      <w:r w:rsidR="00600945">
        <w:rPr>
          <w:shd w:val="clear" w:color="auto" w:fill="FFFFFF"/>
        </w:rPr>
        <w:t xml:space="preserve">Finally, the Committee on Public Housing will hold a first hearing on the following pieces of legislation: Res. 68 (Kagan), </w:t>
      </w:r>
      <w:r w:rsidR="00600945" w:rsidRPr="00600945">
        <w:rPr>
          <w:shd w:val="clear" w:color="auto" w:fill="FFFFFF"/>
        </w:rPr>
        <w:t>calling upon the New York State Legislature and U.S. Department of Housing &amp; Urban Development to take strong action and increase NYCHA accountability by auditing the responsiveness of NYCHA managers to tenants</w:t>
      </w:r>
      <w:r w:rsidR="00600945">
        <w:rPr>
          <w:shd w:val="clear" w:color="auto" w:fill="FFFFFF"/>
        </w:rPr>
        <w:t>.</w:t>
      </w:r>
      <w:r w:rsidR="00E45B1A">
        <w:rPr>
          <w:shd w:val="clear" w:color="auto" w:fill="FFFFFF"/>
        </w:rPr>
        <w:t xml:space="preserve"> Those invited to testify include representatives from the Department of Information Technology </w:t>
      </w:r>
      <w:r w:rsidR="00E03A7E">
        <w:rPr>
          <w:shd w:val="clear" w:color="auto" w:fill="FFFFFF"/>
        </w:rPr>
        <w:t>&amp;</w:t>
      </w:r>
      <w:r w:rsidR="00E45B1A">
        <w:rPr>
          <w:shd w:val="clear" w:color="auto" w:fill="FFFFFF"/>
        </w:rPr>
        <w:t xml:space="preserve"> Telecommunications, the </w:t>
      </w:r>
      <w:r w:rsidR="00E03A7E">
        <w:rPr>
          <w:shd w:val="clear" w:color="auto" w:fill="FFFFFF"/>
        </w:rPr>
        <w:t>311 Customer Service Center</w:t>
      </w:r>
      <w:r w:rsidR="00E45B1A" w:rsidRPr="00E45B1A">
        <w:rPr>
          <w:shd w:val="clear" w:color="auto" w:fill="FFFFFF"/>
        </w:rPr>
        <w:t>, the New York City Housing Authority, and members of the public.</w:t>
      </w:r>
    </w:p>
    <w:p w14:paraId="08584366" w14:textId="1E8448D5" w:rsidR="00E45B1A" w:rsidRPr="006743BF" w:rsidRDefault="00045CD2" w:rsidP="00E45B1A">
      <w:pPr>
        <w:pStyle w:val="ListParagraph"/>
        <w:numPr>
          <w:ilvl w:val="0"/>
          <w:numId w:val="1"/>
        </w:numPr>
        <w:autoSpaceDE w:val="0"/>
        <w:autoSpaceDN w:val="0"/>
        <w:adjustRightInd w:val="0"/>
        <w:spacing w:line="480" w:lineRule="auto"/>
        <w:contextualSpacing w:val="0"/>
        <w:rPr>
          <w:rFonts w:eastAsia="MyriadPro-Regular"/>
          <w:b/>
          <w:smallCaps/>
          <w:u w:val="single"/>
        </w:rPr>
      </w:pPr>
      <w:r w:rsidRPr="006743BF">
        <w:rPr>
          <w:b/>
          <w:smallCaps/>
          <w:u w:val="single"/>
        </w:rPr>
        <w:t>Background</w:t>
      </w:r>
    </w:p>
    <w:p w14:paraId="4195F4B9" w14:textId="106996E9" w:rsidR="006743BF" w:rsidRDefault="00E45B1A" w:rsidP="006743BF">
      <w:pPr>
        <w:pStyle w:val="ListParagraph"/>
        <w:numPr>
          <w:ilvl w:val="1"/>
          <w:numId w:val="1"/>
        </w:numPr>
        <w:autoSpaceDE w:val="0"/>
        <w:autoSpaceDN w:val="0"/>
        <w:adjustRightInd w:val="0"/>
        <w:spacing w:line="480" w:lineRule="auto"/>
        <w:contextualSpacing w:val="0"/>
        <w:rPr>
          <w:rFonts w:eastAsia="MyriadPro-Regular"/>
          <w:b/>
          <w:i/>
        </w:rPr>
      </w:pPr>
      <w:r w:rsidRPr="00E45B1A">
        <w:rPr>
          <w:rFonts w:eastAsia="MyriadPro-Regular"/>
          <w:b/>
          <w:i/>
        </w:rPr>
        <w:t xml:space="preserve">311 </w:t>
      </w:r>
      <w:r w:rsidR="006743BF">
        <w:rPr>
          <w:rFonts w:eastAsia="MyriadPro-Regular"/>
          <w:b/>
          <w:i/>
        </w:rPr>
        <w:t>Overview</w:t>
      </w:r>
    </w:p>
    <w:p w14:paraId="6BFD8EA6" w14:textId="72227F5F" w:rsidR="00291BA4" w:rsidRDefault="00E03A7E" w:rsidP="00291BA4">
      <w:pPr>
        <w:autoSpaceDE w:val="0"/>
        <w:autoSpaceDN w:val="0"/>
        <w:adjustRightInd w:val="0"/>
        <w:spacing w:line="480" w:lineRule="auto"/>
        <w:ind w:firstLine="720"/>
        <w:jc w:val="both"/>
      </w:pPr>
      <w:r>
        <w:t>The 311 Customer Service Center</w:t>
      </w:r>
      <w:r w:rsidR="006743BF" w:rsidRPr="00176070">
        <w:t xml:space="preserve"> </w:t>
      </w:r>
      <w:r>
        <w:t>(</w:t>
      </w:r>
      <w:r w:rsidR="00986F56">
        <w:t>“</w:t>
      </w:r>
      <w:r>
        <w:t>311</w:t>
      </w:r>
      <w:r w:rsidR="00986F56">
        <w:t>”</w:t>
      </w:r>
      <w:r>
        <w:t xml:space="preserve">) </w:t>
      </w:r>
      <w:r w:rsidR="006743BF" w:rsidRPr="00176070">
        <w:t>is a citywide</w:t>
      </w:r>
      <w:r>
        <w:t xml:space="preserve"> customer service</w:t>
      </w:r>
      <w:r w:rsidR="006743BF" w:rsidRPr="00176070">
        <w:t xml:space="preserve"> </w:t>
      </w:r>
      <w:r w:rsidR="00986F56">
        <w:t>program</w:t>
      </w:r>
      <w:r w:rsidR="006743BF" w:rsidRPr="00176070">
        <w:t xml:space="preserve"> </w:t>
      </w:r>
      <w:r w:rsidRPr="00746D48">
        <w:t>that provides New York City residents, businesses</w:t>
      </w:r>
      <w:r>
        <w:t>,</w:t>
      </w:r>
      <w:r w:rsidRPr="00746D48">
        <w:t xml:space="preserve"> and visitors with access to non-emergency government services and information</w:t>
      </w:r>
      <w:r w:rsidR="006743BF" w:rsidRPr="00176070">
        <w:t>.</w:t>
      </w:r>
      <w:bookmarkStart w:id="1" w:name="_Ref1577674"/>
      <w:r w:rsidR="006743BF" w:rsidRPr="00176070">
        <w:rPr>
          <w:rStyle w:val="FootnoteReference"/>
        </w:rPr>
        <w:footnoteReference w:id="1"/>
      </w:r>
      <w:bookmarkEnd w:id="1"/>
      <w:r w:rsidR="006743BF" w:rsidRPr="00176070">
        <w:t xml:space="preserve"> The Department of Information Technology &amp; Te</w:t>
      </w:r>
      <w:r>
        <w:t xml:space="preserve">lecommunications (DoITT) manages 311’s operations </w:t>
      </w:r>
      <w:r w:rsidR="00986F56">
        <w:t>and technology</w:t>
      </w:r>
      <w:r w:rsidR="006743BF" w:rsidRPr="00176070">
        <w:t>.</w:t>
      </w:r>
      <w:bookmarkStart w:id="2" w:name="_Ref1578245"/>
      <w:r w:rsidR="006743BF" w:rsidRPr="00176070">
        <w:rPr>
          <w:rStyle w:val="FootnoteReference"/>
        </w:rPr>
        <w:footnoteReference w:id="2"/>
      </w:r>
      <w:bookmarkEnd w:id="2"/>
      <w:r w:rsidR="006743BF" w:rsidRPr="00176070">
        <w:t xml:space="preserve"> </w:t>
      </w:r>
      <w:r w:rsidR="002128BC">
        <w:t>311 is available 24 hours per day, seven days per</w:t>
      </w:r>
      <w:r w:rsidR="00986F56" w:rsidRPr="00746D48">
        <w:t xml:space="preserve"> week</w:t>
      </w:r>
      <w:r w:rsidR="002128BC">
        <w:t>, 365 days per</w:t>
      </w:r>
      <w:r w:rsidR="00986F56">
        <w:t xml:space="preserve"> year, and</w:t>
      </w:r>
      <w:r w:rsidR="00FE0782">
        <w:t xml:space="preserve"> can</w:t>
      </w:r>
      <w:r w:rsidR="00986F56">
        <w:t xml:space="preserve"> be accessed through </w:t>
      </w:r>
      <w:r w:rsidR="00986F56" w:rsidRPr="00746D48">
        <w:t>multiple channels</w:t>
      </w:r>
      <w:bookmarkStart w:id="3" w:name="_Ref27319997"/>
      <w:r w:rsidR="00986F56" w:rsidRPr="00746D48">
        <w:t xml:space="preserve">, including </w:t>
      </w:r>
      <w:r w:rsidR="00986F56">
        <w:t>via telephone</w:t>
      </w:r>
      <w:r w:rsidR="00FE0782">
        <w:t>, text message</w:t>
      </w:r>
      <w:r w:rsidR="00986F56" w:rsidRPr="00746D48">
        <w:t>,</w:t>
      </w:r>
      <w:r w:rsidR="00986F56">
        <w:t xml:space="preserve"> the web,</w:t>
      </w:r>
      <w:r w:rsidR="00986F56" w:rsidRPr="00746D48">
        <w:t xml:space="preserve"> mobile application, and social media.</w:t>
      </w:r>
      <w:bookmarkEnd w:id="3"/>
      <w:r w:rsidR="00121308" w:rsidRPr="001F2688">
        <w:rPr>
          <w:rStyle w:val="FootnoteReference"/>
        </w:rPr>
        <w:footnoteReference w:id="3"/>
      </w:r>
      <w:r w:rsidR="00121308">
        <w:t xml:space="preserve"> </w:t>
      </w:r>
    </w:p>
    <w:p w14:paraId="139F503C" w14:textId="7DFC335E" w:rsidR="00435AB9" w:rsidRDefault="00986F56" w:rsidP="00435AB9">
      <w:pPr>
        <w:autoSpaceDE w:val="0"/>
        <w:autoSpaceDN w:val="0"/>
        <w:adjustRightInd w:val="0"/>
        <w:spacing w:line="480" w:lineRule="auto"/>
        <w:ind w:firstLine="720"/>
        <w:jc w:val="both"/>
      </w:pPr>
      <w:r>
        <w:t>In Fiscal Year 2021</w:t>
      </w:r>
      <w:r w:rsidR="00121308">
        <w:t xml:space="preserve"> (“FY21”)</w:t>
      </w:r>
      <w:r>
        <w:t>, 311 received more than 21.7</w:t>
      </w:r>
      <w:r w:rsidRPr="001F2688">
        <w:t xml:space="preserve"> million calls, up from</w:t>
      </w:r>
      <w:r>
        <w:t xml:space="preserve"> 21</w:t>
      </w:r>
      <w:r w:rsidRPr="00746D48">
        <w:t>.5 million in F</w:t>
      </w:r>
      <w:r>
        <w:t>iscal Year 2020</w:t>
      </w:r>
      <w:r w:rsidR="00121308">
        <w:t xml:space="preserve"> (“FY20”)</w:t>
      </w:r>
      <w:r w:rsidRPr="00746D48">
        <w:t>.</w:t>
      </w:r>
      <w:r w:rsidR="00121308">
        <w:rPr>
          <w:rStyle w:val="FootnoteReference"/>
        </w:rPr>
        <w:footnoteReference w:id="4"/>
      </w:r>
      <w:r w:rsidRPr="001F2688">
        <w:t xml:space="preserve"> Online site visits increased from 10.5 million in FY20 to 13.4 million in FY21.</w:t>
      </w:r>
      <w:r w:rsidRPr="001F2688">
        <w:rPr>
          <w:rStyle w:val="FootnoteReference"/>
        </w:rPr>
        <w:footnoteReference w:id="5"/>
      </w:r>
      <w:r w:rsidRPr="001F2688">
        <w:t xml:space="preserve"> </w:t>
      </w:r>
      <w:r w:rsidR="00B111C0">
        <w:t>When a customer contacts 311, the contact</w:t>
      </w:r>
      <w:r w:rsidR="00FE0782" w:rsidRPr="00176070">
        <w:t xml:space="preserve"> generally </w:t>
      </w:r>
      <w:r w:rsidR="00B111C0">
        <w:t>results in</w:t>
      </w:r>
      <w:r w:rsidR="00FE0782">
        <w:t xml:space="preserve"> either a </w:t>
      </w:r>
      <w:r w:rsidR="00121308">
        <w:t>“</w:t>
      </w:r>
      <w:r w:rsidR="00FE0782">
        <w:t>service request</w:t>
      </w:r>
      <w:r w:rsidR="00121308">
        <w:t>”</w:t>
      </w:r>
      <w:r w:rsidR="00FE0782">
        <w:t xml:space="preserve"> (</w:t>
      </w:r>
      <w:r w:rsidR="00FE0782" w:rsidRPr="00176070">
        <w:t>when the customer is seeking a</w:t>
      </w:r>
      <w:r w:rsidR="00FE0782">
        <w:t xml:space="preserve"> </w:t>
      </w:r>
      <w:r w:rsidR="00E01550">
        <w:t xml:space="preserve">city </w:t>
      </w:r>
      <w:r w:rsidR="00FE0782">
        <w:t xml:space="preserve">agency to take an action) or an </w:t>
      </w:r>
      <w:r w:rsidR="00121308">
        <w:t>“</w:t>
      </w:r>
      <w:r w:rsidR="00FE0782">
        <w:t>informational request</w:t>
      </w:r>
      <w:r w:rsidR="00121308">
        <w:t>”</w:t>
      </w:r>
      <w:r w:rsidR="00FE0782">
        <w:t xml:space="preserve"> (</w:t>
      </w:r>
      <w:r w:rsidR="00FE0782" w:rsidRPr="00176070">
        <w:t xml:space="preserve">when the customer has a question regarding a </w:t>
      </w:r>
      <w:r w:rsidR="00E01550">
        <w:t>c</w:t>
      </w:r>
      <w:r w:rsidR="00E01550" w:rsidRPr="00176070">
        <w:t xml:space="preserve">ity </w:t>
      </w:r>
      <w:r w:rsidR="00FE0782" w:rsidRPr="00176070">
        <w:t>service</w:t>
      </w:r>
      <w:r w:rsidR="00FE0782">
        <w:t>)</w:t>
      </w:r>
      <w:r w:rsidR="00FE0782" w:rsidRPr="00176070">
        <w:t>.</w:t>
      </w:r>
      <w:r w:rsidR="00FE0782">
        <w:t xml:space="preserve"> </w:t>
      </w:r>
      <w:r w:rsidR="002128BC">
        <w:t xml:space="preserve">In total, </w:t>
      </w:r>
      <w:r w:rsidR="00FE0782">
        <w:t xml:space="preserve">311 processed </w:t>
      </w:r>
      <w:r w:rsidR="00291BA4">
        <w:t>3.4 million service requests in FY21, up from 2.9 million in FY20.</w:t>
      </w:r>
      <w:r w:rsidR="00A04E92">
        <w:rPr>
          <w:rStyle w:val="FootnoteReference"/>
        </w:rPr>
        <w:footnoteReference w:id="6"/>
      </w:r>
    </w:p>
    <w:p w14:paraId="39406578" w14:textId="7D200AF6" w:rsidR="00FC372D" w:rsidRDefault="00FC372D" w:rsidP="00FC372D">
      <w:pPr>
        <w:autoSpaceDE w:val="0"/>
        <w:autoSpaceDN w:val="0"/>
        <w:adjustRightInd w:val="0"/>
        <w:spacing w:after="240" w:line="480" w:lineRule="auto"/>
        <w:ind w:firstLine="720"/>
        <w:jc w:val="both"/>
      </w:pPr>
      <w:r w:rsidRPr="00FC372D">
        <w:t xml:space="preserve">Figure No. 1 shows 311 </w:t>
      </w:r>
      <w:r w:rsidR="001A10C9">
        <w:t>usage data</w:t>
      </w:r>
      <w:r w:rsidRPr="00FC372D">
        <w:t>, including the number of requests through calls, mobile app contacts, texting contacts, and online site visits; the number of completed service requests, and the number of knowledge articles</w:t>
      </w:r>
      <w:r>
        <w:t xml:space="preserve"> accessed</w:t>
      </w:r>
      <w:r w:rsidR="00A53036">
        <w:t>.</w:t>
      </w:r>
      <w:r w:rsidR="00A53036" w:rsidRPr="00A53036">
        <w:rPr>
          <w:rStyle w:val="FootnoteReference"/>
        </w:rPr>
        <w:t xml:space="preserve"> </w:t>
      </w:r>
      <w:r w:rsidR="00A53036">
        <w:rPr>
          <w:rStyle w:val="FootnoteReference"/>
        </w:rPr>
        <w:footnoteReference w:id="7"/>
      </w:r>
    </w:p>
    <w:p w14:paraId="5151772D" w14:textId="51687D72" w:rsidR="00751E9E" w:rsidRDefault="00751E9E" w:rsidP="00FC372D">
      <w:pPr>
        <w:autoSpaceDE w:val="0"/>
        <w:autoSpaceDN w:val="0"/>
        <w:adjustRightInd w:val="0"/>
        <w:spacing w:after="240" w:line="480" w:lineRule="auto"/>
        <w:ind w:firstLine="720"/>
        <w:jc w:val="both"/>
      </w:pPr>
    </w:p>
    <w:p w14:paraId="30A16032" w14:textId="1F75D0CA" w:rsidR="00751E9E" w:rsidRDefault="00751E9E" w:rsidP="00FC372D">
      <w:pPr>
        <w:autoSpaceDE w:val="0"/>
        <w:autoSpaceDN w:val="0"/>
        <w:adjustRightInd w:val="0"/>
        <w:spacing w:after="240" w:line="480" w:lineRule="auto"/>
        <w:ind w:firstLine="720"/>
        <w:jc w:val="both"/>
      </w:pPr>
    </w:p>
    <w:p w14:paraId="037256CD" w14:textId="0A3AA5C1" w:rsidR="00751E9E" w:rsidRDefault="00751E9E" w:rsidP="00FC372D">
      <w:pPr>
        <w:autoSpaceDE w:val="0"/>
        <w:autoSpaceDN w:val="0"/>
        <w:adjustRightInd w:val="0"/>
        <w:spacing w:after="240" w:line="480" w:lineRule="auto"/>
        <w:ind w:firstLine="720"/>
        <w:jc w:val="both"/>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831"/>
        <w:gridCol w:w="810"/>
        <w:gridCol w:w="810"/>
        <w:gridCol w:w="938"/>
        <w:gridCol w:w="931"/>
      </w:tblGrid>
      <w:tr w:rsidR="00CB424A" w:rsidRPr="00354BAE" w14:paraId="5621B9A1" w14:textId="6AF9CC6F" w:rsidTr="00A53036">
        <w:trPr>
          <w:trHeight w:val="423"/>
          <w:jc w:val="center"/>
        </w:trPr>
        <w:tc>
          <w:tcPr>
            <w:tcW w:w="4315" w:type="dxa"/>
            <w:shd w:val="clear" w:color="auto" w:fill="D9D9D9" w:themeFill="background1" w:themeFillShade="D9"/>
            <w:tcMar>
              <w:top w:w="20" w:type="dxa"/>
              <w:left w:w="20" w:type="dxa"/>
              <w:bottom w:w="100" w:type="dxa"/>
              <w:right w:w="20" w:type="dxa"/>
            </w:tcMar>
            <w:vAlign w:val="bottom"/>
            <w:hideMark/>
          </w:tcPr>
          <w:p w14:paraId="062E618B" w14:textId="61187A81" w:rsidR="00CB424A" w:rsidRPr="00354BAE" w:rsidRDefault="001A10C9" w:rsidP="00CB424A">
            <w:pPr>
              <w:pStyle w:val="NormalWeb"/>
            </w:pPr>
            <w:r>
              <w:rPr>
                <w:b/>
                <w:bCs/>
              </w:rPr>
              <w:t>Usage Data</w:t>
            </w:r>
            <w:r w:rsidR="00CB424A" w:rsidRPr="00354BAE">
              <w:rPr>
                <w:b/>
                <w:bCs/>
              </w:rPr>
              <w:t xml:space="preserve"> (000)</w:t>
            </w:r>
          </w:p>
        </w:tc>
        <w:tc>
          <w:tcPr>
            <w:tcW w:w="831" w:type="dxa"/>
            <w:shd w:val="clear" w:color="auto" w:fill="D9D9D9" w:themeFill="background1" w:themeFillShade="D9"/>
            <w:tcMar>
              <w:top w:w="20" w:type="dxa"/>
              <w:left w:w="20" w:type="dxa"/>
              <w:bottom w:w="100" w:type="dxa"/>
              <w:right w:w="20" w:type="dxa"/>
            </w:tcMar>
            <w:vAlign w:val="bottom"/>
            <w:hideMark/>
          </w:tcPr>
          <w:p w14:paraId="3C60D6F5" w14:textId="77777777" w:rsidR="00CB424A" w:rsidRPr="00354BAE" w:rsidRDefault="00CB424A" w:rsidP="00CB424A">
            <w:pPr>
              <w:pStyle w:val="NormalWeb"/>
            </w:pPr>
            <w:r w:rsidRPr="00354BAE">
              <w:rPr>
                <w:b/>
                <w:bCs/>
              </w:rPr>
              <w:t>FY17</w:t>
            </w:r>
          </w:p>
        </w:tc>
        <w:tc>
          <w:tcPr>
            <w:tcW w:w="810" w:type="dxa"/>
            <w:shd w:val="clear" w:color="auto" w:fill="D9D9D9" w:themeFill="background1" w:themeFillShade="D9"/>
            <w:tcMar>
              <w:top w:w="20" w:type="dxa"/>
              <w:left w:w="20" w:type="dxa"/>
              <w:bottom w:w="100" w:type="dxa"/>
              <w:right w:w="20" w:type="dxa"/>
            </w:tcMar>
            <w:vAlign w:val="bottom"/>
            <w:hideMark/>
          </w:tcPr>
          <w:p w14:paraId="6A233717" w14:textId="77777777" w:rsidR="00CB424A" w:rsidRPr="00354BAE" w:rsidRDefault="00CB424A" w:rsidP="00CB424A">
            <w:pPr>
              <w:pStyle w:val="NormalWeb"/>
              <w:ind w:left="9" w:firstLine="13"/>
            </w:pPr>
            <w:r w:rsidRPr="00354BAE">
              <w:rPr>
                <w:b/>
                <w:bCs/>
              </w:rPr>
              <w:t>FY18</w:t>
            </w:r>
          </w:p>
        </w:tc>
        <w:tc>
          <w:tcPr>
            <w:tcW w:w="810" w:type="dxa"/>
            <w:shd w:val="clear" w:color="auto" w:fill="D9D9D9" w:themeFill="background1" w:themeFillShade="D9"/>
            <w:tcMar>
              <w:top w:w="20" w:type="dxa"/>
              <w:left w:w="20" w:type="dxa"/>
              <w:bottom w:w="100" w:type="dxa"/>
              <w:right w:w="20" w:type="dxa"/>
            </w:tcMar>
            <w:vAlign w:val="bottom"/>
            <w:hideMark/>
          </w:tcPr>
          <w:p w14:paraId="64054F23" w14:textId="77777777" w:rsidR="00CB424A" w:rsidRPr="00354BAE" w:rsidRDefault="00CB424A" w:rsidP="00CB424A">
            <w:pPr>
              <w:pStyle w:val="NormalWeb"/>
            </w:pPr>
            <w:r w:rsidRPr="00354BAE">
              <w:rPr>
                <w:b/>
                <w:bCs/>
              </w:rPr>
              <w:t>FY19</w:t>
            </w:r>
          </w:p>
        </w:tc>
        <w:tc>
          <w:tcPr>
            <w:tcW w:w="938" w:type="dxa"/>
            <w:shd w:val="clear" w:color="auto" w:fill="D9D9D9" w:themeFill="background1" w:themeFillShade="D9"/>
            <w:tcMar>
              <w:top w:w="20" w:type="dxa"/>
              <w:left w:w="20" w:type="dxa"/>
              <w:bottom w:w="100" w:type="dxa"/>
              <w:right w:w="20" w:type="dxa"/>
            </w:tcMar>
            <w:vAlign w:val="bottom"/>
            <w:hideMark/>
          </w:tcPr>
          <w:p w14:paraId="3AB9CD21" w14:textId="77777777" w:rsidR="00CB424A" w:rsidRPr="00354BAE" w:rsidRDefault="00CB424A" w:rsidP="00CB424A">
            <w:pPr>
              <w:pStyle w:val="NormalWeb"/>
            </w:pPr>
            <w:r w:rsidRPr="00354BAE">
              <w:rPr>
                <w:b/>
                <w:bCs/>
              </w:rPr>
              <w:t>FY20</w:t>
            </w:r>
          </w:p>
        </w:tc>
        <w:tc>
          <w:tcPr>
            <w:tcW w:w="931" w:type="dxa"/>
            <w:shd w:val="clear" w:color="auto" w:fill="D9D9D9" w:themeFill="background1" w:themeFillShade="D9"/>
            <w:tcMar>
              <w:top w:w="20" w:type="dxa"/>
              <w:left w:w="20" w:type="dxa"/>
              <w:bottom w:w="100" w:type="dxa"/>
              <w:right w:w="20" w:type="dxa"/>
            </w:tcMar>
            <w:vAlign w:val="bottom"/>
            <w:hideMark/>
          </w:tcPr>
          <w:p w14:paraId="04FF358C" w14:textId="77777777" w:rsidR="00CB424A" w:rsidRPr="00354BAE" w:rsidRDefault="00CB424A" w:rsidP="00CB424A">
            <w:pPr>
              <w:pStyle w:val="NormalWeb"/>
              <w:tabs>
                <w:tab w:val="left" w:pos="213"/>
              </w:tabs>
              <w:ind w:left="12" w:right="-182" w:hanging="12"/>
            </w:pPr>
            <w:r w:rsidRPr="00354BAE">
              <w:rPr>
                <w:b/>
                <w:bCs/>
              </w:rPr>
              <w:t>FY21</w:t>
            </w:r>
          </w:p>
        </w:tc>
      </w:tr>
      <w:tr w:rsidR="00CB424A" w:rsidRPr="00354BAE" w14:paraId="64A0D489" w14:textId="77102569" w:rsidTr="00A53036">
        <w:trPr>
          <w:trHeight w:val="423"/>
          <w:jc w:val="center"/>
        </w:trPr>
        <w:tc>
          <w:tcPr>
            <w:tcW w:w="4315" w:type="dxa"/>
            <w:tcMar>
              <w:top w:w="20" w:type="dxa"/>
              <w:left w:w="20" w:type="dxa"/>
              <w:bottom w:w="100" w:type="dxa"/>
              <w:right w:w="20" w:type="dxa"/>
            </w:tcMar>
            <w:vAlign w:val="bottom"/>
            <w:hideMark/>
          </w:tcPr>
          <w:p w14:paraId="66DB4A60" w14:textId="77777777" w:rsidR="00CB424A" w:rsidRPr="00354BAE" w:rsidRDefault="00CB424A" w:rsidP="00CB424A">
            <w:pPr>
              <w:pStyle w:val="NormalWeb"/>
            </w:pPr>
            <w:r w:rsidRPr="00354BAE">
              <w:t>311 calls</w:t>
            </w:r>
          </w:p>
        </w:tc>
        <w:tc>
          <w:tcPr>
            <w:tcW w:w="831" w:type="dxa"/>
            <w:tcMar>
              <w:top w:w="20" w:type="dxa"/>
              <w:left w:w="20" w:type="dxa"/>
              <w:bottom w:w="100" w:type="dxa"/>
              <w:right w:w="20" w:type="dxa"/>
            </w:tcMar>
            <w:vAlign w:val="bottom"/>
            <w:hideMark/>
          </w:tcPr>
          <w:p w14:paraId="05C12C81" w14:textId="77777777" w:rsidR="00CB424A" w:rsidRPr="00354BAE" w:rsidRDefault="00CB424A" w:rsidP="00CB424A">
            <w:pPr>
              <w:pStyle w:val="NormalWeb"/>
            </w:pPr>
            <w:r w:rsidRPr="00354BAE">
              <w:t>20,540</w:t>
            </w:r>
          </w:p>
        </w:tc>
        <w:tc>
          <w:tcPr>
            <w:tcW w:w="810" w:type="dxa"/>
            <w:tcMar>
              <w:top w:w="20" w:type="dxa"/>
              <w:left w:w="20" w:type="dxa"/>
              <w:bottom w:w="100" w:type="dxa"/>
              <w:right w:w="20" w:type="dxa"/>
            </w:tcMar>
            <w:vAlign w:val="bottom"/>
            <w:hideMark/>
          </w:tcPr>
          <w:p w14:paraId="5ED50C5B" w14:textId="77777777" w:rsidR="00CB424A" w:rsidRPr="00354BAE" w:rsidRDefault="00CB424A" w:rsidP="00CB424A">
            <w:pPr>
              <w:pStyle w:val="NormalWeb"/>
            </w:pPr>
            <w:r w:rsidRPr="00354BAE">
              <w:t>20,618</w:t>
            </w:r>
          </w:p>
        </w:tc>
        <w:tc>
          <w:tcPr>
            <w:tcW w:w="810" w:type="dxa"/>
            <w:tcMar>
              <w:top w:w="20" w:type="dxa"/>
              <w:left w:w="20" w:type="dxa"/>
              <w:bottom w:w="100" w:type="dxa"/>
              <w:right w:w="20" w:type="dxa"/>
            </w:tcMar>
            <w:vAlign w:val="bottom"/>
            <w:hideMark/>
          </w:tcPr>
          <w:p w14:paraId="2E47E171" w14:textId="77777777" w:rsidR="00CB424A" w:rsidRPr="00354BAE" w:rsidRDefault="00CB424A" w:rsidP="00CB424A">
            <w:pPr>
              <w:pStyle w:val="NormalWeb"/>
            </w:pPr>
            <w:r w:rsidRPr="00354BAE">
              <w:t>19,541</w:t>
            </w:r>
          </w:p>
        </w:tc>
        <w:tc>
          <w:tcPr>
            <w:tcW w:w="938" w:type="dxa"/>
            <w:tcMar>
              <w:top w:w="20" w:type="dxa"/>
              <w:left w:w="20" w:type="dxa"/>
              <w:bottom w:w="100" w:type="dxa"/>
              <w:right w:w="20" w:type="dxa"/>
            </w:tcMar>
            <w:vAlign w:val="bottom"/>
            <w:hideMark/>
          </w:tcPr>
          <w:p w14:paraId="16A0727C" w14:textId="77777777" w:rsidR="00CB424A" w:rsidRPr="00354BAE" w:rsidRDefault="00CB424A" w:rsidP="00CB424A">
            <w:pPr>
              <w:pStyle w:val="NormalWeb"/>
            </w:pPr>
            <w:r w:rsidRPr="00354BAE">
              <w:t>21,515</w:t>
            </w:r>
          </w:p>
        </w:tc>
        <w:tc>
          <w:tcPr>
            <w:tcW w:w="931" w:type="dxa"/>
            <w:tcMar>
              <w:top w:w="20" w:type="dxa"/>
              <w:left w:w="20" w:type="dxa"/>
              <w:bottom w:w="100" w:type="dxa"/>
              <w:right w:w="20" w:type="dxa"/>
            </w:tcMar>
            <w:vAlign w:val="bottom"/>
            <w:hideMark/>
          </w:tcPr>
          <w:p w14:paraId="2454CEFF" w14:textId="77777777" w:rsidR="00CB424A" w:rsidRPr="00354BAE" w:rsidRDefault="00CB424A" w:rsidP="00CB424A">
            <w:pPr>
              <w:pStyle w:val="NormalWeb"/>
            </w:pPr>
            <w:r w:rsidRPr="00354BAE">
              <w:t>21,715</w:t>
            </w:r>
          </w:p>
        </w:tc>
      </w:tr>
      <w:tr w:rsidR="00CB424A" w:rsidRPr="00354BAE" w14:paraId="229DD422" w14:textId="385CB914" w:rsidTr="00A53036">
        <w:trPr>
          <w:trHeight w:val="423"/>
          <w:jc w:val="center"/>
        </w:trPr>
        <w:tc>
          <w:tcPr>
            <w:tcW w:w="4315" w:type="dxa"/>
            <w:tcMar>
              <w:top w:w="20" w:type="dxa"/>
              <w:left w:w="20" w:type="dxa"/>
              <w:bottom w:w="100" w:type="dxa"/>
              <w:right w:w="20" w:type="dxa"/>
            </w:tcMar>
            <w:vAlign w:val="bottom"/>
            <w:hideMark/>
          </w:tcPr>
          <w:p w14:paraId="09067546" w14:textId="77777777" w:rsidR="00CB424A" w:rsidRPr="00354BAE" w:rsidRDefault="00CB424A" w:rsidP="00CB424A">
            <w:pPr>
              <w:pStyle w:val="NormalWeb"/>
            </w:pPr>
            <w:r w:rsidRPr="00354BAE">
              <w:t>311 Spanish language calls</w:t>
            </w:r>
          </w:p>
        </w:tc>
        <w:tc>
          <w:tcPr>
            <w:tcW w:w="831" w:type="dxa"/>
            <w:tcMar>
              <w:top w:w="20" w:type="dxa"/>
              <w:left w:w="20" w:type="dxa"/>
              <w:bottom w:w="100" w:type="dxa"/>
              <w:right w:w="20" w:type="dxa"/>
            </w:tcMar>
            <w:vAlign w:val="bottom"/>
            <w:hideMark/>
          </w:tcPr>
          <w:p w14:paraId="57CDA850" w14:textId="77777777" w:rsidR="00CB424A" w:rsidRPr="00354BAE" w:rsidRDefault="00CB424A" w:rsidP="00CB424A">
            <w:pPr>
              <w:pStyle w:val="NormalWeb"/>
            </w:pPr>
            <w:r w:rsidRPr="00354BAE">
              <w:t>698</w:t>
            </w:r>
          </w:p>
        </w:tc>
        <w:tc>
          <w:tcPr>
            <w:tcW w:w="810" w:type="dxa"/>
            <w:tcMar>
              <w:top w:w="20" w:type="dxa"/>
              <w:left w:w="20" w:type="dxa"/>
              <w:bottom w:w="100" w:type="dxa"/>
              <w:right w:w="20" w:type="dxa"/>
            </w:tcMar>
            <w:vAlign w:val="bottom"/>
            <w:hideMark/>
          </w:tcPr>
          <w:p w14:paraId="07BEF383" w14:textId="77777777" w:rsidR="00CB424A" w:rsidRPr="00354BAE" w:rsidRDefault="00CB424A" w:rsidP="00CB424A">
            <w:pPr>
              <w:pStyle w:val="NormalWeb"/>
            </w:pPr>
            <w:r w:rsidRPr="00354BAE">
              <w:t>733</w:t>
            </w:r>
          </w:p>
        </w:tc>
        <w:tc>
          <w:tcPr>
            <w:tcW w:w="810" w:type="dxa"/>
            <w:tcMar>
              <w:top w:w="20" w:type="dxa"/>
              <w:left w:w="20" w:type="dxa"/>
              <w:bottom w:w="100" w:type="dxa"/>
              <w:right w:w="20" w:type="dxa"/>
            </w:tcMar>
            <w:vAlign w:val="bottom"/>
            <w:hideMark/>
          </w:tcPr>
          <w:p w14:paraId="43909206" w14:textId="77777777" w:rsidR="00CB424A" w:rsidRPr="00354BAE" w:rsidRDefault="00CB424A" w:rsidP="00CB424A">
            <w:pPr>
              <w:pStyle w:val="NormalWeb"/>
            </w:pPr>
            <w:r w:rsidRPr="00354BAE">
              <w:t>714</w:t>
            </w:r>
          </w:p>
        </w:tc>
        <w:tc>
          <w:tcPr>
            <w:tcW w:w="938" w:type="dxa"/>
            <w:tcMar>
              <w:top w:w="20" w:type="dxa"/>
              <w:left w:w="20" w:type="dxa"/>
              <w:bottom w:w="100" w:type="dxa"/>
              <w:right w:w="20" w:type="dxa"/>
            </w:tcMar>
            <w:vAlign w:val="bottom"/>
            <w:hideMark/>
          </w:tcPr>
          <w:p w14:paraId="1C3EDB2E" w14:textId="77777777" w:rsidR="00CB424A" w:rsidRPr="00354BAE" w:rsidRDefault="00CB424A" w:rsidP="00CB424A">
            <w:pPr>
              <w:pStyle w:val="NormalWeb"/>
            </w:pPr>
            <w:r w:rsidRPr="00354BAE">
              <w:t>897</w:t>
            </w:r>
          </w:p>
        </w:tc>
        <w:tc>
          <w:tcPr>
            <w:tcW w:w="931" w:type="dxa"/>
            <w:tcMar>
              <w:top w:w="20" w:type="dxa"/>
              <w:left w:w="20" w:type="dxa"/>
              <w:bottom w:w="100" w:type="dxa"/>
              <w:right w:w="20" w:type="dxa"/>
            </w:tcMar>
            <w:vAlign w:val="bottom"/>
            <w:hideMark/>
          </w:tcPr>
          <w:p w14:paraId="326B35E0" w14:textId="77777777" w:rsidR="00CB424A" w:rsidRPr="00354BAE" w:rsidRDefault="00CB424A" w:rsidP="00CB424A">
            <w:pPr>
              <w:pStyle w:val="NormalWeb"/>
            </w:pPr>
            <w:r w:rsidRPr="00354BAE">
              <w:t>648</w:t>
            </w:r>
          </w:p>
        </w:tc>
      </w:tr>
      <w:tr w:rsidR="00CB424A" w:rsidRPr="00354BAE" w14:paraId="576D7BB5" w14:textId="07B5849D" w:rsidTr="00A53036">
        <w:trPr>
          <w:trHeight w:val="423"/>
          <w:jc w:val="center"/>
        </w:trPr>
        <w:tc>
          <w:tcPr>
            <w:tcW w:w="4315" w:type="dxa"/>
            <w:tcMar>
              <w:top w:w="20" w:type="dxa"/>
              <w:left w:w="20" w:type="dxa"/>
              <w:bottom w:w="100" w:type="dxa"/>
              <w:right w:w="20" w:type="dxa"/>
            </w:tcMar>
            <w:vAlign w:val="bottom"/>
            <w:hideMark/>
          </w:tcPr>
          <w:p w14:paraId="1BDFE748" w14:textId="77777777" w:rsidR="00CB424A" w:rsidRPr="00354BAE" w:rsidRDefault="00CB424A" w:rsidP="00CB424A">
            <w:pPr>
              <w:pStyle w:val="NormalWeb"/>
            </w:pPr>
            <w:r w:rsidRPr="00354BAE">
              <w:t>311 calls in languages other than English or Spanish</w:t>
            </w:r>
          </w:p>
        </w:tc>
        <w:tc>
          <w:tcPr>
            <w:tcW w:w="831" w:type="dxa"/>
            <w:tcMar>
              <w:top w:w="20" w:type="dxa"/>
              <w:left w:w="20" w:type="dxa"/>
              <w:bottom w:w="100" w:type="dxa"/>
              <w:right w:w="20" w:type="dxa"/>
            </w:tcMar>
            <w:vAlign w:val="bottom"/>
            <w:hideMark/>
          </w:tcPr>
          <w:p w14:paraId="77B88135" w14:textId="77777777" w:rsidR="00CB424A" w:rsidRPr="00354BAE" w:rsidRDefault="00CB424A" w:rsidP="00CB424A">
            <w:pPr>
              <w:pStyle w:val="NormalWeb"/>
            </w:pPr>
            <w:r w:rsidRPr="00354BAE">
              <w:t>71</w:t>
            </w:r>
          </w:p>
        </w:tc>
        <w:tc>
          <w:tcPr>
            <w:tcW w:w="810" w:type="dxa"/>
            <w:tcMar>
              <w:top w:w="20" w:type="dxa"/>
              <w:left w:w="20" w:type="dxa"/>
              <w:bottom w:w="100" w:type="dxa"/>
              <w:right w:w="20" w:type="dxa"/>
            </w:tcMar>
            <w:vAlign w:val="bottom"/>
            <w:hideMark/>
          </w:tcPr>
          <w:p w14:paraId="7C41B61A" w14:textId="77777777" w:rsidR="00CB424A" w:rsidRPr="00354BAE" w:rsidRDefault="00CB424A" w:rsidP="00CB424A">
            <w:pPr>
              <w:pStyle w:val="NormalWeb"/>
            </w:pPr>
            <w:r w:rsidRPr="00354BAE">
              <w:t>65</w:t>
            </w:r>
          </w:p>
        </w:tc>
        <w:tc>
          <w:tcPr>
            <w:tcW w:w="810" w:type="dxa"/>
            <w:tcMar>
              <w:top w:w="20" w:type="dxa"/>
              <w:left w:w="20" w:type="dxa"/>
              <w:bottom w:w="100" w:type="dxa"/>
              <w:right w:w="20" w:type="dxa"/>
            </w:tcMar>
            <w:vAlign w:val="bottom"/>
            <w:hideMark/>
          </w:tcPr>
          <w:p w14:paraId="7FF3FA5A" w14:textId="77777777" w:rsidR="00CB424A" w:rsidRPr="00354BAE" w:rsidRDefault="00CB424A" w:rsidP="00CB424A">
            <w:pPr>
              <w:pStyle w:val="NormalWeb"/>
            </w:pPr>
            <w:r w:rsidRPr="00354BAE">
              <w:t>60</w:t>
            </w:r>
          </w:p>
        </w:tc>
        <w:tc>
          <w:tcPr>
            <w:tcW w:w="938" w:type="dxa"/>
            <w:tcMar>
              <w:top w:w="20" w:type="dxa"/>
              <w:left w:w="20" w:type="dxa"/>
              <w:bottom w:w="100" w:type="dxa"/>
              <w:right w:w="20" w:type="dxa"/>
            </w:tcMar>
            <w:vAlign w:val="bottom"/>
            <w:hideMark/>
          </w:tcPr>
          <w:p w14:paraId="4DD85916" w14:textId="77777777" w:rsidR="00CB424A" w:rsidRPr="00354BAE" w:rsidRDefault="00CB424A" w:rsidP="00CB424A">
            <w:pPr>
              <w:pStyle w:val="NormalWeb"/>
            </w:pPr>
            <w:r w:rsidRPr="00354BAE">
              <w:t>81</w:t>
            </w:r>
          </w:p>
        </w:tc>
        <w:tc>
          <w:tcPr>
            <w:tcW w:w="931" w:type="dxa"/>
            <w:tcMar>
              <w:top w:w="20" w:type="dxa"/>
              <w:left w:w="20" w:type="dxa"/>
              <w:bottom w:w="100" w:type="dxa"/>
              <w:right w:w="20" w:type="dxa"/>
            </w:tcMar>
            <w:vAlign w:val="bottom"/>
            <w:hideMark/>
          </w:tcPr>
          <w:p w14:paraId="7FDE8DB6" w14:textId="77777777" w:rsidR="00CB424A" w:rsidRPr="00354BAE" w:rsidRDefault="00CB424A" w:rsidP="00CB424A">
            <w:pPr>
              <w:pStyle w:val="NormalWeb"/>
            </w:pPr>
            <w:r w:rsidRPr="00354BAE">
              <w:t>112</w:t>
            </w:r>
          </w:p>
        </w:tc>
      </w:tr>
      <w:tr w:rsidR="00CB424A" w:rsidRPr="00354BAE" w14:paraId="798B5449" w14:textId="61C4A172" w:rsidTr="00A53036">
        <w:trPr>
          <w:trHeight w:val="423"/>
          <w:jc w:val="center"/>
        </w:trPr>
        <w:tc>
          <w:tcPr>
            <w:tcW w:w="4315" w:type="dxa"/>
            <w:tcMar>
              <w:top w:w="20" w:type="dxa"/>
              <w:left w:w="20" w:type="dxa"/>
              <w:bottom w:w="100" w:type="dxa"/>
              <w:right w:w="20" w:type="dxa"/>
            </w:tcMar>
            <w:vAlign w:val="bottom"/>
            <w:hideMark/>
          </w:tcPr>
          <w:p w14:paraId="1E2FBC9A" w14:textId="77777777" w:rsidR="00CB424A" w:rsidRPr="00354BAE" w:rsidRDefault="00CB424A" w:rsidP="00CB424A">
            <w:pPr>
              <w:pStyle w:val="NormalWeb"/>
            </w:pPr>
            <w:r w:rsidRPr="00354BAE">
              <w:t>311 mobile app contacts</w:t>
            </w:r>
          </w:p>
        </w:tc>
        <w:tc>
          <w:tcPr>
            <w:tcW w:w="831" w:type="dxa"/>
            <w:tcMar>
              <w:top w:w="20" w:type="dxa"/>
              <w:left w:w="20" w:type="dxa"/>
              <w:bottom w:w="100" w:type="dxa"/>
              <w:right w:w="20" w:type="dxa"/>
            </w:tcMar>
            <w:vAlign w:val="bottom"/>
            <w:hideMark/>
          </w:tcPr>
          <w:p w14:paraId="28631E5D" w14:textId="77777777" w:rsidR="00CB424A" w:rsidRPr="00354BAE" w:rsidRDefault="00CB424A" w:rsidP="00CB424A">
            <w:pPr>
              <w:pStyle w:val="NormalWeb"/>
            </w:pPr>
            <w:r w:rsidRPr="00354BAE">
              <w:t>1,365</w:t>
            </w:r>
          </w:p>
        </w:tc>
        <w:tc>
          <w:tcPr>
            <w:tcW w:w="810" w:type="dxa"/>
            <w:tcMar>
              <w:top w:w="20" w:type="dxa"/>
              <w:left w:w="20" w:type="dxa"/>
              <w:bottom w:w="100" w:type="dxa"/>
              <w:right w:w="20" w:type="dxa"/>
            </w:tcMar>
            <w:vAlign w:val="bottom"/>
            <w:hideMark/>
          </w:tcPr>
          <w:p w14:paraId="7D909505" w14:textId="77777777" w:rsidR="00CB424A" w:rsidRPr="00354BAE" w:rsidRDefault="00CB424A" w:rsidP="00CB424A">
            <w:pPr>
              <w:pStyle w:val="NormalWeb"/>
            </w:pPr>
            <w:r w:rsidRPr="00354BAE">
              <w:t>1,829</w:t>
            </w:r>
          </w:p>
        </w:tc>
        <w:tc>
          <w:tcPr>
            <w:tcW w:w="810" w:type="dxa"/>
            <w:tcMar>
              <w:top w:w="20" w:type="dxa"/>
              <w:left w:w="20" w:type="dxa"/>
              <w:bottom w:w="100" w:type="dxa"/>
              <w:right w:w="20" w:type="dxa"/>
            </w:tcMar>
            <w:vAlign w:val="bottom"/>
            <w:hideMark/>
          </w:tcPr>
          <w:p w14:paraId="2EB1ECB5" w14:textId="77777777" w:rsidR="00CB424A" w:rsidRPr="00354BAE" w:rsidRDefault="00CB424A" w:rsidP="00CB424A">
            <w:pPr>
              <w:pStyle w:val="NormalWeb"/>
            </w:pPr>
            <w:r w:rsidRPr="00354BAE">
              <w:t>2,234</w:t>
            </w:r>
          </w:p>
        </w:tc>
        <w:tc>
          <w:tcPr>
            <w:tcW w:w="938" w:type="dxa"/>
            <w:tcMar>
              <w:top w:w="20" w:type="dxa"/>
              <w:left w:w="20" w:type="dxa"/>
              <w:bottom w:w="100" w:type="dxa"/>
              <w:right w:w="20" w:type="dxa"/>
            </w:tcMar>
            <w:vAlign w:val="bottom"/>
            <w:hideMark/>
          </w:tcPr>
          <w:p w14:paraId="7AD2BA63" w14:textId="77777777" w:rsidR="00CB424A" w:rsidRPr="00354BAE" w:rsidRDefault="00CB424A" w:rsidP="00CB424A">
            <w:pPr>
              <w:pStyle w:val="NormalWeb"/>
            </w:pPr>
            <w:r w:rsidRPr="00354BAE">
              <w:t>2,201</w:t>
            </w:r>
          </w:p>
        </w:tc>
        <w:tc>
          <w:tcPr>
            <w:tcW w:w="931" w:type="dxa"/>
            <w:tcMar>
              <w:top w:w="20" w:type="dxa"/>
              <w:left w:w="20" w:type="dxa"/>
              <w:bottom w:w="100" w:type="dxa"/>
              <w:right w:w="20" w:type="dxa"/>
            </w:tcMar>
            <w:vAlign w:val="bottom"/>
            <w:hideMark/>
          </w:tcPr>
          <w:p w14:paraId="0145519E" w14:textId="77777777" w:rsidR="00CB424A" w:rsidRPr="00354BAE" w:rsidRDefault="00CB424A" w:rsidP="00CB424A">
            <w:pPr>
              <w:pStyle w:val="NormalWeb"/>
            </w:pPr>
            <w:r w:rsidRPr="00354BAE">
              <w:t>2,227</w:t>
            </w:r>
          </w:p>
        </w:tc>
      </w:tr>
      <w:tr w:rsidR="00CB424A" w:rsidRPr="00354BAE" w14:paraId="2C6D9B57" w14:textId="741FE63D" w:rsidTr="00A53036">
        <w:trPr>
          <w:trHeight w:val="423"/>
          <w:jc w:val="center"/>
        </w:trPr>
        <w:tc>
          <w:tcPr>
            <w:tcW w:w="4315" w:type="dxa"/>
            <w:tcMar>
              <w:top w:w="20" w:type="dxa"/>
              <w:left w:w="20" w:type="dxa"/>
              <w:bottom w:w="100" w:type="dxa"/>
              <w:right w:w="20" w:type="dxa"/>
            </w:tcMar>
            <w:vAlign w:val="bottom"/>
            <w:hideMark/>
          </w:tcPr>
          <w:p w14:paraId="712D6EA6" w14:textId="77777777" w:rsidR="00CB424A" w:rsidRPr="00354BAE" w:rsidRDefault="00CB424A" w:rsidP="00CB424A">
            <w:pPr>
              <w:pStyle w:val="NormalWeb"/>
            </w:pPr>
            <w:r w:rsidRPr="00354BAE">
              <w:t>311-NYC (text) contacts</w:t>
            </w:r>
          </w:p>
        </w:tc>
        <w:tc>
          <w:tcPr>
            <w:tcW w:w="831" w:type="dxa"/>
            <w:tcMar>
              <w:top w:w="20" w:type="dxa"/>
              <w:left w:w="20" w:type="dxa"/>
              <w:bottom w:w="100" w:type="dxa"/>
              <w:right w:w="20" w:type="dxa"/>
            </w:tcMar>
            <w:vAlign w:val="bottom"/>
            <w:hideMark/>
          </w:tcPr>
          <w:p w14:paraId="76FAD980" w14:textId="77777777" w:rsidR="00CB424A" w:rsidRPr="00354BAE" w:rsidRDefault="00CB424A" w:rsidP="00CB424A">
            <w:pPr>
              <w:pStyle w:val="NormalWeb"/>
            </w:pPr>
            <w:r w:rsidRPr="00354BAE">
              <w:t>144</w:t>
            </w:r>
          </w:p>
        </w:tc>
        <w:tc>
          <w:tcPr>
            <w:tcW w:w="810" w:type="dxa"/>
            <w:tcMar>
              <w:top w:w="20" w:type="dxa"/>
              <w:left w:w="20" w:type="dxa"/>
              <w:bottom w:w="100" w:type="dxa"/>
              <w:right w:w="20" w:type="dxa"/>
            </w:tcMar>
            <w:vAlign w:val="bottom"/>
            <w:hideMark/>
          </w:tcPr>
          <w:p w14:paraId="107705CE" w14:textId="77777777" w:rsidR="00CB424A" w:rsidRPr="00354BAE" w:rsidRDefault="00CB424A" w:rsidP="00CB424A">
            <w:pPr>
              <w:pStyle w:val="NormalWeb"/>
            </w:pPr>
            <w:r w:rsidRPr="00354BAE">
              <w:t>254</w:t>
            </w:r>
          </w:p>
        </w:tc>
        <w:tc>
          <w:tcPr>
            <w:tcW w:w="810" w:type="dxa"/>
            <w:tcMar>
              <w:top w:w="20" w:type="dxa"/>
              <w:left w:w="20" w:type="dxa"/>
              <w:bottom w:w="100" w:type="dxa"/>
              <w:right w:w="20" w:type="dxa"/>
            </w:tcMar>
            <w:vAlign w:val="bottom"/>
            <w:hideMark/>
          </w:tcPr>
          <w:p w14:paraId="41265E84" w14:textId="77777777" w:rsidR="00CB424A" w:rsidRPr="00354BAE" w:rsidRDefault="00CB424A" w:rsidP="00CB424A">
            <w:pPr>
              <w:pStyle w:val="NormalWeb"/>
            </w:pPr>
            <w:r w:rsidRPr="00354BAE">
              <w:t>253</w:t>
            </w:r>
          </w:p>
        </w:tc>
        <w:tc>
          <w:tcPr>
            <w:tcW w:w="938" w:type="dxa"/>
            <w:tcMar>
              <w:top w:w="20" w:type="dxa"/>
              <w:left w:w="20" w:type="dxa"/>
              <w:bottom w:w="100" w:type="dxa"/>
              <w:right w:w="20" w:type="dxa"/>
            </w:tcMar>
            <w:vAlign w:val="bottom"/>
            <w:hideMark/>
          </w:tcPr>
          <w:p w14:paraId="7804CE02" w14:textId="77777777" w:rsidR="00CB424A" w:rsidRPr="00354BAE" w:rsidRDefault="00CB424A" w:rsidP="00CB424A">
            <w:pPr>
              <w:pStyle w:val="NormalWeb"/>
            </w:pPr>
            <w:r w:rsidRPr="00354BAE">
              <w:t>424</w:t>
            </w:r>
          </w:p>
        </w:tc>
        <w:tc>
          <w:tcPr>
            <w:tcW w:w="931" w:type="dxa"/>
            <w:tcMar>
              <w:top w:w="20" w:type="dxa"/>
              <w:left w:w="20" w:type="dxa"/>
              <w:bottom w:w="100" w:type="dxa"/>
              <w:right w:w="20" w:type="dxa"/>
            </w:tcMar>
            <w:vAlign w:val="bottom"/>
            <w:hideMark/>
          </w:tcPr>
          <w:p w14:paraId="6B601DAE" w14:textId="77777777" w:rsidR="00CB424A" w:rsidRPr="00354BAE" w:rsidRDefault="00CB424A" w:rsidP="00CB424A">
            <w:pPr>
              <w:pStyle w:val="NormalWeb"/>
            </w:pPr>
            <w:r w:rsidRPr="00354BAE">
              <w:t>356</w:t>
            </w:r>
          </w:p>
        </w:tc>
      </w:tr>
      <w:tr w:rsidR="00CB424A" w:rsidRPr="00354BAE" w14:paraId="0BB7E44D" w14:textId="0E2F58C8" w:rsidTr="00A53036">
        <w:trPr>
          <w:trHeight w:val="423"/>
          <w:jc w:val="center"/>
        </w:trPr>
        <w:tc>
          <w:tcPr>
            <w:tcW w:w="4315" w:type="dxa"/>
            <w:tcMar>
              <w:top w:w="20" w:type="dxa"/>
              <w:left w:w="20" w:type="dxa"/>
              <w:bottom w:w="100" w:type="dxa"/>
              <w:right w:w="20" w:type="dxa"/>
            </w:tcMar>
            <w:vAlign w:val="bottom"/>
            <w:hideMark/>
          </w:tcPr>
          <w:p w14:paraId="03ED35D2" w14:textId="77777777" w:rsidR="00CB424A" w:rsidRPr="00354BAE" w:rsidRDefault="00CB424A" w:rsidP="00CB424A">
            <w:pPr>
              <w:pStyle w:val="NormalWeb"/>
            </w:pPr>
            <w:r w:rsidRPr="00354BAE">
              <w:t>311 Online site visits</w:t>
            </w:r>
          </w:p>
        </w:tc>
        <w:tc>
          <w:tcPr>
            <w:tcW w:w="831" w:type="dxa"/>
            <w:tcMar>
              <w:top w:w="20" w:type="dxa"/>
              <w:left w:w="20" w:type="dxa"/>
              <w:bottom w:w="100" w:type="dxa"/>
              <w:right w:w="20" w:type="dxa"/>
            </w:tcMar>
            <w:vAlign w:val="bottom"/>
            <w:hideMark/>
          </w:tcPr>
          <w:p w14:paraId="3E366B44" w14:textId="77777777" w:rsidR="00CB424A" w:rsidRPr="00354BAE" w:rsidRDefault="00CB424A" w:rsidP="00CB424A">
            <w:pPr>
              <w:pStyle w:val="NormalWeb"/>
            </w:pPr>
            <w:r w:rsidRPr="00354BAE">
              <w:t>17,246</w:t>
            </w:r>
          </w:p>
        </w:tc>
        <w:tc>
          <w:tcPr>
            <w:tcW w:w="810" w:type="dxa"/>
            <w:tcMar>
              <w:top w:w="20" w:type="dxa"/>
              <w:left w:w="20" w:type="dxa"/>
              <w:bottom w:w="100" w:type="dxa"/>
              <w:right w:w="20" w:type="dxa"/>
            </w:tcMar>
            <w:vAlign w:val="bottom"/>
            <w:hideMark/>
          </w:tcPr>
          <w:p w14:paraId="48BDEF76" w14:textId="77777777" w:rsidR="00CB424A" w:rsidRPr="00354BAE" w:rsidRDefault="00CB424A" w:rsidP="00CB424A">
            <w:pPr>
              <w:pStyle w:val="NormalWeb"/>
            </w:pPr>
            <w:r w:rsidRPr="00354BAE">
              <w:t>19,345</w:t>
            </w:r>
          </w:p>
        </w:tc>
        <w:tc>
          <w:tcPr>
            <w:tcW w:w="810" w:type="dxa"/>
            <w:tcMar>
              <w:top w:w="20" w:type="dxa"/>
              <w:left w:w="20" w:type="dxa"/>
              <w:bottom w:w="100" w:type="dxa"/>
              <w:right w:w="20" w:type="dxa"/>
            </w:tcMar>
            <w:vAlign w:val="bottom"/>
            <w:hideMark/>
          </w:tcPr>
          <w:p w14:paraId="399860F4" w14:textId="77777777" w:rsidR="00CB424A" w:rsidRPr="00354BAE" w:rsidRDefault="00CB424A" w:rsidP="00CB424A">
            <w:pPr>
              <w:pStyle w:val="NormalWeb"/>
            </w:pPr>
            <w:r w:rsidRPr="00354BAE">
              <w:t>20,185</w:t>
            </w:r>
          </w:p>
        </w:tc>
        <w:tc>
          <w:tcPr>
            <w:tcW w:w="938" w:type="dxa"/>
            <w:tcMar>
              <w:top w:w="20" w:type="dxa"/>
              <w:left w:w="20" w:type="dxa"/>
              <w:bottom w:w="100" w:type="dxa"/>
              <w:right w:w="20" w:type="dxa"/>
            </w:tcMar>
            <w:vAlign w:val="bottom"/>
            <w:hideMark/>
          </w:tcPr>
          <w:p w14:paraId="25CC3760" w14:textId="77777777" w:rsidR="00CB424A" w:rsidRPr="00354BAE" w:rsidRDefault="00CB424A" w:rsidP="00CB424A">
            <w:pPr>
              <w:pStyle w:val="NormalWeb"/>
            </w:pPr>
            <w:r w:rsidRPr="00354BAE">
              <w:t>10,553</w:t>
            </w:r>
          </w:p>
        </w:tc>
        <w:tc>
          <w:tcPr>
            <w:tcW w:w="931" w:type="dxa"/>
            <w:tcMar>
              <w:top w:w="20" w:type="dxa"/>
              <w:left w:w="20" w:type="dxa"/>
              <w:bottom w:w="100" w:type="dxa"/>
              <w:right w:w="20" w:type="dxa"/>
            </w:tcMar>
            <w:vAlign w:val="bottom"/>
            <w:hideMark/>
          </w:tcPr>
          <w:p w14:paraId="26752356" w14:textId="77777777" w:rsidR="00CB424A" w:rsidRPr="00354BAE" w:rsidRDefault="00CB424A" w:rsidP="00CB424A">
            <w:pPr>
              <w:pStyle w:val="NormalWeb"/>
            </w:pPr>
            <w:r w:rsidRPr="00354BAE">
              <w:t>13,415</w:t>
            </w:r>
          </w:p>
        </w:tc>
      </w:tr>
      <w:tr w:rsidR="00CB424A" w:rsidRPr="00354BAE" w14:paraId="70C2F538" w14:textId="0E8C1A89" w:rsidTr="00A53036">
        <w:trPr>
          <w:trHeight w:val="423"/>
          <w:jc w:val="center"/>
        </w:trPr>
        <w:tc>
          <w:tcPr>
            <w:tcW w:w="4315" w:type="dxa"/>
            <w:tcMar>
              <w:top w:w="20" w:type="dxa"/>
              <w:left w:w="20" w:type="dxa"/>
              <w:bottom w:w="100" w:type="dxa"/>
              <w:right w:w="20" w:type="dxa"/>
            </w:tcMar>
            <w:vAlign w:val="bottom"/>
            <w:hideMark/>
          </w:tcPr>
          <w:p w14:paraId="28BE1319" w14:textId="77777777" w:rsidR="00CB424A" w:rsidRPr="00354BAE" w:rsidRDefault="00CB424A" w:rsidP="00CB424A">
            <w:pPr>
              <w:pStyle w:val="NormalWeb"/>
            </w:pPr>
            <w:r w:rsidRPr="00354BAE">
              <w:t>Completed service requests</w:t>
            </w:r>
          </w:p>
        </w:tc>
        <w:tc>
          <w:tcPr>
            <w:tcW w:w="831" w:type="dxa"/>
            <w:tcMar>
              <w:top w:w="20" w:type="dxa"/>
              <w:left w:w="20" w:type="dxa"/>
              <w:bottom w:w="100" w:type="dxa"/>
              <w:right w:w="20" w:type="dxa"/>
            </w:tcMar>
            <w:vAlign w:val="bottom"/>
            <w:hideMark/>
          </w:tcPr>
          <w:p w14:paraId="1EEF779B" w14:textId="77777777" w:rsidR="00CB424A" w:rsidRPr="00354BAE" w:rsidRDefault="00CB424A" w:rsidP="00CB424A">
            <w:pPr>
              <w:pStyle w:val="NormalWeb"/>
            </w:pPr>
            <w:r w:rsidRPr="00354BAE">
              <w:t>2,895</w:t>
            </w:r>
          </w:p>
        </w:tc>
        <w:tc>
          <w:tcPr>
            <w:tcW w:w="810" w:type="dxa"/>
            <w:tcMar>
              <w:top w:w="20" w:type="dxa"/>
              <w:left w:w="20" w:type="dxa"/>
              <w:bottom w:w="100" w:type="dxa"/>
              <w:right w:w="20" w:type="dxa"/>
            </w:tcMar>
            <w:vAlign w:val="bottom"/>
            <w:hideMark/>
          </w:tcPr>
          <w:p w14:paraId="63CC40C2" w14:textId="77777777" w:rsidR="00CB424A" w:rsidRPr="00354BAE" w:rsidRDefault="00CB424A" w:rsidP="00CB424A">
            <w:pPr>
              <w:pStyle w:val="NormalWeb"/>
            </w:pPr>
            <w:r w:rsidRPr="00354BAE">
              <w:t>3,074</w:t>
            </w:r>
          </w:p>
        </w:tc>
        <w:tc>
          <w:tcPr>
            <w:tcW w:w="810" w:type="dxa"/>
            <w:tcMar>
              <w:top w:w="20" w:type="dxa"/>
              <w:left w:w="20" w:type="dxa"/>
              <w:bottom w:w="100" w:type="dxa"/>
              <w:right w:w="20" w:type="dxa"/>
            </w:tcMar>
            <w:vAlign w:val="bottom"/>
            <w:hideMark/>
          </w:tcPr>
          <w:p w14:paraId="2DDD4F4F" w14:textId="77777777" w:rsidR="00CB424A" w:rsidRPr="00354BAE" w:rsidRDefault="00CB424A" w:rsidP="00CB424A">
            <w:pPr>
              <w:pStyle w:val="NormalWeb"/>
            </w:pPr>
            <w:r w:rsidRPr="00354BAE">
              <w:t>3,254</w:t>
            </w:r>
          </w:p>
        </w:tc>
        <w:tc>
          <w:tcPr>
            <w:tcW w:w="938" w:type="dxa"/>
            <w:tcMar>
              <w:top w:w="20" w:type="dxa"/>
              <w:left w:w="20" w:type="dxa"/>
              <w:bottom w:w="100" w:type="dxa"/>
              <w:right w:w="20" w:type="dxa"/>
            </w:tcMar>
            <w:vAlign w:val="bottom"/>
            <w:hideMark/>
          </w:tcPr>
          <w:p w14:paraId="1E3854B4" w14:textId="77777777" w:rsidR="00CB424A" w:rsidRPr="00354BAE" w:rsidRDefault="00CB424A" w:rsidP="00CB424A">
            <w:pPr>
              <w:pStyle w:val="NormalWeb"/>
            </w:pPr>
            <w:r w:rsidRPr="00354BAE">
              <w:t>2,913</w:t>
            </w:r>
          </w:p>
        </w:tc>
        <w:tc>
          <w:tcPr>
            <w:tcW w:w="931" w:type="dxa"/>
            <w:tcMar>
              <w:top w:w="20" w:type="dxa"/>
              <w:left w:w="20" w:type="dxa"/>
              <w:bottom w:w="100" w:type="dxa"/>
              <w:right w:w="20" w:type="dxa"/>
            </w:tcMar>
            <w:vAlign w:val="bottom"/>
            <w:hideMark/>
          </w:tcPr>
          <w:p w14:paraId="72165069" w14:textId="77777777" w:rsidR="00CB424A" w:rsidRPr="00354BAE" w:rsidRDefault="00CB424A" w:rsidP="00CB424A">
            <w:pPr>
              <w:pStyle w:val="NormalWeb"/>
            </w:pPr>
            <w:r w:rsidRPr="00354BAE">
              <w:t>3,461</w:t>
            </w:r>
          </w:p>
        </w:tc>
      </w:tr>
      <w:tr w:rsidR="00CB424A" w:rsidRPr="00354BAE" w14:paraId="551085C1" w14:textId="269E75BE" w:rsidTr="00A53036">
        <w:trPr>
          <w:trHeight w:val="423"/>
          <w:jc w:val="center"/>
        </w:trPr>
        <w:tc>
          <w:tcPr>
            <w:tcW w:w="4315" w:type="dxa"/>
            <w:tcMar>
              <w:top w:w="20" w:type="dxa"/>
              <w:left w:w="20" w:type="dxa"/>
              <w:bottom w:w="100" w:type="dxa"/>
              <w:right w:w="20" w:type="dxa"/>
            </w:tcMar>
            <w:vAlign w:val="bottom"/>
            <w:hideMark/>
          </w:tcPr>
          <w:p w14:paraId="0246652D" w14:textId="77777777" w:rsidR="00CB424A" w:rsidRPr="00354BAE" w:rsidRDefault="00CB424A" w:rsidP="00CB424A">
            <w:pPr>
              <w:pStyle w:val="NormalWeb"/>
            </w:pPr>
            <w:r w:rsidRPr="00354BAE">
              <w:t>Knowledge articles accessed </w:t>
            </w:r>
          </w:p>
        </w:tc>
        <w:tc>
          <w:tcPr>
            <w:tcW w:w="831" w:type="dxa"/>
            <w:tcMar>
              <w:top w:w="20" w:type="dxa"/>
              <w:left w:w="20" w:type="dxa"/>
              <w:bottom w:w="100" w:type="dxa"/>
              <w:right w:w="20" w:type="dxa"/>
            </w:tcMar>
            <w:vAlign w:val="bottom"/>
            <w:hideMark/>
          </w:tcPr>
          <w:p w14:paraId="61A41E53" w14:textId="77777777" w:rsidR="00CB424A" w:rsidRPr="00354BAE" w:rsidRDefault="00CB424A" w:rsidP="00CB424A">
            <w:pPr>
              <w:pStyle w:val="NormalWeb"/>
            </w:pPr>
            <w:r w:rsidRPr="00354BAE">
              <w:t>22,538</w:t>
            </w:r>
          </w:p>
        </w:tc>
        <w:tc>
          <w:tcPr>
            <w:tcW w:w="810" w:type="dxa"/>
            <w:tcMar>
              <w:top w:w="20" w:type="dxa"/>
              <w:left w:w="20" w:type="dxa"/>
              <w:bottom w:w="100" w:type="dxa"/>
              <w:right w:w="20" w:type="dxa"/>
            </w:tcMar>
            <w:vAlign w:val="bottom"/>
            <w:hideMark/>
          </w:tcPr>
          <w:p w14:paraId="702C5215" w14:textId="77777777" w:rsidR="00CB424A" w:rsidRPr="00354BAE" w:rsidRDefault="00CB424A" w:rsidP="00CB424A">
            <w:pPr>
              <w:pStyle w:val="NormalWeb"/>
            </w:pPr>
            <w:r w:rsidRPr="00354BAE">
              <w:t>24,667</w:t>
            </w:r>
          </w:p>
        </w:tc>
        <w:tc>
          <w:tcPr>
            <w:tcW w:w="810" w:type="dxa"/>
            <w:tcMar>
              <w:top w:w="20" w:type="dxa"/>
              <w:left w:w="20" w:type="dxa"/>
              <w:bottom w:w="100" w:type="dxa"/>
              <w:right w:w="20" w:type="dxa"/>
            </w:tcMar>
            <w:vAlign w:val="bottom"/>
            <w:hideMark/>
          </w:tcPr>
          <w:p w14:paraId="6F55F11A" w14:textId="77777777" w:rsidR="00CB424A" w:rsidRPr="00354BAE" w:rsidRDefault="00CB424A" w:rsidP="00CB424A">
            <w:pPr>
              <w:pStyle w:val="NormalWeb"/>
            </w:pPr>
            <w:r w:rsidRPr="00354BAE">
              <w:t>24,026</w:t>
            </w:r>
          </w:p>
        </w:tc>
        <w:tc>
          <w:tcPr>
            <w:tcW w:w="938" w:type="dxa"/>
            <w:tcMar>
              <w:top w:w="20" w:type="dxa"/>
              <w:left w:w="20" w:type="dxa"/>
              <w:bottom w:w="100" w:type="dxa"/>
              <w:right w:w="20" w:type="dxa"/>
            </w:tcMar>
            <w:vAlign w:val="bottom"/>
            <w:hideMark/>
          </w:tcPr>
          <w:p w14:paraId="4F0F6DDA" w14:textId="77777777" w:rsidR="00CB424A" w:rsidRPr="00354BAE" w:rsidRDefault="00CB424A" w:rsidP="00CB424A">
            <w:pPr>
              <w:pStyle w:val="NormalWeb"/>
            </w:pPr>
            <w:r w:rsidRPr="00354BAE">
              <w:t>12,194</w:t>
            </w:r>
          </w:p>
        </w:tc>
        <w:tc>
          <w:tcPr>
            <w:tcW w:w="931" w:type="dxa"/>
            <w:tcMar>
              <w:top w:w="20" w:type="dxa"/>
              <w:left w:w="20" w:type="dxa"/>
              <w:bottom w:w="100" w:type="dxa"/>
              <w:right w:w="20" w:type="dxa"/>
            </w:tcMar>
            <w:vAlign w:val="bottom"/>
            <w:hideMark/>
          </w:tcPr>
          <w:p w14:paraId="1DF62455" w14:textId="77777777" w:rsidR="00CB424A" w:rsidRPr="00354BAE" w:rsidRDefault="00CB424A" w:rsidP="00CB424A">
            <w:pPr>
              <w:pStyle w:val="NormalWeb"/>
            </w:pPr>
            <w:r w:rsidRPr="00354BAE">
              <w:t>25,371</w:t>
            </w:r>
          </w:p>
        </w:tc>
      </w:tr>
    </w:tbl>
    <w:p w14:paraId="01FD1F6B" w14:textId="14D544CF" w:rsidR="00FC372D" w:rsidRDefault="00FC372D" w:rsidP="00A53036">
      <w:pPr>
        <w:spacing w:before="120" w:after="360"/>
        <w:ind w:left="360" w:right="450"/>
        <w:jc w:val="center"/>
        <w:rPr>
          <w:rFonts w:eastAsia="Times New Roman"/>
          <w:i/>
          <w:color w:val="000000"/>
        </w:rPr>
      </w:pPr>
      <w:r w:rsidRPr="00354BAE">
        <w:rPr>
          <w:rFonts w:eastAsia="Times New Roman"/>
          <w:i/>
          <w:color w:val="000000"/>
        </w:rPr>
        <w:t>Figure No. 1: This figure displays a table to note data fo</w:t>
      </w:r>
      <w:r w:rsidR="00A53036">
        <w:rPr>
          <w:rFonts w:eastAsia="Times New Roman"/>
          <w:i/>
          <w:color w:val="000000"/>
        </w:rPr>
        <w:t xml:space="preserve">r performance indicators for </w:t>
      </w:r>
      <w:r w:rsidRPr="00354BAE">
        <w:rPr>
          <w:rFonts w:eastAsia="Times New Roman"/>
          <w:i/>
          <w:color w:val="000000"/>
        </w:rPr>
        <w:t>311, separated across five fiscal years from Fisc</w:t>
      </w:r>
      <w:r w:rsidR="00CB424A">
        <w:rPr>
          <w:rFonts w:eastAsia="Times New Roman"/>
          <w:i/>
          <w:color w:val="000000"/>
        </w:rPr>
        <w:t>al Year 2017 to Fiscal Year 2021.</w:t>
      </w:r>
    </w:p>
    <w:p w14:paraId="0E933804" w14:textId="39AC0692" w:rsidR="00FC372D" w:rsidRDefault="00FC372D" w:rsidP="00A53036">
      <w:pPr>
        <w:spacing w:after="240" w:line="480" w:lineRule="auto"/>
        <w:jc w:val="both"/>
      </w:pPr>
      <w:r w:rsidRPr="00FC372D">
        <w:t>Figure No. 2 shows a table that displays the average wait time per fiscal year for 311 calls during peak and off-peak hours.</w:t>
      </w:r>
      <w:r w:rsidRPr="00FC372D">
        <w:rPr>
          <w:vertAlign w:val="superscript"/>
        </w:rPr>
        <w:footnoteReference w:id="8"/>
      </w:r>
      <w:r w:rsidRPr="00FC372D">
        <w:t xml:space="preserve"> </w:t>
      </w:r>
    </w:p>
    <w:tbl>
      <w:tblPr>
        <w:tblpPr w:leftFromText="180" w:rightFromText="180" w:vertAnchor="text" w:horzAnchor="margin" w:tblpY="-484"/>
        <w:tblW w:w="9230" w:type="dxa"/>
        <w:tblLook w:val="04A0" w:firstRow="1" w:lastRow="0" w:firstColumn="1" w:lastColumn="0" w:noHBand="0" w:noVBand="1"/>
      </w:tblPr>
      <w:tblGrid>
        <w:gridCol w:w="4495"/>
        <w:gridCol w:w="776"/>
        <w:gridCol w:w="776"/>
        <w:gridCol w:w="776"/>
        <w:gridCol w:w="776"/>
        <w:gridCol w:w="788"/>
        <w:gridCol w:w="843"/>
      </w:tblGrid>
      <w:tr w:rsidR="00A53036" w:rsidRPr="00354BAE" w14:paraId="1F4CE9FB" w14:textId="77777777" w:rsidTr="00A53036">
        <w:trPr>
          <w:trHeight w:val="375"/>
        </w:trPr>
        <w:tc>
          <w:tcPr>
            <w:tcW w:w="4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30D02B6" w14:textId="77777777" w:rsidR="00A53036" w:rsidRPr="00813B7F" w:rsidRDefault="00A53036" w:rsidP="00A53036">
            <w:pPr>
              <w:rPr>
                <w:rFonts w:eastAsia="Times New Roman"/>
                <w:b/>
                <w:bCs/>
                <w:color w:val="000000"/>
              </w:rPr>
            </w:pPr>
            <w:r w:rsidRPr="00813B7F">
              <w:rPr>
                <w:rFonts w:eastAsia="Times New Roman"/>
                <w:b/>
                <w:bCs/>
                <w:color w:val="000000"/>
              </w:rPr>
              <w:t>Performance Indicators (in seconds)</w:t>
            </w:r>
          </w:p>
        </w:tc>
        <w:tc>
          <w:tcPr>
            <w:tcW w:w="77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52DBC23" w14:textId="77777777" w:rsidR="00A53036" w:rsidRPr="00813B7F" w:rsidRDefault="00A53036" w:rsidP="00A53036">
            <w:pPr>
              <w:rPr>
                <w:rFonts w:eastAsia="Times New Roman"/>
                <w:b/>
                <w:bCs/>
                <w:color w:val="000000"/>
              </w:rPr>
            </w:pPr>
            <w:r w:rsidRPr="00813B7F">
              <w:rPr>
                <w:rFonts w:eastAsia="Times New Roman"/>
                <w:b/>
                <w:bCs/>
                <w:color w:val="000000"/>
              </w:rPr>
              <w:t>FY17</w:t>
            </w:r>
          </w:p>
        </w:tc>
        <w:tc>
          <w:tcPr>
            <w:tcW w:w="77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6975126" w14:textId="77777777" w:rsidR="00A53036" w:rsidRPr="00813B7F" w:rsidRDefault="00A53036" w:rsidP="00A53036">
            <w:pPr>
              <w:rPr>
                <w:rFonts w:eastAsia="Times New Roman"/>
                <w:b/>
                <w:bCs/>
                <w:color w:val="000000"/>
              </w:rPr>
            </w:pPr>
            <w:r w:rsidRPr="00813B7F">
              <w:rPr>
                <w:rFonts w:eastAsia="Times New Roman"/>
                <w:b/>
                <w:bCs/>
                <w:color w:val="000000"/>
              </w:rPr>
              <w:t>FY18</w:t>
            </w:r>
          </w:p>
        </w:tc>
        <w:tc>
          <w:tcPr>
            <w:tcW w:w="77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61105C1" w14:textId="77777777" w:rsidR="00A53036" w:rsidRPr="00813B7F" w:rsidRDefault="00A53036" w:rsidP="00A53036">
            <w:pPr>
              <w:rPr>
                <w:rFonts w:eastAsia="Times New Roman"/>
                <w:b/>
                <w:bCs/>
                <w:color w:val="000000"/>
              </w:rPr>
            </w:pPr>
            <w:r w:rsidRPr="00813B7F">
              <w:rPr>
                <w:rFonts w:eastAsia="Times New Roman"/>
                <w:b/>
                <w:bCs/>
                <w:color w:val="000000"/>
              </w:rPr>
              <w:t>FY19</w:t>
            </w:r>
          </w:p>
        </w:tc>
        <w:tc>
          <w:tcPr>
            <w:tcW w:w="77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616ACFB" w14:textId="77777777" w:rsidR="00A53036" w:rsidRPr="00813B7F" w:rsidRDefault="00A53036" w:rsidP="00A53036">
            <w:pPr>
              <w:rPr>
                <w:rFonts w:eastAsia="Times New Roman"/>
                <w:b/>
                <w:bCs/>
                <w:color w:val="000000"/>
              </w:rPr>
            </w:pPr>
            <w:r w:rsidRPr="00813B7F">
              <w:rPr>
                <w:rFonts w:eastAsia="Times New Roman"/>
                <w:b/>
                <w:bCs/>
                <w:color w:val="000000"/>
              </w:rPr>
              <w:t>FY20</w:t>
            </w:r>
          </w:p>
        </w:tc>
        <w:tc>
          <w:tcPr>
            <w:tcW w:w="78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EF6FA4B" w14:textId="77777777" w:rsidR="00A53036" w:rsidRPr="00813B7F" w:rsidRDefault="00A53036" w:rsidP="00A53036">
            <w:pPr>
              <w:rPr>
                <w:rFonts w:eastAsia="Times New Roman"/>
                <w:b/>
                <w:bCs/>
                <w:color w:val="000000"/>
              </w:rPr>
            </w:pPr>
            <w:r w:rsidRPr="00813B7F">
              <w:rPr>
                <w:rFonts w:eastAsia="Times New Roman"/>
                <w:b/>
                <w:bCs/>
                <w:color w:val="000000"/>
              </w:rPr>
              <w:t>FY21</w:t>
            </w:r>
          </w:p>
        </w:tc>
        <w:tc>
          <w:tcPr>
            <w:tcW w:w="84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3ECD24F" w14:textId="77777777" w:rsidR="00A53036" w:rsidRPr="00813B7F" w:rsidRDefault="00A53036" w:rsidP="00A53036">
            <w:pPr>
              <w:rPr>
                <w:rFonts w:eastAsia="Times New Roman"/>
                <w:b/>
                <w:bCs/>
                <w:color w:val="000000"/>
              </w:rPr>
            </w:pPr>
            <w:r>
              <w:rPr>
                <w:rFonts w:eastAsia="Times New Roman"/>
                <w:b/>
                <w:bCs/>
                <w:color w:val="000000"/>
              </w:rPr>
              <w:t>FY22 (as of April 2022)</w:t>
            </w:r>
          </w:p>
        </w:tc>
      </w:tr>
      <w:tr w:rsidR="00A53036" w:rsidRPr="00354BAE" w14:paraId="46E6CDC9" w14:textId="77777777" w:rsidTr="00A53036">
        <w:trPr>
          <w:trHeight w:val="375"/>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14:paraId="64B90E62" w14:textId="77777777" w:rsidR="00A53036" w:rsidRPr="00813B7F" w:rsidRDefault="00A53036" w:rsidP="00A53036">
            <w:pPr>
              <w:rPr>
                <w:rFonts w:eastAsia="Times New Roman"/>
                <w:color w:val="000000"/>
              </w:rPr>
            </w:pPr>
            <w:r w:rsidRPr="00813B7F">
              <w:rPr>
                <w:rFonts w:eastAsia="Times New Roman"/>
                <w:color w:val="000000"/>
              </w:rPr>
              <w:t>Average wait time (tier 1 calls) Peak hours (11am-3pm, M-F)</w:t>
            </w:r>
          </w:p>
        </w:tc>
        <w:tc>
          <w:tcPr>
            <w:tcW w:w="776" w:type="dxa"/>
            <w:tcBorders>
              <w:top w:val="nil"/>
              <w:left w:val="nil"/>
              <w:bottom w:val="single" w:sz="4" w:space="0" w:color="auto"/>
              <w:right w:val="single" w:sz="4" w:space="0" w:color="auto"/>
            </w:tcBorders>
            <w:shd w:val="clear" w:color="auto" w:fill="auto"/>
            <w:noWrap/>
            <w:vAlign w:val="bottom"/>
            <w:hideMark/>
          </w:tcPr>
          <w:p w14:paraId="2A69BB64" w14:textId="77777777" w:rsidR="00A53036" w:rsidRPr="00813B7F" w:rsidRDefault="00A53036" w:rsidP="00A53036">
            <w:pPr>
              <w:jc w:val="right"/>
              <w:rPr>
                <w:rFonts w:eastAsia="Times New Roman"/>
                <w:color w:val="000000"/>
              </w:rPr>
            </w:pPr>
            <w:r w:rsidRPr="00813B7F">
              <w:rPr>
                <w:rFonts w:eastAsia="Times New Roman"/>
                <w:color w:val="000000"/>
              </w:rPr>
              <w:t>20</w:t>
            </w:r>
          </w:p>
        </w:tc>
        <w:tc>
          <w:tcPr>
            <w:tcW w:w="776" w:type="dxa"/>
            <w:tcBorders>
              <w:top w:val="nil"/>
              <w:left w:val="nil"/>
              <w:bottom w:val="single" w:sz="4" w:space="0" w:color="auto"/>
              <w:right w:val="single" w:sz="4" w:space="0" w:color="auto"/>
            </w:tcBorders>
            <w:shd w:val="clear" w:color="auto" w:fill="auto"/>
            <w:noWrap/>
            <w:vAlign w:val="bottom"/>
            <w:hideMark/>
          </w:tcPr>
          <w:p w14:paraId="3546B37C" w14:textId="77777777" w:rsidR="00A53036" w:rsidRPr="00813B7F" w:rsidRDefault="00A53036" w:rsidP="00A53036">
            <w:pPr>
              <w:jc w:val="right"/>
              <w:rPr>
                <w:rFonts w:eastAsia="Times New Roman"/>
                <w:color w:val="000000"/>
              </w:rPr>
            </w:pPr>
            <w:r w:rsidRPr="00813B7F">
              <w:rPr>
                <w:rFonts w:eastAsia="Times New Roman"/>
                <w:color w:val="000000"/>
              </w:rPr>
              <w:t>26</w:t>
            </w:r>
          </w:p>
        </w:tc>
        <w:tc>
          <w:tcPr>
            <w:tcW w:w="776" w:type="dxa"/>
            <w:tcBorders>
              <w:top w:val="nil"/>
              <w:left w:val="nil"/>
              <w:bottom w:val="single" w:sz="4" w:space="0" w:color="auto"/>
              <w:right w:val="single" w:sz="4" w:space="0" w:color="auto"/>
            </w:tcBorders>
            <w:shd w:val="clear" w:color="auto" w:fill="auto"/>
            <w:noWrap/>
            <w:vAlign w:val="bottom"/>
            <w:hideMark/>
          </w:tcPr>
          <w:p w14:paraId="746072D0" w14:textId="77777777" w:rsidR="00A53036" w:rsidRPr="00813B7F" w:rsidRDefault="00A53036" w:rsidP="00A53036">
            <w:pPr>
              <w:jc w:val="right"/>
              <w:rPr>
                <w:rFonts w:eastAsia="Times New Roman"/>
                <w:color w:val="000000"/>
              </w:rPr>
            </w:pPr>
            <w:r w:rsidRPr="00813B7F">
              <w:rPr>
                <w:rFonts w:eastAsia="Times New Roman"/>
                <w:color w:val="000000"/>
              </w:rPr>
              <w:t>30</w:t>
            </w:r>
          </w:p>
        </w:tc>
        <w:tc>
          <w:tcPr>
            <w:tcW w:w="776" w:type="dxa"/>
            <w:tcBorders>
              <w:top w:val="nil"/>
              <w:left w:val="nil"/>
              <w:bottom w:val="single" w:sz="4" w:space="0" w:color="auto"/>
              <w:right w:val="single" w:sz="4" w:space="0" w:color="auto"/>
            </w:tcBorders>
            <w:shd w:val="clear" w:color="auto" w:fill="auto"/>
            <w:noWrap/>
            <w:vAlign w:val="bottom"/>
            <w:hideMark/>
          </w:tcPr>
          <w:p w14:paraId="33217C71" w14:textId="77777777" w:rsidR="00A53036" w:rsidRPr="00813B7F" w:rsidRDefault="00A53036" w:rsidP="00A53036">
            <w:pPr>
              <w:jc w:val="right"/>
              <w:rPr>
                <w:rFonts w:eastAsia="Times New Roman"/>
                <w:color w:val="000000"/>
              </w:rPr>
            </w:pPr>
            <w:r w:rsidRPr="00813B7F">
              <w:rPr>
                <w:rFonts w:eastAsia="Times New Roman"/>
                <w:color w:val="000000"/>
              </w:rPr>
              <w:t>106</w:t>
            </w:r>
          </w:p>
        </w:tc>
        <w:tc>
          <w:tcPr>
            <w:tcW w:w="788" w:type="dxa"/>
            <w:tcBorders>
              <w:top w:val="nil"/>
              <w:left w:val="nil"/>
              <w:bottom w:val="single" w:sz="4" w:space="0" w:color="auto"/>
              <w:right w:val="single" w:sz="4" w:space="0" w:color="auto"/>
            </w:tcBorders>
            <w:shd w:val="clear" w:color="auto" w:fill="auto"/>
            <w:noWrap/>
            <w:vAlign w:val="bottom"/>
            <w:hideMark/>
          </w:tcPr>
          <w:p w14:paraId="26AFBDAA" w14:textId="77777777" w:rsidR="00A53036" w:rsidRPr="00813B7F" w:rsidRDefault="00A53036" w:rsidP="00A53036">
            <w:pPr>
              <w:jc w:val="right"/>
              <w:rPr>
                <w:rFonts w:eastAsia="Times New Roman"/>
                <w:color w:val="000000"/>
              </w:rPr>
            </w:pPr>
            <w:r w:rsidRPr="00813B7F">
              <w:rPr>
                <w:rFonts w:eastAsia="Times New Roman"/>
                <w:color w:val="000000"/>
              </w:rPr>
              <w:t>67</w:t>
            </w:r>
          </w:p>
        </w:tc>
        <w:tc>
          <w:tcPr>
            <w:tcW w:w="843" w:type="dxa"/>
            <w:tcBorders>
              <w:top w:val="nil"/>
              <w:left w:val="nil"/>
              <w:bottom w:val="single" w:sz="4" w:space="0" w:color="auto"/>
              <w:right w:val="single" w:sz="4" w:space="0" w:color="auto"/>
            </w:tcBorders>
            <w:shd w:val="clear" w:color="auto" w:fill="auto"/>
            <w:noWrap/>
            <w:vAlign w:val="bottom"/>
            <w:hideMark/>
          </w:tcPr>
          <w:p w14:paraId="3F0BE897" w14:textId="77777777" w:rsidR="00A53036" w:rsidRPr="00813B7F" w:rsidRDefault="00A53036" w:rsidP="00A53036">
            <w:pPr>
              <w:jc w:val="right"/>
              <w:rPr>
                <w:rFonts w:eastAsia="Times New Roman"/>
                <w:color w:val="000000"/>
              </w:rPr>
            </w:pPr>
            <w:r w:rsidRPr="00813B7F">
              <w:rPr>
                <w:rFonts w:eastAsia="Times New Roman"/>
                <w:color w:val="000000"/>
              </w:rPr>
              <w:t>60</w:t>
            </w:r>
          </w:p>
        </w:tc>
      </w:tr>
      <w:tr w:rsidR="00A53036" w:rsidRPr="00354BAE" w14:paraId="0D084074" w14:textId="77777777" w:rsidTr="00A53036">
        <w:trPr>
          <w:trHeight w:val="375"/>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14:paraId="1F716533" w14:textId="77777777" w:rsidR="00A53036" w:rsidRPr="00813B7F" w:rsidRDefault="00A53036" w:rsidP="00A53036">
            <w:pPr>
              <w:rPr>
                <w:rFonts w:eastAsia="Times New Roman"/>
                <w:color w:val="000000"/>
              </w:rPr>
            </w:pPr>
            <w:r w:rsidRPr="00813B7F">
              <w:rPr>
                <w:rFonts w:eastAsia="Times New Roman"/>
                <w:color w:val="000000"/>
              </w:rPr>
              <w:t>Average wait time (tier 1 calls) Off-peak hours</w:t>
            </w:r>
          </w:p>
        </w:tc>
        <w:tc>
          <w:tcPr>
            <w:tcW w:w="776" w:type="dxa"/>
            <w:tcBorders>
              <w:top w:val="nil"/>
              <w:left w:val="nil"/>
              <w:bottom w:val="single" w:sz="4" w:space="0" w:color="auto"/>
              <w:right w:val="single" w:sz="4" w:space="0" w:color="auto"/>
            </w:tcBorders>
            <w:shd w:val="clear" w:color="auto" w:fill="auto"/>
            <w:noWrap/>
            <w:vAlign w:val="bottom"/>
            <w:hideMark/>
          </w:tcPr>
          <w:p w14:paraId="5C440C73" w14:textId="77777777" w:rsidR="00A53036" w:rsidRPr="00813B7F" w:rsidRDefault="00A53036" w:rsidP="00A53036">
            <w:pPr>
              <w:jc w:val="right"/>
              <w:rPr>
                <w:rFonts w:eastAsia="Times New Roman"/>
                <w:color w:val="000000"/>
              </w:rPr>
            </w:pPr>
            <w:r w:rsidRPr="00813B7F">
              <w:rPr>
                <w:rFonts w:eastAsia="Times New Roman"/>
                <w:color w:val="000000"/>
              </w:rPr>
              <w:t>14</w:t>
            </w:r>
          </w:p>
        </w:tc>
        <w:tc>
          <w:tcPr>
            <w:tcW w:w="776" w:type="dxa"/>
            <w:tcBorders>
              <w:top w:val="nil"/>
              <w:left w:val="nil"/>
              <w:bottom w:val="single" w:sz="4" w:space="0" w:color="auto"/>
              <w:right w:val="single" w:sz="4" w:space="0" w:color="auto"/>
            </w:tcBorders>
            <w:shd w:val="clear" w:color="auto" w:fill="auto"/>
            <w:noWrap/>
            <w:vAlign w:val="bottom"/>
            <w:hideMark/>
          </w:tcPr>
          <w:p w14:paraId="399E7716" w14:textId="77777777" w:rsidR="00A53036" w:rsidRPr="00813B7F" w:rsidRDefault="00A53036" w:rsidP="00A53036">
            <w:pPr>
              <w:jc w:val="right"/>
              <w:rPr>
                <w:rFonts w:eastAsia="Times New Roman"/>
                <w:color w:val="000000"/>
              </w:rPr>
            </w:pPr>
            <w:r w:rsidRPr="00813B7F">
              <w:rPr>
                <w:rFonts w:eastAsia="Times New Roman"/>
                <w:color w:val="000000"/>
              </w:rPr>
              <w:t>32</w:t>
            </w:r>
          </w:p>
        </w:tc>
        <w:tc>
          <w:tcPr>
            <w:tcW w:w="776" w:type="dxa"/>
            <w:tcBorders>
              <w:top w:val="nil"/>
              <w:left w:val="nil"/>
              <w:bottom w:val="single" w:sz="4" w:space="0" w:color="auto"/>
              <w:right w:val="single" w:sz="4" w:space="0" w:color="auto"/>
            </w:tcBorders>
            <w:shd w:val="clear" w:color="auto" w:fill="auto"/>
            <w:noWrap/>
            <w:vAlign w:val="bottom"/>
            <w:hideMark/>
          </w:tcPr>
          <w:p w14:paraId="0F4B62A2" w14:textId="77777777" w:rsidR="00A53036" w:rsidRPr="00813B7F" w:rsidRDefault="00A53036" w:rsidP="00A53036">
            <w:pPr>
              <w:jc w:val="right"/>
              <w:rPr>
                <w:rFonts w:eastAsia="Times New Roman"/>
                <w:color w:val="000000"/>
              </w:rPr>
            </w:pPr>
            <w:r w:rsidRPr="00813B7F">
              <w:rPr>
                <w:rFonts w:eastAsia="Times New Roman"/>
                <w:color w:val="000000"/>
              </w:rPr>
              <w:t>24</w:t>
            </w:r>
          </w:p>
        </w:tc>
        <w:tc>
          <w:tcPr>
            <w:tcW w:w="776" w:type="dxa"/>
            <w:tcBorders>
              <w:top w:val="nil"/>
              <w:left w:val="nil"/>
              <w:bottom w:val="single" w:sz="4" w:space="0" w:color="auto"/>
              <w:right w:val="single" w:sz="4" w:space="0" w:color="auto"/>
            </w:tcBorders>
            <w:shd w:val="clear" w:color="auto" w:fill="auto"/>
            <w:noWrap/>
            <w:vAlign w:val="bottom"/>
            <w:hideMark/>
          </w:tcPr>
          <w:p w14:paraId="5A1399F2" w14:textId="77777777" w:rsidR="00A53036" w:rsidRPr="00813B7F" w:rsidRDefault="00A53036" w:rsidP="00A53036">
            <w:pPr>
              <w:jc w:val="right"/>
              <w:rPr>
                <w:rFonts w:eastAsia="Times New Roman"/>
                <w:color w:val="000000"/>
              </w:rPr>
            </w:pPr>
            <w:r w:rsidRPr="00813B7F">
              <w:rPr>
                <w:rFonts w:eastAsia="Times New Roman"/>
                <w:color w:val="000000"/>
              </w:rPr>
              <w:t>56</w:t>
            </w:r>
          </w:p>
        </w:tc>
        <w:tc>
          <w:tcPr>
            <w:tcW w:w="788" w:type="dxa"/>
            <w:tcBorders>
              <w:top w:val="nil"/>
              <w:left w:val="nil"/>
              <w:bottom w:val="single" w:sz="4" w:space="0" w:color="auto"/>
              <w:right w:val="single" w:sz="4" w:space="0" w:color="auto"/>
            </w:tcBorders>
            <w:shd w:val="clear" w:color="auto" w:fill="auto"/>
            <w:noWrap/>
            <w:vAlign w:val="bottom"/>
            <w:hideMark/>
          </w:tcPr>
          <w:p w14:paraId="3D05C27D" w14:textId="77777777" w:rsidR="00A53036" w:rsidRPr="00813B7F" w:rsidRDefault="00A53036" w:rsidP="00A53036">
            <w:pPr>
              <w:jc w:val="right"/>
              <w:rPr>
                <w:rFonts w:eastAsia="Times New Roman"/>
                <w:color w:val="000000"/>
              </w:rPr>
            </w:pPr>
            <w:r w:rsidRPr="00813B7F">
              <w:rPr>
                <w:rFonts w:eastAsia="Times New Roman"/>
                <w:color w:val="000000"/>
              </w:rPr>
              <w:t>20</w:t>
            </w:r>
          </w:p>
        </w:tc>
        <w:tc>
          <w:tcPr>
            <w:tcW w:w="843" w:type="dxa"/>
            <w:tcBorders>
              <w:top w:val="nil"/>
              <w:left w:val="nil"/>
              <w:bottom w:val="single" w:sz="4" w:space="0" w:color="auto"/>
              <w:right w:val="single" w:sz="4" w:space="0" w:color="auto"/>
            </w:tcBorders>
            <w:shd w:val="clear" w:color="auto" w:fill="auto"/>
            <w:noWrap/>
            <w:vAlign w:val="bottom"/>
            <w:hideMark/>
          </w:tcPr>
          <w:p w14:paraId="21030CA1" w14:textId="77777777" w:rsidR="00A53036" w:rsidRPr="00813B7F" w:rsidRDefault="00A53036" w:rsidP="00A53036">
            <w:pPr>
              <w:jc w:val="right"/>
              <w:rPr>
                <w:rFonts w:eastAsia="Times New Roman"/>
                <w:color w:val="000000"/>
              </w:rPr>
            </w:pPr>
            <w:r w:rsidRPr="00813B7F">
              <w:rPr>
                <w:rFonts w:eastAsia="Times New Roman"/>
                <w:color w:val="000000"/>
              </w:rPr>
              <w:t>19</w:t>
            </w:r>
          </w:p>
        </w:tc>
      </w:tr>
    </w:tbl>
    <w:p w14:paraId="5D9DF9EF" w14:textId="77777777" w:rsidR="00A53036" w:rsidRPr="00354BAE" w:rsidRDefault="00A53036" w:rsidP="00A53036">
      <w:pPr>
        <w:spacing w:before="120" w:after="360"/>
        <w:ind w:firstLine="720"/>
        <w:jc w:val="center"/>
        <w:rPr>
          <w:i/>
        </w:rPr>
      </w:pPr>
      <w:r w:rsidRPr="00354BAE">
        <w:rPr>
          <w:i/>
        </w:rPr>
        <w:t>Figure No. 2. This figure shows the average wait time per fiscal year for 311 calls during peak and off-peak hours.</w:t>
      </w:r>
    </w:p>
    <w:p w14:paraId="6F401F9D" w14:textId="64F0863B" w:rsidR="00A53036" w:rsidRPr="00A53036" w:rsidRDefault="00A53036" w:rsidP="00A53036">
      <w:pPr>
        <w:spacing w:after="200" w:line="480" w:lineRule="auto"/>
        <w:rPr>
          <w:b/>
          <w:i/>
        </w:rPr>
      </w:pPr>
      <w:r w:rsidRPr="00354BAE">
        <w:t>As displayed by</w:t>
      </w:r>
      <w:r>
        <w:t xml:space="preserve"> the line graphs in Figure No. 3</w:t>
      </w:r>
      <w:r w:rsidRPr="00354BAE">
        <w:t>, the average wait time for</w:t>
      </w:r>
      <w:r>
        <w:t xml:space="preserve"> calls peaked in FY20, which </w:t>
      </w:r>
      <w:r w:rsidRPr="00354BAE">
        <w:t>311 noted was due to the onset of the COVID-19 pandemic, the 2020 general election, Tropical Storm Isaias, and student transport.</w:t>
      </w:r>
      <w:r w:rsidRPr="00354BAE">
        <w:rPr>
          <w:rStyle w:val="FootnoteReference"/>
        </w:rPr>
        <w:footnoteReference w:id="9"/>
      </w:r>
    </w:p>
    <w:p w14:paraId="031B38A7" w14:textId="4C7EE4C5" w:rsidR="00A53036" w:rsidRPr="00A53036" w:rsidRDefault="00BE3072" w:rsidP="00A53036">
      <w:pPr>
        <w:spacing w:after="200" w:line="276" w:lineRule="auto"/>
        <w:jc w:val="center"/>
        <w:rPr>
          <w:b/>
          <w:i/>
        </w:rPr>
      </w:pPr>
      <w:r>
        <w:rPr>
          <w:b/>
          <w:i/>
          <w:noProof/>
        </w:rPr>
        <w:drawing>
          <wp:inline distT="0" distB="0" distL="0" distR="0" wp14:anchorId="6BE5C5F2" wp14:editId="253B9A93">
            <wp:extent cx="5543030" cy="3803904"/>
            <wp:effectExtent l="0" t="0" r="635" b="6350"/>
            <wp:docPr id="2" name="Picture 2" descr="C:\Users\ason\AppData\Local\Microsoft\Windows\INetCache\Content.MSO\94D3EC0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on\AppData\Local\Microsoft\Windows\INetCache\Content.MSO\94D3EC0C.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3030" cy="3803904"/>
                    </a:xfrm>
                    <a:prstGeom prst="rect">
                      <a:avLst/>
                    </a:prstGeom>
                    <a:noFill/>
                    <a:ln>
                      <a:noFill/>
                    </a:ln>
                  </pic:spPr>
                </pic:pic>
              </a:graphicData>
            </a:graphic>
          </wp:inline>
        </w:drawing>
      </w:r>
    </w:p>
    <w:p w14:paraId="2AB3DAE8" w14:textId="72BCEE95" w:rsidR="00A53036" w:rsidRPr="00354BAE" w:rsidRDefault="00A53036" w:rsidP="00A53036">
      <w:pPr>
        <w:jc w:val="center"/>
        <w:rPr>
          <w:rFonts w:eastAsia="Times New Roman"/>
          <w:i/>
          <w:color w:val="000000"/>
        </w:rPr>
      </w:pPr>
      <w:r>
        <w:rPr>
          <w:rFonts w:eastAsia="Times New Roman"/>
          <w:i/>
          <w:color w:val="000000"/>
        </w:rPr>
        <w:t>Figure No. 3</w:t>
      </w:r>
      <w:r w:rsidRPr="00354BAE">
        <w:rPr>
          <w:rFonts w:eastAsia="Times New Roman"/>
          <w:i/>
          <w:color w:val="000000"/>
        </w:rPr>
        <w:t>: This figure displays a table to note data for performance indicators for the ave</w:t>
      </w:r>
      <w:r>
        <w:rPr>
          <w:rFonts w:eastAsia="Times New Roman"/>
          <w:i/>
          <w:color w:val="000000"/>
        </w:rPr>
        <w:t xml:space="preserve">rage wait times for calls to </w:t>
      </w:r>
      <w:r w:rsidRPr="00354BAE">
        <w:rPr>
          <w:rFonts w:eastAsia="Times New Roman"/>
          <w:i/>
          <w:color w:val="000000"/>
        </w:rPr>
        <w:t>311 during peak and off-peak hours, separated across five fiscal years from Fiscal Year 2017 to Fiscal Year 2022</w:t>
      </w:r>
    </w:p>
    <w:p w14:paraId="27407E52" w14:textId="77777777" w:rsidR="00A53036" w:rsidRDefault="00A53036" w:rsidP="00A53036">
      <w:pPr>
        <w:pStyle w:val="ListParagraph"/>
        <w:spacing w:after="200" w:line="276" w:lineRule="auto"/>
        <w:ind w:left="1170"/>
        <w:rPr>
          <w:b/>
          <w:i/>
        </w:rPr>
      </w:pPr>
      <w:r>
        <w:rPr>
          <w:b/>
          <w:i/>
        </w:rPr>
        <w:t xml:space="preserve"> </w:t>
      </w:r>
    </w:p>
    <w:p w14:paraId="37F32540" w14:textId="336E3DAA" w:rsidR="00F50528" w:rsidRPr="00FC372D" w:rsidRDefault="00F50528" w:rsidP="00FC372D">
      <w:pPr>
        <w:pStyle w:val="ListParagraph"/>
        <w:numPr>
          <w:ilvl w:val="1"/>
          <w:numId w:val="1"/>
        </w:numPr>
        <w:spacing w:after="200" w:line="276" w:lineRule="auto"/>
        <w:rPr>
          <w:b/>
          <w:i/>
        </w:rPr>
      </w:pPr>
      <w:r w:rsidRPr="00FC372D">
        <w:rPr>
          <w:b/>
          <w:i/>
        </w:rPr>
        <w:t>Technology Upgrades</w:t>
      </w:r>
    </w:p>
    <w:p w14:paraId="34D26265" w14:textId="07D81EA6" w:rsidR="00F50528" w:rsidRPr="00FE0782" w:rsidRDefault="00F50528" w:rsidP="00FC372D">
      <w:pPr>
        <w:spacing w:line="480" w:lineRule="auto"/>
        <w:ind w:firstLine="720"/>
        <w:jc w:val="both"/>
      </w:pPr>
      <w:r w:rsidRPr="00354BAE">
        <w:t>One of the</w:t>
      </w:r>
      <w:r>
        <w:t xml:space="preserve"> most recent upgrades to the </w:t>
      </w:r>
      <w:r w:rsidRPr="00354BAE">
        <w:t xml:space="preserve">311 system has come through the deployment and completion of a $24 million </w:t>
      </w:r>
      <w:r w:rsidR="001A10C9">
        <w:t>c</w:t>
      </w:r>
      <w:r w:rsidR="001A10C9" w:rsidRPr="00354BAE">
        <w:t xml:space="preserve">ity </w:t>
      </w:r>
      <w:r w:rsidRPr="00354BAE">
        <w:t>contract awarded to IBM that went live in mid-2019, in</w:t>
      </w:r>
      <w:r w:rsidR="00A53036">
        <w:t xml:space="preserve"> which IBM’s Watson revamped </w:t>
      </w:r>
      <w:r w:rsidRPr="00354BAE">
        <w:t>311’s customer relationship management platform (“CRM”) to support multiple communications channels through its abilities as a computing system with machine-learning capability.</w:t>
      </w:r>
      <w:r w:rsidRPr="00354BAE">
        <w:rPr>
          <w:rStyle w:val="FootnoteReference"/>
        </w:rPr>
        <w:footnoteReference w:id="10"/>
      </w:r>
      <w:r w:rsidRPr="00354BAE">
        <w:t xml:space="preserve"> On February 11, 2021, </w:t>
      </w:r>
      <w:r w:rsidR="001A10C9" w:rsidRPr="00354BAE">
        <w:t>D</w:t>
      </w:r>
      <w:r w:rsidR="001A10C9">
        <w:t>o</w:t>
      </w:r>
      <w:r w:rsidR="001A10C9" w:rsidRPr="00354BAE">
        <w:t xml:space="preserve">ITT </w:t>
      </w:r>
      <w:r w:rsidRPr="00354BAE">
        <w:t>received an approval in the amount of $45,500,652 for hardware, software, and professional services necessary to complete the first phase of the 311 Telecommunication System Modernization.</w:t>
      </w:r>
      <w:r w:rsidRPr="00354BAE">
        <w:rPr>
          <w:rStyle w:val="FootnoteReference"/>
        </w:rPr>
        <w:footnoteReference w:id="11"/>
      </w:r>
      <w:r w:rsidRPr="00354BAE">
        <w:t xml:space="preserve"> Additionally, during a preliminary budget hearing held on March 10, 2021, </w:t>
      </w:r>
      <w:r w:rsidR="001A10C9" w:rsidRPr="00354BAE">
        <w:t>D</w:t>
      </w:r>
      <w:r w:rsidR="001A10C9">
        <w:t>o</w:t>
      </w:r>
      <w:r w:rsidR="001A10C9" w:rsidRPr="00354BAE">
        <w:t xml:space="preserve">ITT </w:t>
      </w:r>
      <w:r w:rsidR="001A10C9">
        <w:t>then-</w:t>
      </w:r>
      <w:r w:rsidRPr="00354BAE">
        <w:t xml:space="preserve">Commissioner </w:t>
      </w:r>
      <w:r w:rsidR="00A53036">
        <w:t xml:space="preserve">Jessica Tisch testified that </w:t>
      </w:r>
      <w:r w:rsidRPr="00354BAE">
        <w:t>311 had made several improvements over the past year, including: enabling photo and video attachments for more types of service requests; adding additional service request types available via the mobile app; and emailing alerts for all service requests regardless of whether the customer has signed up for an account.</w:t>
      </w:r>
      <w:r w:rsidRPr="00354BAE">
        <w:rPr>
          <w:rStyle w:val="FootnoteReference"/>
        </w:rPr>
        <w:footnoteReference w:id="12"/>
      </w:r>
      <w:r w:rsidRPr="00354BAE">
        <w:t xml:space="preserve"> The Commissioner also mentioned that planned improvements include improved location selection and accuracy were to begin in April 2021.</w:t>
      </w:r>
      <w:r w:rsidRPr="00354BAE">
        <w:rPr>
          <w:rStyle w:val="FootnoteReference"/>
        </w:rPr>
        <w:footnoteReference w:id="13"/>
      </w:r>
      <w:r w:rsidRPr="00354BAE">
        <w:t xml:space="preserve"> The Committee seeks to hear testimony on recent updates and t</w:t>
      </w:r>
      <w:r w:rsidR="00A53036">
        <w:t xml:space="preserve">echnological upgrades to the </w:t>
      </w:r>
      <w:r w:rsidRPr="00354BAE">
        <w:t xml:space="preserve">311 system. </w:t>
      </w:r>
    </w:p>
    <w:p w14:paraId="19DA50CF" w14:textId="77777777" w:rsidR="00A71C04" w:rsidRDefault="00A71C04" w:rsidP="00690766">
      <w:pPr>
        <w:pStyle w:val="ListParagraph"/>
        <w:keepNext/>
        <w:numPr>
          <w:ilvl w:val="1"/>
          <w:numId w:val="1"/>
        </w:numPr>
        <w:autoSpaceDE w:val="0"/>
        <w:autoSpaceDN w:val="0"/>
        <w:adjustRightInd w:val="0"/>
        <w:spacing w:line="480" w:lineRule="auto"/>
        <w:ind w:left="1166"/>
        <w:contextualSpacing w:val="0"/>
        <w:rPr>
          <w:rFonts w:eastAsia="MyriadPro-Regular"/>
          <w:b/>
          <w:i/>
        </w:rPr>
      </w:pPr>
      <w:r>
        <w:rPr>
          <w:rFonts w:eastAsia="MyriadPro-Regular"/>
          <w:b/>
          <w:i/>
        </w:rPr>
        <w:t>User Experience</w:t>
      </w:r>
    </w:p>
    <w:p w14:paraId="487A3798" w14:textId="75467B47" w:rsidR="006229F0" w:rsidRPr="00A71C04" w:rsidRDefault="00A71C04" w:rsidP="006229F0">
      <w:pPr>
        <w:spacing w:line="480" w:lineRule="auto"/>
        <w:ind w:firstLine="720"/>
        <w:jc w:val="both"/>
      </w:pPr>
      <w:r w:rsidRPr="00354BAE">
        <w:t>Ap</w:t>
      </w:r>
      <w:r w:rsidR="00122C26">
        <w:t xml:space="preserve">p store reviews for the </w:t>
      </w:r>
      <w:r w:rsidRPr="00354BAE">
        <w:t xml:space="preserve">311 mobile app on both the Google Play and Apple App Store have highlighted problems that impact a user’s ability to </w:t>
      </w:r>
      <w:r w:rsidR="00122C26">
        <w:t xml:space="preserve">register service requests to </w:t>
      </w:r>
      <w:r w:rsidRPr="00354BAE">
        <w:t>311 and the ability to use the app’s functions.</w:t>
      </w:r>
      <w:r w:rsidRPr="00354BAE">
        <w:rPr>
          <w:rStyle w:val="FootnoteReference"/>
        </w:rPr>
        <w:footnoteReference w:id="14"/>
      </w:r>
      <w:r w:rsidRPr="00354BAE">
        <w:t xml:space="preserve"> Users complained about lacking the ability to attach photos and videos to 311 requests, while GPS location accuracy and map accuracy was another common issue.</w:t>
      </w:r>
      <w:r w:rsidRPr="00354BAE">
        <w:rPr>
          <w:rStyle w:val="FootnoteReference"/>
        </w:rPr>
        <w:footnoteReference w:id="15"/>
      </w:r>
      <w:r w:rsidRPr="00354BAE">
        <w:t xml:space="preserve"> Additional issues included having to click through too many pages to submit a service request, as well as being redirected out of the mobile app to a mobile website, or being redirected to a phone number due to lack of app support for a service request.</w:t>
      </w:r>
      <w:r w:rsidRPr="00354BAE">
        <w:rPr>
          <w:rStyle w:val="FootnoteReference"/>
        </w:rPr>
        <w:footnoteReference w:id="16"/>
      </w:r>
      <w:r w:rsidRPr="00354BAE">
        <w:t xml:space="preserve"> </w:t>
      </w:r>
    </w:p>
    <w:p w14:paraId="060335C4" w14:textId="5758798B" w:rsidR="006743BF" w:rsidRDefault="00E45B1A" w:rsidP="006743BF">
      <w:pPr>
        <w:pStyle w:val="ListParagraph"/>
        <w:numPr>
          <w:ilvl w:val="1"/>
          <w:numId w:val="1"/>
        </w:numPr>
        <w:autoSpaceDE w:val="0"/>
        <w:autoSpaceDN w:val="0"/>
        <w:adjustRightInd w:val="0"/>
        <w:spacing w:line="480" w:lineRule="auto"/>
        <w:contextualSpacing w:val="0"/>
        <w:rPr>
          <w:rFonts w:eastAsia="MyriadPro-Regular"/>
          <w:b/>
          <w:i/>
        </w:rPr>
      </w:pPr>
      <w:r w:rsidRPr="00E45B1A">
        <w:rPr>
          <w:rFonts w:eastAsia="MyriadPro-Regular"/>
          <w:b/>
          <w:i/>
        </w:rPr>
        <w:t xml:space="preserve">311 </w:t>
      </w:r>
      <w:r w:rsidR="00F11B37">
        <w:rPr>
          <w:rFonts w:eastAsia="MyriadPro-Regular"/>
          <w:b/>
          <w:i/>
        </w:rPr>
        <w:t xml:space="preserve">and </w:t>
      </w:r>
      <w:r w:rsidRPr="00E45B1A">
        <w:rPr>
          <w:rFonts w:eastAsia="MyriadPro-Regular"/>
          <w:b/>
          <w:i/>
        </w:rPr>
        <w:t>Language Access</w:t>
      </w:r>
    </w:p>
    <w:p w14:paraId="6D943C3A" w14:textId="742C1705" w:rsidR="00F11B37" w:rsidRPr="00F11B37" w:rsidRDefault="00F11B37" w:rsidP="00F11B37">
      <w:pPr>
        <w:pStyle w:val="ListParagraph"/>
        <w:numPr>
          <w:ilvl w:val="2"/>
          <w:numId w:val="1"/>
        </w:numPr>
        <w:autoSpaceDE w:val="0"/>
        <w:autoSpaceDN w:val="0"/>
        <w:adjustRightInd w:val="0"/>
        <w:spacing w:line="480" w:lineRule="auto"/>
        <w:contextualSpacing w:val="0"/>
        <w:rPr>
          <w:rFonts w:eastAsia="MyriadPro-Regular"/>
          <w:i/>
        </w:rPr>
      </w:pPr>
      <w:r w:rsidRPr="00F11B37">
        <w:rPr>
          <w:rFonts w:eastAsia="MyriadPro-Regular"/>
          <w:i/>
        </w:rPr>
        <w:t>Overview of 311 Language Access Services</w:t>
      </w:r>
    </w:p>
    <w:p w14:paraId="3A0F7983" w14:textId="265B9B65" w:rsidR="002128BC" w:rsidRPr="002128BC" w:rsidRDefault="002128BC" w:rsidP="002128BC">
      <w:pPr>
        <w:widowControl w:val="0"/>
        <w:autoSpaceDE w:val="0"/>
        <w:autoSpaceDN w:val="0"/>
        <w:adjustRightInd w:val="0"/>
        <w:spacing w:line="480" w:lineRule="auto"/>
        <w:ind w:firstLine="720"/>
        <w:jc w:val="both"/>
        <w:rPr>
          <w:color w:val="000000"/>
        </w:rPr>
      </w:pPr>
      <w:r>
        <w:t>In 2017, t</w:t>
      </w:r>
      <w:r w:rsidRPr="00176070">
        <w:t xml:space="preserve">o improve access to </w:t>
      </w:r>
      <w:r w:rsidR="00022EAA">
        <w:t>c</w:t>
      </w:r>
      <w:r w:rsidR="00022EAA" w:rsidRPr="00176070">
        <w:t xml:space="preserve">ity </w:t>
      </w:r>
      <w:r w:rsidRPr="00176070">
        <w:t xml:space="preserve">government information and services, the Council passed Local Law 30 of 2017, which requires covered agencies </w:t>
      </w:r>
      <w:r>
        <w:t xml:space="preserve">to </w:t>
      </w:r>
      <w:r w:rsidRPr="00176070">
        <w:t xml:space="preserve">provide language access services </w:t>
      </w:r>
      <w:r>
        <w:t xml:space="preserve">in each of the </w:t>
      </w:r>
      <w:r w:rsidRPr="00176070">
        <w:t>designated citywide languages.</w:t>
      </w:r>
      <w:bookmarkStart w:id="4" w:name="_Ref27400416"/>
      <w:r w:rsidRPr="00176070">
        <w:rPr>
          <w:rStyle w:val="FootnoteReference"/>
        </w:rPr>
        <w:footnoteReference w:id="17"/>
      </w:r>
      <w:bookmarkEnd w:id="4"/>
      <w:r w:rsidRPr="00176070">
        <w:t xml:space="preserve"> </w:t>
      </w:r>
      <w:r>
        <w:t>For this purpose, the term “designated citywide languages” means</w:t>
      </w:r>
      <w:r w:rsidRPr="002128BC">
        <w:rPr>
          <w:color w:val="000000"/>
        </w:rPr>
        <w:t xml:space="preserve"> the top </w:t>
      </w:r>
      <w:r>
        <w:rPr>
          <w:color w:val="000000"/>
        </w:rPr>
        <w:t>ten</w:t>
      </w:r>
      <w:r w:rsidRPr="002128BC">
        <w:rPr>
          <w:color w:val="000000"/>
        </w:rPr>
        <w:t xml:space="preserve"> </w:t>
      </w:r>
      <w:r>
        <w:rPr>
          <w:color w:val="000000"/>
        </w:rPr>
        <w:t xml:space="preserve">non-English </w:t>
      </w:r>
      <w:r w:rsidRPr="002128BC">
        <w:rPr>
          <w:color w:val="000000"/>
        </w:rPr>
        <w:t xml:space="preserve">languages spoken by </w:t>
      </w:r>
      <w:r>
        <w:rPr>
          <w:color w:val="000000"/>
        </w:rPr>
        <w:t xml:space="preserve">limited-English proficient </w:t>
      </w:r>
      <w:r w:rsidR="00FC372D">
        <w:rPr>
          <w:color w:val="000000"/>
        </w:rPr>
        <w:t xml:space="preserve">(“LEP”) </w:t>
      </w:r>
      <w:r>
        <w:rPr>
          <w:color w:val="000000"/>
        </w:rPr>
        <w:t xml:space="preserve">New Yorkers </w:t>
      </w:r>
      <w:r w:rsidRPr="002128BC">
        <w:rPr>
          <w:color w:val="000000"/>
        </w:rPr>
        <w:t>based on U.S. Census data</w:t>
      </w:r>
      <w:r>
        <w:rPr>
          <w:color w:val="000000"/>
        </w:rPr>
        <w:t xml:space="preserve"> and </w:t>
      </w:r>
      <w:r w:rsidRPr="002128BC">
        <w:rPr>
          <w:color w:val="000000"/>
        </w:rPr>
        <w:t xml:space="preserve">data collected the </w:t>
      </w:r>
      <w:r w:rsidR="00022EAA">
        <w:rPr>
          <w:color w:val="000000"/>
        </w:rPr>
        <w:t>c</w:t>
      </w:r>
      <w:r w:rsidR="00022EAA" w:rsidRPr="002128BC">
        <w:rPr>
          <w:color w:val="000000"/>
        </w:rPr>
        <w:t xml:space="preserve">ity’s </w:t>
      </w:r>
      <w:r w:rsidRPr="002128BC">
        <w:rPr>
          <w:color w:val="000000"/>
        </w:rPr>
        <w:t>Department of Education.</w:t>
      </w:r>
      <w:r w:rsidRPr="00176070">
        <w:rPr>
          <w:rStyle w:val="FootnoteReference"/>
          <w:color w:val="000000"/>
        </w:rPr>
        <w:footnoteReference w:id="18"/>
      </w:r>
      <w:r w:rsidRPr="002128BC">
        <w:rPr>
          <w:color w:val="000000"/>
        </w:rPr>
        <w:t xml:space="preserve"> </w:t>
      </w:r>
      <w:r>
        <w:rPr>
          <w:color w:val="000000"/>
        </w:rPr>
        <w:t>Currently, these languages are</w:t>
      </w:r>
      <w:r w:rsidRPr="002128BC">
        <w:rPr>
          <w:color w:val="000000"/>
        </w:rPr>
        <w:t xml:space="preserve"> Spanish, Chinese (Mandarin and Cantonese), Russian, Bengali, Haitian Creole, Korean, Arabic, French, Urdu and Polish.</w:t>
      </w:r>
      <w:r w:rsidRPr="00176070">
        <w:rPr>
          <w:rStyle w:val="FootnoteReference"/>
          <w:color w:val="000000"/>
        </w:rPr>
        <w:footnoteReference w:id="19"/>
      </w:r>
    </w:p>
    <w:p w14:paraId="78259ADA" w14:textId="47C16059" w:rsidR="002128BC" w:rsidRDefault="002128BC" w:rsidP="002128BC">
      <w:pPr>
        <w:widowControl w:val="0"/>
        <w:autoSpaceDE w:val="0"/>
        <w:autoSpaceDN w:val="0"/>
        <w:adjustRightInd w:val="0"/>
        <w:spacing w:line="480" w:lineRule="auto"/>
        <w:ind w:firstLine="720"/>
        <w:jc w:val="both"/>
        <w:rPr>
          <w:color w:val="000000"/>
        </w:rPr>
      </w:pPr>
      <w:r w:rsidRPr="002128BC">
        <w:rPr>
          <w:color w:val="000000"/>
        </w:rPr>
        <w:t>Pursuant to Local Law 30, members of the public can submit language access complaints and requests through 311.</w:t>
      </w:r>
      <w:r w:rsidRPr="002128BC">
        <w:rPr>
          <w:color w:val="000000"/>
          <w:vertAlign w:val="superscript"/>
        </w:rPr>
        <w:footnoteReference w:id="20"/>
      </w:r>
      <w:r w:rsidRPr="002128BC">
        <w:rPr>
          <w:color w:val="000000"/>
        </w:rPr>
        <w:t xml:space="preserve"> Language access complaints refer to instances in which an individual stated that they did not receive access to information services because of a language barrier and requests for additional language services regarding, for example, a need for interpretation at a facility or agency service, or a need for material that should be translated into additional languages.</w:t>
      </w:r>
      <w:r w:rsidRPr="002128BC">
        <w:rPr>
          <w:color w:val="000000"/>
          <w:vertAlign w:val="superscript"/>
        </w:rPr>
        <w:footnoteReference w:id="21"/>
      </w:r>
      <w:r w:rsidRPr="002128BC">
        <w:rPr>
          <w:color w:val="000000"/>
        </w:rPr>
        <w:t xml:space="preserve"> The Mayor’s Office of Immigrant Affairs and </w:t>
      </w:r>
      <w:r>
        <w:rPr>
          <w:color w:val="000000"/>
        </w:rPr>
        <w:t xml:space="preserve">the Mayor’s Office of Operations </w:t>
      </w:r>
      <w:r w:rsidRPr="002128BC">
        <w:rPr>
          <w:color w:val="000000"/>
        </w:rPr>
        <w:t>annually report</w:t>
      </w:r>
      <w:r>
        <w:rPr>
          <w:color w:val="000000"/>
        </w:rPr>
        <w:t xml:space="preserve"> the number of </w:t>
      </w:r>
      <w:r w:rsidRPr="002128BC">
        <w:rPr>
          <w:color w:val="000000"/>
        </w:rPr>
        <w:t xml:space="preserve">such complaints </w:t>
      </w:r>
      <w:r>
        <w:rPr>
          <w:color w:val="000000"/>
        </w:rPr>
        <w:t>received by each agency</w:t>
      </w:r>
      <w:r w:rsidRPr="002128BC">
        <w:rPr>
          <w:color w:val="000000"/>
        </w:rPr>
        <w:t xml:space="preserve"> and how such complaints were resolved.</w:t>
      </w:r>
      <w:r w:rsidRPr="002128BC">
        <w:rPr>
          <w:color w:val="000000"/>
          <w:vertAlign w:val="superscript"/>
        </w:rPr>
        <w:footnoteReference w:id="22"/>
      </w:r>
    </w:p>
    <w:p w14:paraId="7120BA03" w14:textId="40F74BE0" w:rsidR="00BC7B05" w:rsidRDefault="00EC1340" w:rsidP="00BC7B05">
      <w:pPr>
        <w:widowControl w:val="0"/>
        <w:autoSpaceDE w:val="0"/>
        <w:autoSpaceDN w:val="0"/>
        <w:adjustRightInd w:val="0"/>
        <w:spacing w:line="480" w:lineRule="auto"/>
        <w:ind w:firstLine="720"/>
        <w:jc w:val="both"/>
      </w:pPr>
      <w:r w:rsidRPr="00176070">
        <w:rPr>
          <w:color w:val="000000"/>
        </w:rPr>
        <w:t>Local Law 30 also required every covered agency to develop and implement an agency-specific language access plan to describe how language access services will be provided.</w:t>
      </w:r>
      <w:r w:rsidRPr="00176070">
        <w:rPr>
          <w:rStyle w:val="FootnoteReference"/>
          <w:color w:val="000000"/>
        </w:rPr>
        <w:footnoteReference w:id="23"/>
      </w:r>
      <w:r w:rsidRPr="00176070">
        <w:rPr>
          <w:color w:val="000000"/>
        </w:rPr>
        <w:t xml:space="preserve"> These plans must be updated at least every three years and published on the agency’s website.</w:t>
      </w:r>
      <w:r w:rsidRPr="00176070">
        <w:rPr>
          <w:rStyle w:val="FootnoteReference"/>
          <w:color w:val="000000"/>
        </w:rPr>
        <w:footnoteReference w:id="24"/>
      </w:r>
      <w:r w:rsidRPr="00176070">
        <w:rPr>
          <w:color w:val="000000"/>
        </w:rPr>
        <w:t xml:space="preserve"> </w:t>
      </w:r>
      <w:r w:rsidRPr="00176070">
        <w:t xml:space="preserve">According to its </w:t>
      </w:r>
      <w:r>
        <w:t>most-recent</w:t>
      </w:r>
      <w:r w:rsidRPr="00176070">
        <w:t xml:space="preserve"> language access plan, </w:t>
      </w:r>
      <w:r>
        <w:t>updated in</w:t>
      </w:r>
      <w:r w:rsidRPr="00176070">
        <w:t xml:space="preserve"> June </w:t>
      </w:r>
      <w:r>
        <w:t>2021</w:t>
      </w:r>
      <w:r w:rsidRPr="00176070">
        <w:t>, 311 offers telephonic interpretation and translation services in more than 175 langu</w:t>
      </w:r>
      <w:r w:rsidR="00C826EC">
        <w:t>ages.</w:t>
      </w:r>
      <w:r w:rsidR="00C826EC">
        <w:rPr>
          <w:rStyle w:val="FootnoteReference"/>
        </w:rPr>
        <w:footnoteReference w:id="25"/>
      </w:r>
      <w:r w:rsidRPr="00176070">
        <w:t xml:space="preserve"> Translation is also provided in more than 100 languages on 311’s website.</w:t>
      </w:r>
      <w:r w:rsidR="00C826EC">
        <w:rPr>
          <w:rStyle w:val="FootnoteReference"/>
        </w:rPr>
        <w:footnoteReference w:id="26"/>
      </w:r>
    </w:p>
    <w:p w14:paraId="7FEA14A4" w14:textId="092CB459" w:rsidR="00EB59F1" w:rsidRDefault="00561ACD" w:rsidP="00EB59F1">
      <w:pPr>
        <w:widowControl w:val="0"/>
        <w:autoSpaceDE w:val="0"/>
        <w:autoSpaceDN w:val="0"/>
        <w:adjustRightInd w:val="0"/>
        <w:spacing w:line="480" w:lineRule="auto"/>
        <w:ind w:firstLine="720"/>
        <w:jc w:val="both"/>
      </w:pPr>
      <w:r>
        <w:t>Of the 23.7</w:t>
      </w:r>
      <w:r w:rsidR="00CB424A">
        <w:t xml:space="preserve"> million calls made to 311 in calendar year 20</w:t>
      </w:r>
      <w:r>
        <w:t xml:space="preserve">20, nearly 800,000 (or roughly 3.4%) </w:t>
      </w:r>
      <w:r w:rsidR="00EB59F1">
        <w:t xml:space="preserve">of the </w:t>
      </w:r>
      <w:r>
        <w:t>calls required interpretation services.</w:t>
      </w:r>
      <w:r w:rsidR="00052DBF">
        <w:rPr>
          <w:rStyle w:val="FootnoteReference"/>
        </w:rPr>
        <w:footnoteReference w:id="27"/>
      </w:r>
      <w:r>
        <w:t xml:space="preserve"> </w:t>
      </w:r>
      <w:r w:rsidR="0026125A">
        <w:t>When a call requires translation services, the city utilizes "Language Line," a</w:t>
      </w:r>
      <w:r w:rsidR="00221189">
        <w:t>n interpretation</w:t>
      </w:r>
      <w:r w:rsidR="0026125A">
        <w:t xml:space="preserve"> service provided for the city by contract. </w:t>
      </w:r>
      <w:r>
        <w:t>Language Line interpreters were utilized on 354,000 of those calls and conducted interpretation in 99 different languages.</w:t>
      </w:r>
      <w:r w:rsidR="00052DBF">
        <w:rPr>
          <w:rStyle w:val="FootnoteReference"/>
        </w:rPr>
        <w:footnoteReference w:id="28"/>
      </w:r>
      <w:r>
        <w:t xml:space="preserve"> Over 242,000 (or 68%) of those Language Line calls were conducted in Spanish.</w:t>
      </w:r>
      <w:r w:rsidR="00052DBF">
        <w:rPr>
          <w:rStyle w:val="FootnoteReference"/>
        </w:rPr>
        <w:footnoteReference w:id="29"/>
      </w:r>
      <w:r w:rsidR="00EB59F1">
        <w:t xml:space="preserve"> 311 operators who speak Spanish handled 446,000 calls in Spanish without the use of an interpreter.</w:t>
      </w:r>
      <w:r w:rsidR="00052DBF">
        <w:rPr>
          <w:rStyle w:val="FootnoteReference"/>
        </w:rPr>
        <w:footnoteReference w:id="30"/>
      </w:r>
      <w:r w:rsidR="00EB59F1" w:rsidRPr="00EB59F1">
        <w:t xml:space="preserve"> </w:t>
      </w:r>
      <w:r w:rsidR="00EB59F1">
        <w:t>The top ten languages or dialects i</w:t>
      </w:r>
      <w:r w:rsidR="00764AE9">
        <w:t>n which callers required</w:t>
      </w:r>
      <w:r w:rsidR="00EB59F1">
        <w:t xml:space="preserve"> assistance were Spanish, Mandarin, Russian, Cantonese, Korean, Haitian Creole, Bengali, Polish, Arabic, and French.</w:t>
      </w:r>
      <w:r w:rsidR="00052DBF">
        <w:rPr>
          <w:rStyle w:val="FootnoteReference"/>
        </w:rPr>
        <w:footnoteReference w:id="31"/>
      </w:r>
      <w:r w:rsidR="00EB59F1">
        <w:t xml:space="preserve"> According to 311, “[t]hese languages represented approximately 99% of the telephonic interpretation service minutes provided by Language Line in 2020.”</w:t>
      </w:r>
      <w:r w:rsidR="00052DBF">
        <w:rPr>
          <w:rStyle w:val="FootnoteReference"/>
        </w:rPr>
        <w:footnoteReference w:id="32"/>
      </w:r>
    </w:p>
    <w:p w14:paraId="7BB3AC89" w14:textId="1AAD2D4F" w:rsidR="00107941" w:rsidRPr="00F11B37" w:rsidRDefault="00F11B37" w:rsidP="00F11B37">
      <w:pPr>
        <w:pStyle w:val="ListParagraph"/>
        <w:widowControl w:val="0"/>
        <w:numPr>
          <w:ilvl w:val="2"/>
          <w:numId w:val="1"/>
        </w:numPr>
        <w:autoSpaceDE w:val="0"/>
        <w:autoSpaceDN w:val="0"/>
        <w:adjustRightInd w:val="0"/>
        <w:spacing w:line="480" w:lineRule="auto"/>
        <w:jc w:val="both"/>
        <w:rPr>
          <w:i/>
        </w:rPr>
      </w:pPr>
      <w:r w:rsidRPr="00F11B37">
        <w:rPr>
          <w:i/>
        </w:rPr>
        <w:t xml:space="preserve">Persistent </w:t>
      </w:r>
      <w:r w:rsidR="00107941" w:rsidRPr="00F11B37">
        <w:rPr>
          <w:i/>
        </w:rPr>
        <w:t xml:space="preserve">Issues </w:t>
      </w:r>
      <w:r w:rsidRPr="00F11B37">
        <w:rPr>
          <w:i/>
        </w:rPr>
        <w:t>with Accessing Interpreters</w:t>
      </w:r>
    </w:p>
    <w:p w14:paraId="0F70B194" w14:textId="29B728A5" w:rsidR="00EC1340" w:rsidRPr="00EC1340" w:rsidRDefault="00107941" w:rsidP="001473CD">
      <w:pPr>
        <w:widowControl w:val="0"/>
        <w:autoSpaceDE w:val="0"/>
        <w:autoSpaceDN w:val="0"/>
        <w:adjustRightInd w:val="0"/>
        <w:spacing w:line="480" w:lineRule="auto"/>
        <w:ind w:firstLine="720"/>
        <w:jc w:val="both"/>
      </w:pPr>
      <w:r>
        <w:t>When c</w:t>
      </w:r>
      <w:r w:rsidR="00EC1340" w:rsidRPr="00EC1340">
        <w:t xml:space="preserve">allers </w:t>
      </w:r>
      <w:r>
        <w:t xml:space="preserve">dial </w:t>
      </w:r>
      <w:r w:rsidR="00852042">
        <w:t>311</w:t>
      </w:r>
      <w:r>
        <w:t xml:space="preserve">, they </w:t>
      </w:r>
      <w:r w:rsidR="00EC1340" w:rsidRPr="00EC1340">
        <w:t xml:space="preserve">are informed about the availability of interpretation services through </w:t>
      </w:r>
      <w:r>
        <w:t xml:space="preserve">a </w:t>
      </w:r>
      <w:r w:rsidR="00EC1340" w:rsidRPr="00EC1340">
        <w:t>pickup recording, which transfers them to a telephonic interpreter if they choose.</w:t>
      </w:r>
      <w:r w:rsidR="00EC1340" w:rsidRPr="00EC1340">
        <w:rPr>
          <w:vertAlign w:val="superscript"/>
        </w:rPr>
        <w:footnoteReference w:id="33"/>
      </w:r>
      <w:r w:rsidR="00EC1340" w:rsidRPr="00EC1340">
        <w:t xml:space="preserve"> However, the </w:t>
      </w:r>
      <w:r w:rsidR="007F5950">
        <w:t>initial</w:t>
      </w:r>
      <w:r w:rsidR="00EC1340" w:rsidRPr="00EC1340">
        <w:t xml:space="preserve"> pre-recorded </w:t>
      </w:r>
      <w:r w:rsidR="007F5950">
        <w:t>message is only available in</w:t>
      </w:r>
      <w:r w:rsidR="00EC1340" w:rsidRPr="00EC1340">
        <w:t xml:space="preserve"> six </w:t>
      </w:r>
      <w:r>
        <w:t xml:space="preserve">non-English </w:t>
      </w:r>
      <w:r w:rsidR="00EC1340" w:rsidRPr="00EC1340">
        <w:t>languages</w:t>
      </w:r>
      <w:r w:rsidR="007F5950">
        <w:t xml:space="preserve"> (</w:t>
      </w:r>
      <w:r w:rsidR="007F5950" w:rsidRPr="00EC1340">
        <w:t>Spanish, Mandarin, Russian, Cantonese, Korean and Haitian Creole</w:t>
      </w:r>
      <w:r w:rsidR="007F5950">
        <w:t>)</w:t>
      </w:r>
      <w:r w:rsidR="00EC1340" w:rsidRPr="00EC1340">
        <w:t xml:space="preserve">, not all 10 of the </w:t>
      </w:r>
      <w:r w:rsidR="007F5950">
        <w:t xml:space="preserve">designated </w:t>
      </w:r>
      <w:r w:rsidR="00EC1340" w:rsidRPr="00EC1340">
        <w:t>citywide languages.</w:t>
      </w:r>
      <w:r w:rsidR="00EC1340" w:rsidRPr="00EC1340">
        <w:rPr>
          <w:vertAlign w:val="superscript"/>
        </w:rPr>
        <w:footnoteReference w:id="34"/>
      </w:r>
      <w:r w:rsidR="00EC1340" w:rsidRPr="00EC1340">
        <w:t xml:space="preserve"> </w:t>
      </w:r>
      <w:r w:rsidR="007F5950">
        <w:t xml:space="preserve">Callers who need interpretation in </w:t>
      </w:r>
      <w:r w:rsidR="001473CD">
        <w:t>a different language (other than the six just mentioned) must wait until the recordings have finished and request an interpreter from the operator.</w:t>
      </w:r>
      <w:r>
        <w:rPr>
          <w:rStyle w:val="FootnoteReference"/>
        </w:rPr>
        <w:footnoteReference w:id="35"/>
      </w:r>
      <w:r w:rsidR="00EC1340" w:rsidRPr="00EC1340">
        <w:t xml:space="preserve"> According to </w:t>
      </w:r>
      <w:r w:rsidR="001473CD">
        <w:t>311’s Language Access Plan,</w:t>
      </w:r>
      <w:r w:rsidR="00EC1340" w:rsidRPr="00EC1340">
        <w:t xml:space="preserve"> call center operators are trained on how to interact with a caller who does not speak English, and how to handle a call when they are unable to readily identify a caller’s language.</w:t>
      </w:r>
      <w:r w:rsidR="00EC1340" w:rsidRPr="00EC1340">
        <w:rPr>
          <w:vertAlign w:val="superscript"/>
        </w:rPr>
        <w:footnoteReference w:id="36"/>
      </w:r>
      <w:r w:rsidR="00EC1340" w:rsidRPr="00EC1340">
        <w:t xml:space="preserve"> When operators are unable to identify a caller’s language, they will connect with Language Line and request to speak with someone who is skilled in language identification.</w:t>
      </w:r>
      <w:r w:rsidR="00EC1340" w:rsidRPr="00EC1340">
        <w:rPr>
          <w:vertAlign w:val="superscript"/>
        </w:rPr>
        <w:footnoteReference w:id="37"/>
      </w:r>
      <w:r w:rsidR="00EC1340" w:rsidRPr="00EC1340">
        <w:t xml:space="preserve"> </w:t>
      </w:r>
    </w:p>
    <w:p w14:paraId="6E0A3671" w14:textId="3CF409D3" w:rsidR="00565C72" w:rsidRDefault="00565C72" w:rsidP="00565C72">
      <w:pPr>
        <w:widowControl w:val="0"/>
        <w:autoSpaceDE w:val="0"/>
        <w:autoSpaceDN w:val="0"/>
        <w:adjustRightInd w:val="0"/>
        <w:spacing w:line="480" w:lineRule="auto"/>
        <w:ind w:firstLine="720"/>
        <w:jc w:val="both"/>
        <w:rPr>
          <w:sz w:val="22"/>
          <w:szCs w:val="22"/>
        </w:rPr>
      </w:pPr>
      <w:r>
        <w:t>Unfortunately, callers who require interpretation services have faced unique barriers to accessing government services and information through the 311 system.</w:t>
      </w:r>
      <w:r>
        <w:rPr>
          <w:rStyle w:val="FootnoteReference"/>
        </w:rPr>
        <w:footnoteReference w:id="38"/>
      </w:r>
      <w:r>
        <w:t xml:space="preserve"> For instance, callers often experience long wait times in order to be connected with an interpreter.</w:t>
      </w:r>
      <w:r>
        <w:rPr>
          <w:rStyle w:val="FootnoteReference"/>
        </w:rPr>
        <w:footnoteReference w:id="39"/>
      </w:r>
      <w:r>
        <w:t xml:space="preserve"> In addition, because initial instructions are generally provided in English, some callers may not be aware that they are waiting to be connected to an interpreter, and may hang up before an interpreter is able to join.</w:t>
      </w:r>
      <w:r>
        <w:rPr>
          <w:rStyle w:val="FootnoteReference"/>
        </w:rPr>
        <w:footnoteReference w:id="40"/>
      </w:r>
      <w:r>
        <w:t xml:space="preserve"> When callers are finally connected with an interpreter, some find that the interpreter does not speak the right language. As one advocate told the CITY, “[a] caller may say that they request Fujianese or Cantonese, and they end up with a Korean or Japanese interpreter on the other line.”</w:t>
      </w:r>
      <w:r>
        <w:rPr>
          <w:rStyle w:val="FootnoteReference"/>
        </w:rPr>
        <w:footnoteReference w:id="41"/>
      </w:r>
    </w:p>
    <w:p w14:paraId="496E574D" w14:textId="54880C39" w:rsidR="00EC1340" w:rsidRDefault="00EC1340" w:rsidP="00565C72">
      <w:pPr>
        <w:widowControl w:val="0"/>
        <w:autoSpaceDE w:val="0"/>
        <w:autoSpaceDN w:val="0"/>
        <w:adjustRightInd w:val="0"/>
        <w:spacing w:line="480" w:lineRule="auto"/>
        <w:ind w:firstLine="720"/>
        <w:jc w:val="both"/>
      </w:pPr>
      <w:r w:rsidRPr="00EC1340">
        <w:t xml:space="preserve">At a Committee on Governmental Operations hearing in October 2018, advocates, including the Chinese American Planning Council, Asian American Federation, the New York Immigration Coalition and India Home, testified that they </w:t>
      </w:r>
      <w:r w:rsidR="00565C72">
        <w:t>were aware of</w:t>
      </w:r>
      <w:r w:rsidRPr="00EC1340">
        <w:t xml:space="preserve"> </w:t>
      </w:r>
      <w:r w:rsidR="00565C72">
        <w:t>multiple</w:t>
      </w:r>
      <w:r w:rsidRPr="00EC1340">
        <w:t xml:space="preserve"> incidents </w:t>
      </w:r>
      <w:r w:rsidR="00565C72">
        <w:t>in which</w:t>
      </w:r>
      <w:r w:rsidRPr="00EC1340">
        <w:t xml:space="preserve"> LEP New Yorkers were unable to lodge a 311 complaint because they could not access the appropriate interpreter for the language that they spoke.</w:t>
      </w:r>
      <w:bookmarkStart w:id="5" w:name="_Ref30004241"/>
      <w:r w:rsidRPr="00EC1340">
        <w:rPr>
          <w:vertAlign w:val="superscript"/>
        </w:rPr>
        <w:footnoteReference w:id="42"/>
      </w:r>
      <w:bookmarkEnd w:id="5"/>
      <w:r w:rsidRPr="00EC1340">
        <w:t xml:space="preserve"> India Home returned to </w:t>
      </w:r>
      <w:r w:rsidR="00BC7B05">
        <w:t>a joint hearing of</w:t>
      </w:r>
      <w:r w:rsidRPr="00EC1340">
        <w:t xml:space="preserve"> </w:t>
      </w:r>
      <w:r w:rsidR="00BC7B05">
        <w:t xml:space="preserve">the Committees on </w:t>
      </w:r>
      <w:r w:rsidRPr="00EC1340">
        <w:t>Governmental Operations and Technology in January 2019 to testify about this issue</w:t>
      </w:r>
      <w:r w:rsidR="00BC7B05">
        <w:t xml:space="preserve"> again</w:t>
      </w:r>
      <w:r w:rsidRPr="00EC1340">
        <w:t>.</w:t>
      </w:r>
      <w:r w:rsidRPr="00EC1340">
        <w:rPr>
          <w:vertAlign w:val="superscript"/>
        </w:rPr>
        <w:footnoteReference w:id="43"/>
      </w:r>
      <w:r w:rsidRPr="00EC1340">
        <w:t xml:space="preserve"> During the January 2019 hearing, 311 Executive Director</w:t>
      </w:r>
      <w:r w:rsidR="00BC7B05">
        <w:t xml:space="preserve"> </w:t>
      </w:r>
      <w:r w:rsidR="00107941">
        <w:t>Joe</w:t>
      </w:r>
      <w:r w:rsidRPr="00EC1340">
        <w:t xml:space="preserve"> Morrisroe </w:t>
      </w:r>
      <w:r w:rsidR="00BC7B05">
        <w:t>promised</w:t>
      </w:r>
      <w:r w:rsidRPr="00EC1340">
        <w:t xml:space="preserve"> </w:t>
      </w:r>
      <w:r w:rsidR="00BC7B05">
        <w:t>to</w:t>
      </w:r>
      <w:r w:rsidRPr="00EC1340">
        <w:t xml:space="preserve"> make solving the issues raised by advocates a priority.</w:t>
      </w:r>
      <w:r w:rsidRPr="00EC1340">
        <w:rPr>
          <w:vertAlign w:val="superscript"/>
        </w:rPr>
        <w:footnoteReference w:id="44"/>
      </w:r>
      <w:r w:rsidRPr="00EC1340">
        <w:t xml:space="preserve"> </w:t>
      </w:r>
    </w:p>
    <w:p w14:paraId="54FC4454" w14:textId="04429989" w:rsidR="00F11B37" w:rsidRPr="00F11B37" w:rsidRDefault="00A53036" w:rsidP="006229F0">
      <w:pPr>
        <w:pStyle w:val="ListParagraph"/>
        <w:keepNext/>
        <w:numPr>
          <w:ilvl w:val="2"/>
          <w:numId w:val="1"/>
        </w:numPr>
        <w:autoSpaceDE w:val="0"/>
        <w:autoSpaceDN w:val="0"/>
        <w:adjustRightInd w:val="0"/>
        <w:spacing w:line="480" w:lineRule="auto"/>
        <w:ind w:left="2174" w:hanging="187"/>
        <w:rPr>
          <w:rFonts w:eastAsia="MyriadPro-Regular"/>
          <w:i/>
        </w:rPr>
      </w:pPr>
      <w:r>
        <w:rPr>
          <w:i/>
        </w:rPr>
        <w:t>Multi-L</w:t>
      </w:r>
      <w:r w:rsidR="00F11B37">
        <w:rPr>
          <w:i/>
        </w:rPr>
        <w:t>anguage</w:t>
      </w:r>
      <w:r w:rsidR="00F11B37" w:rsidRPr="00F11B37">
        <w:rPr>
          <w:i/>
        </w:rPr>
        <w:t xml:space="preserve"> Customer Satisfaction </w:t>
      </w:r>
      <w:r w:rsidR="00F11B37">
        <w:rPr>
          <w:i/>
        </w:rPr>
        <w:t>S</w:t>
      </w:r>
      <w:r w:rsidR="00F11B37" w:rsidRPr="00F11B37">
        <w:rPr>
          <w:i/>
        </w:rPr>
        <w:t>urvey</w:t>
      </w:r>
      <w:r w:rsidR="00F11B37">
        <w:rPr>
          <w:i/>
        </w:rPr>
        <w:t>s</w:t>
      </w:r>
    </w:p>
    <w:p w14:paraId="008DDA69" w14:textId="64A1F6E8" w:rsidR="004A2568" w:rsidRDefault="00764AE9" w:rsidP="00076FBF">
      <w:pPr>
        <w:pStyle w:val="NoSpacing"/>
        <w:spacing w:line="480" w:lineRule="auto"/>
        <w:ind w:firstLine="720"/>
        <w:jc w:val="both"/>
        <w:rPr>
          <w:rFonts w:ascii="Times New Roman" w:hAnsi="Times New Roman"/>
          <w:sz w:val="24"/>
          <w:szCs w:val="24"/>
        </w:rPr>
      </w:pPr>
      <w:r w:rsidRPr="00076FBF">
        <w:rPr>
          <w:rFonts w:ascii="Times New Roman" w:hAnsi="Times New Roman"/>
          <w:sz w:val="24"/>
          <w:szCs w:val="24"/>
        </w:rPr>
        <w:t xml:space="preserve">Last </w:t>
      </w:r>
      <w:r w:rsidR="00056338" w:rsidRPr="00076FBF">
        <w:rPr>
          <w:rFonts w:ascii="Times New Roman" w:hAnsi="Times New Roman"/>
          <w:sz w:val="24"/>
          <w:szCs w:val="24"/>
        </w:rPr>
        <w:t>year</w:t>
      </w:r>
      <w:r w:rsidRPr="00076FBF">
        <w:rPr>
          <w:rFonts w:ascii="Times New Roman" w:hAnsi="Times New Roman"/>
          <w:sz w:val="24"/>
          <w:szCs w:val="24"/>
        </w:rPr>
        <w:t>,</w:t>
      </w:r>
      <w:r w:rsidR="00E01550">
        <w:rPr>
          <w:rFonts w:ascii="Times New Roman" w:hAnsi="Times New Roman"/>
          <w:sz w:val="24"/>
          <w:szCs w:val="24"/>
        </w:rPr>
        <w:t xml:space="preserve"> </w:t>
      </w:r>
      <w:r w:rsidRPr="00076FBF">
        <w:rPr>
          <w:rFonts w:ascii="Times New Roman" w:hAnsi="Times New Roman"/>
          <w:sz w:val="24"/>
          <w:szCs w:val="24"/>
        </w:rPr>
        <w:t xml:space="preserve">the Council enacted Local Law </w:t>
      </w:r>
      <w:r w:rsidR="00056338" w:rsidRPr="00076FBF">
        <w:rPr>
          <w:rFonts w:ascii="Times New Roman" w:hAnsi="Times New Roman"/>
          <w:sz w:val="24"/>
          <w:szCs w:val="24"/>
        </w:rPr>
        <w:t>26</w:t>
      </w:r>
      <w:r w:rsidRPr="00076FBF">
        <w:rPr>
          <w:rFonts w:ascii="Times New Roman" w:hAnsi="Times New Roman"/>
          <w:sz w:val="24"/>
          <w:szCs w:val="24"/>
        </w:rPr>
        <w:t xml:space="preserve"> of </w:t>
      </w:r>
      <w:r w:rsidR="00056338" w:rsidRPr="00076FBF">
        <w:rPr>
          <w:rFonts w:ascii="Times New Roman" w:hAnsi="Times New Roman"/>
          <w:sz w:val="24"/>
          <w:szCs w:val="24"/>
        </w:rPr>
        <w:t>2021, which</w:t>
      </w:r>
      <w:r w:rsidRPr="00076FBF">
        <w:rPr>
          <w:rFonts w:ascii="Times New Roman" w:hAnsi="Times New Roman"/>
          <w:sz w:val="24"/>
          <w:szCs w:val="24"/>
        </w:rPr>
        <w:t xml:space="preserve"> require</w:t>
      </w:r>
      <w:r w:rsidR="00056338" w:rsidRPr="00076FBF">
        <w:rPr>
          <w:rFonts w:ascii="Times New Roman" w:hAnsi="Times New Roman"/>
          <w:sz w:val="24"/>
          <w:szCs w:val="24"/>
        </w:rPr>
        <w:t>s</w:t>
      </w:r>
      <w:r w:rsidRPr="00076FBF">
        <w:rPr>
          <w:rFonts w:ascii="Times New Roman" w:hAnsi="Times New Roman"/>
          <w:sz w:val="24"/>
          <w:szCs w:val="24"/>
        </w:rPr>
        <w:t xml:space="preserve"> 311 to conduct </w:t>
      </w:r>
      <w:r w:rsidR="00CF7817">
        <w:rPr>
          <w:rFonts w:ascii="Times New Roman" w:hAnsi="Times New Roman"/>
          <w:sz w:val="24"/>
          <w:szCs w:val="24"/>
        </w:rPr>
        <w:t xml:space="preserve">annual </w:t>
      </w:r>
      <w:r w:rsidRPr="00076FBF">
        <w:rPr>
          <w:rFonts w:ascii="Times New Roman" w:hAnsi="Times New Roman"/>
          <w:sz w:val="24"/>
          <w:szCs w:val="24"/>
        </w:rPr>
        <w:t xml:space="preserve">customer satisfaction surveys and </w:t>
      </w:r>
      <w:r w:rsidR="009003CB" w:rsidRPr="00076FBF">
        <w:rPr>
          <w:rFonts w:ascii="Times New Roman" w:hAnsi="Times New Roman"/>
          <w:sz w:val="24"/>
          <w:szCs w:val="24"/>
        </w:rPr>
        <w:t>offer each s</w:t>
      </w:r>
      <w:r w:rsidR="00CF7817">
        <w:rPr>
          <w:rFonts w:ascii="Times New Roman" w:hAnsi="Times New Roman"/>
          <w:sz w:val="24"/>
          <w:szCs w:val="24"/>
        </w:rPr>
        <w:t>urvey</w:t>
      </w:r>
      <w:r w:rsidRPr="00076FBF">
        <w:rPr>
          <w:rFonts w:ascii="Times New Roman" w:hAnsi="Times New Roman"/>
          <w:sz w:val="24"/>
          <w:szCs w:val="24"/>
        </w:rPr>
        <w:t xml:space="preserve"> in the ten </w:t>
      </w:r>
      <w:r w:rsidR="00056338" w:rsidRPr="00076FBF">
        <w:rPr>
          <w:rFonts w:ascii="Times New Roman" w:hAnsi="Times New Roman"/>
          <w:sz w:val="24"/>
          <w:szCs w:val="24"/>
        </w:rPr>
        <w:t>designated citywide languages</w:t>
      </w:r>
      <w:r w:rsidRPr="00076FBF">
        <w:rPr>
          <w:rFonts w:ascii="Times New Roman" w:hAnsi="Times New Roman"/>
          <w:sz w:val="24"/>
          <w:szCs w:val="24"/>
        </w:rPr>
        <w:t>.</w:t>
      </w:r>
      <w:r w:rsidR="004A2568">
        <w:rPr>
          <w:rStyle w:val="FootnoteReference"/>
          <w:rFonts w:ascii="Times New Roman" w:hAnsi="Times New Roman"/>
          <w:sz w:val="24"/>
          <w:szCs w:val="24"/>
        </w:rPr>
        <w:footnoteReference w:id="45"/>
      </w:r>
      <w:r w:rsidRPr="00076FBF">
        <w:rPr>
          <w:rFonts w:ascii="Times New Roman" w:hAnsi="Times New Roman"/>
          <w:sz w:val="24"/>
          <w:szCs w:val="24"/>
        </w:rPr>
        <w:t xml:space="preserve"> The bill also require</w:t>
      </w:r>
      <w:r w:rsidR="00056338" w:rsidRPr="00076FBF">
        <w:rPr>
          <w:rFonts w:ascii="Times New Roman" w:hAnsi="Times New Roman"/>
          <w:sz w:val="24"/>
          <w:szCs w:val="24"/>
        </w:rPr>
        <w:t>s</w:t>
      </w:r>
      <w:r w:rsidRPr="00076FBF">
        <w:rPr>
          <w:rFonts w:ascii="Times New Roman" w:hAnsi="Times New Roman"/>
          <w:sz w:val="24"/>
          <w:szCs w:val="24"/>
        </w:rPr>
        <w:t xml:space="preserve"> </w:t>
      </w:r>
      <w:r w:rsidR="00056338" w:rsidRPr="00076FBF">
        <w:rPr>
          <w:rFonts w:ascii="Times New Roman" w:hAnsi="Times New Roman"/>
          <w:sz w:val="24"/>
          <w:szCs w:val="24"/>
        </w:rPr>
        <w:t xml:space="preserve">DOITT </w:t>
      </w:r>
      <w:r w:rsidRPr="00076FBF">
        <w:rPr>
          <w:rFonts w:ascii="Times New Roman" w:hAnsi="Times New Roman"/>
          <w:sz w:val="24"/>
          <w:szCs w:val="24"/>
        </w:rPr>
        <w:t>to submit an annual report to the Speaker containing the results of such survey</w:t>
      </w:r>
      <w:r w:rsidR="00056338" w:rsidRPr="00076FBF">
        <w:rPr>
          <w:rFonts w:ascii="Times New Roman" w:hAnsi="Times New Roman"/>
          <w:sz w:val="24"/>
          <w:szCs w:val="24"/>
        </w:rPr>
        <w:t>s</w:t>
      </w:r>
      <w:r w:rsidRPr="00076FBF">
        <w:rPr>
          <w:rFonts w:ascii="Times New Roman" w:hAnsi="Times New Roman"/>
          <w:sz w:val="24"/>
          <w:szCs w:val="24"/>
        </w:rPr>
        <w:t>, disaggregated by the language in which the survey was conducted.</w:t>
      </w:r>
      <w:r w:rsidR="004A2568">
        <w:rPr>
          <w:rStyle w:val="FootnoteReference"/>
          <w:rFonts w:ascii="Times New Roman" w:hAnsi="Times New Roman"/>
          <w:sz w:val="24"/>
          <w:szCs w:val="24"/>
        </w:rPr>
        <w:footnoteReference w:id="46"/>
      </w:r>
      <w:r w:rsidR="00F21B0D" w:rsidRPr="00076FBF">
        <w:rPr>
          <w:rFonts w:ascii="Times New Roman" w:hAnsi="Times New Roman"/>
          <w:sz w:val="24"/>
          <w:szCs w:val="24"/>
        </w:rPr>
        <w:t xml:space="preserve"> </w:t>
      </w:r>
    </w:p>
    <w:p w14:paraId="2D9A2C6E" w14:textId="52C3B9AA" w:rsidR="00764AE9" w:rsidRPr="00076FBF" w:rsidRDefault="00F21B0D" w:rsidP="00076FBF">
      <w:pPr>
        <w:pStyle w:val="NoSpacing"/>
        <w:spacing w:line="480" w:lineRule="auto"/>
        <w:ind w:firstLine="720"/>
        <w:jc w:val="both"/>
        <w:rPr>
          <w:rFonts w:ascii="Times New Roman" w:hAnsi="Times New Roman"/>
          <w:sz w:val="24"/>
          <w:szCs w:val="24"/>
        </w:rPr>
      </w:pPr>
      <w:r w:rsidRPr="00076FBF">
        <w:rPr>
          <w:rFonts w:ascii="Times New Roman" w:hAnsi="Times New Roman"/>
          <w:sz w:val="24"/>
          <w:szCs w:val="24"/>
        </w:rPr>
        <w:t>The first such annual report, released on July 1, 2021, indicated that 29,831 total surveys were offered</w:t>
      </w:r>
      <w:r w:rsidR="00076FBF">
        <w:rPr>
          <w:rFonts w:ascii="Times New Roman" w:hAnsi="Times New Roman"/>
          <w:sz w:val="24"/>
          <w:szCs w:val="24"/>
        </w:rPr>
        <w:t xml:space="preserve"> to New Yorkers.</w:t>
      </w:r>
      <w:r w:rsidR="004A2568">
        <w:rPr>
          <w:rStyle w:val="FootnoteReference"/>
          <w:rFonts w:ascii="Times New Roman" w:hAnsi="Times New Roman"/>
          <w:sz w:val="24"/>
          <w:szCs w:val="24"/>
        </w:rPr>
        <w:footnoteReference w:id="47"/>
      </w:r>
      <w:r w:rsidR="00076FBF">
        <w:rPr>
          <w:rFonts w:ascii="Times New Roman" w:hAnsi="Times New Roman"/>
          <w:sz w:val="24"/>
          <w:szCs w:val="24"/>
        </w:rPr>
        <w:t xml:space="preserve"> O</w:t>
      </w:r>
      <w:r w:rsidRPr="00076FBF">
        <w:rPr>
          <w:rFonts w:ascii="Times New Roman" w:hAnsi="Times New Roman"/>
          <w:sz w:val="24"/>
          <w:szCs w:val="24"/>
        </w:rPr>
        <w:t xml:space="preserve">f those, 29,186 (97.8%) were offered to English speakers, 526 (1.7%) </w:t>
      </w:r>
      <w:r w:rsidR="00CF7817">
        <w:rPr>
          <w:rFonts w:ascii="Times New Roman" w:hAnsi="Times New Roman"/>
          <w:sz w:val="24"/>
          <w:szCs w:val="24"/>
        </w:rPr>
        <w:t xml:space="preserve">were offered </w:t>
      </w:r>
      <w:r w:rsidRPr="00076FBF">
        <w:rPr>
          <w:rFonts w:ascii="Times New Roman" w:hAnsi="Times New Roman"/>
          <w:sz w:val="24"/>
          <w:szCs w:val="24"/>
        </w:rPr>
        <w:t>to Spanish speakers, and the remaining 19 were offered to speakers of other designated citywide languages.</w:t>
      </w:r>
      <w:r w:rsidR="00F50528">
        <w:rPr>
          <w:rStyle w:val="FootnoteReference"/>
          <w:rFonts w:ascii="Times New Roman" w:hAnsi="Times New Roman"/>
          <w:sz w:val="24"/>
          <w:szCs w:val="24"/>
        </w:rPr>
        <w:footnoteReference w:id="48"/>
      </w:r>
      <w:r w:rsidRPr="00076FBF">
        <w:rPr>
          <w:rFonts w:ascii="Times New Roman" w:hAnsi="Times New Roman"/>
          <w:sz w:val="24"/>
          <w:szCs w:val="24"/>
        </w:rPr>
        <w:t xml:space="preserve"> Of the 29,831 New Yorkers who were offered surveys, </w:t>
      </w:r>
      <w:r w:rsidR="00CF7817">
        <w:rPr>
          <w:rFonts w:ascii="Times New Roman" w:hAnsi="Times New Roman"/>
          <w:sz w:val="24"/>
          <w:szCs w:val="24"/>
        </w:rPr>
        <w:t xml:space="preserve">only </w:t>
      </w:r>
      <w:r w:rsidRPr="00076FBF">
        <w:rPr>
          <w:rFonts w:ascii="Times New Roman" w:hAnsi="Times New Roman"/>
          <w:color w:val="000000"/>
          <w:sz w:val="24"/>
          <w:szCs w:val="24"/>
        </w:rPr>
        <w:t>1212 (</w:t>
      </w:r>
      <w:r w:rsidR="00076FBF" w:rsidRPr="00076FBF">
        <w:rPr>
          <w:rFonts w:ascii="Times New Roman" w:hAnsi="Times New Roman"/>
          <w:color w:val="000000"/>
          <w:sz w:val="24"/>
          <w:szCs w:val="24"/>
        </w:rPr>
        <w:t xml:space="preserve">4.1%) </w:t>
      </w:r>
      <w:r w:rsidRPr="00076FBF">
        <w:rPr>
          <w:rFonts w:ascii="Times New Roman" w:hAnsi="Times New Roman"/>
          <w:color w:val="000000"/>
          <w:sz w:val="24"/>
          <w:szCs w:val="24"/>
        </w:rPr>
        <w:t>responded</w:t>
      </w:r>
      <w:r w:rsidR="00076FBF">
        <w:rPr>
          <w:rFonts w:ascii="Times New Roman" w:hAnsi="Times New Roman"/>
          <w:color w:val="000000"/>
          <w:sz w:val="24"/>
          <w:szCs w:val="24"/>
        </w:rPr>
        <w:t>.</w:t>
      </w:r>
      <w:r w:rsidR="00F50528">
        <w:rPr>
          <w:rStyle w:val="FootnoteReference"/>
          <w:rFonts w:ascii="Times New Roman" w:hAnsi="Times New Roman"/>
          <w:color w:val="000000"/>
          <w:sz w:val="24"/>
          <w:szCs w:val="24"/>
        </w:rPr>
        <w:footnoteReference w:id="49"/>
      </w:r>
      <w:r w:rsidR="00076FBF" w:rsidRPr="00076FBF">
        <w:rPr>
          <w:rFonts w:ascii="Times New Roman" w:hAnsi="Times New Roman"/>
          <w:color w:val="000000"/>
          <w:sz w:val="24"/>
          <w:szCs w:val="24"/>
        </w:rPr>
        <w:t xml:space="preserve"> 1,147 </w:t>
      </w:r>
      <w:r w:rsidR="00CF7817">
        <w:rPr>
          <w:rFonts w:ascii="Times New Roman" w:hAnsi="Times New Roman"/>
          <w:color w:val="000000"/>
          <w:sz w:val="24"/>
          <w:szCs w:val="24"/>
        </w:rPr>
        <w:t xml:space="preserve">(94.6%) of the </w:t>
      </w:r>
      <w:r w:rsidR="00076FBF" w:rsidRPr="00076FBF">
        <w:rPr>
          <w:rFonts w:ascii="Times New Roman" w:hAnsi="Times New Roman"/>
          <w:color w:val="000000"/>
          <w:sz w:val="24"/>
          <w:szCs w:val="24"/>
        </w:rPr>
        <w:t>responses were</w:t>
      </w:r>
      <w:r w:rsidRPr="00076FBF">
        <w:rPr>
          <w:rFonts w:ascii="Times New Roman" w:hAnsi="Times New Roman"/>
          <w:color w:val="000000"/>
          <w:sz w:val="24"/>
          <w:szCs w:val="24"/>
        </w:rPr>
        <w:t xml:space="preserve"> received from E</w:t>
      </w:r>
      <w:r w:rsidR="00076FBF" w:rsidRPr="00076FBF">
        <w:rPr>
          <w:rFonts w:ascii="Times New Roman" w:hAnsi="Times New Roman"/>
          <w:color w:val="000000"/>
          <w:sz w:val="24"/>
          <w:szCs w:val="24"/>
        </w:rPr>
        <w:t>nglish speakers</w:t>
      </w:r>
      <w:r w:rsidRPr="00076FBF">
        <w:rPr>
          <w:rFonts w:ascii="Times New Roman" w:hAnsi="Times New Roman"/>
          <w:color w:val="000000"/>
          <w:sz w:val="24"/>
          <w:szCs w:val="24"/>
        </w:rPr>
        <w:t xml:space="preserve">, </w:t>
      </w:r>
      <w:r w:rsidR="00076FBF" w:rsidRPr="00076FBF">
        <w:rPr>
          <w:rFonts w:ascii="Times New Roman" w:hAnsi="Times New Roman"/>
          <w:color w:val="000000"/>
          <w:sz w:val="24"/>
          <w:szCs w:val="24"/>
        </w:rPr>
        <w:t xml:space="preserve">42 </w:t>
      </w:r>
      <w:r w:rsidR="00CF7817">
        <w:rPr>
          <w:rFonts w:ascii="Times New Roman" w:hAnsi="Times New Roman"/>
          <w:color w:val="000000"/>
          <w:sz w:val="24"/>
          <w:szCs w:val="24"/>
        </w:rPr>
        <w:t xml:space="preserve">(3.4%) </w:t>
      </w:r>
      <w:r w:rsidR="00076FBF" w:rsidRPr="00076FBF">
        <w:rPr>
          <w:rFonts w:ascii="Times New Roman" w:hAnsi="Times New Roman"/>
          <w:color w:val="000000"/>
          <w:sz w:val="24"/>
          <w:szCs w:val="24"/>
        </w:rPr>
        <w:t xml:space="preserve">were received from Spanish speakers, 11 </w:t>
      </w:r>
      <w:r w:rsidR="00CF7817">
        <w:rPr>
          <w:rFonts w:ascii="Times New Roman" w:hAnsi="Times New Roman"/>
          <w:color w:val="000000"/>
          <w:sz w:val="24"/>
          <w:szCs w:val="24"/>
        </w:rPr>
        <w:t xml:space="preserve">(0.9%) </w:t>
      </w:r>
      <w:r w:rsidR="00076FBF" w:rsidRPr="00076FBF">
        <w:rPr>
          <w:rFonts w:ascii="Times New Roman" w:hAnsi="Times New Roman"/>
          <w:color w:val="000000"/>
          <w:sz w:val="24"/>
          <w:szCs w:val="24"/>
        </w:rPr>
        <w:t>were received from Mandarin speakers, 9 were received from Russian speakers</w:t>
      </w:r>
      <w:r w:rsidR="00CF7817">
        <w:rPr>
          <w:rFonts w:ascii="Times New Roman" w:hAnsi="Times New Roman"/>
          <w:color w:val="000000"/>
          <w:sz w:val="24"/>
          <w:szCs w:val="24"/>
        </w:rPr>
        <w:t xml:space="preserve"> (0.7%)</w:t>
      </w:r>
      <w:r w:rsidR="00076FBF" w:rsidRPr="00076FBF">
        <w:rPr>
          <w:rFonts w:ascii="Times New Roman" w:hAnsi="Times New Roman"/>
          <w:color w:val="000000"/>
          <w:sz w:val="24"/>
          <w:szCs w:val="24"/>
        </w:rPr>
        <w:t>, 2 were received from Korean speakers</w:t>
      </w:r>
      <w:r w:rsidR="00CF7817">
        <w:rPr>
          <w:rFonts w:ascii="Times New Roman" w:hAnsi="Times New Roman"/>
          <w:color w:val="000000"/>
          <w:sz w:val="24"/>
          <w:szCs w:val="24"/>
        </w:rPr>
        <w:t xml:space="preserve"> (0.2%)</w:t>
      </w:r>
      <w:r w:rsidR="00076FBF" w:rsidRPr="00076FBF">
        <w:rPr>
          <w:rFonts w:ascii="Times New Roman" w:hAnsi="Times New Roman"/>
          <w:color w:val="000000"/>
          <w:sz w:val="24"/>
          <w:szCs w:val="24"/>
        </w:rPr>
        <w:t xml:space="preserve">, 1 </w:t>
      </w:r>
      <w:r w:rsidR="00CF7817">
        <w:rPr>
          <w:rFonts w:ascii="Times New Roman" w:hAnsi="Times New Roman"/>
          <w:color w:val="000000"/>
          <w:sz w:val="24"/>
          <w:szCs w:val="24"/>
        </w:rPr>
        <w:t xml:space="preserve">(0.1%) </w:t>
      </w:r>
      <w:r w:rsidR="00076FBF" w:rsidRPr="00076FBF">
        <w:rPr>
          <w:rFonts w:ascii="Times New Roman" w:hAnsi="Times New Roman"/>
          <w:color w:val="000000"/>
          <w:sz w:val="24"/>
          <w:szCs w:val="24"/>
        </w:rPr>
        <w:t>was received from a Cantonese speaker, and no</w:t>
      </w:r>
      <w:r w:rsidRPr="00076FBF">
        <w:rPr>
          <w:rFonts w:ascii="Times New Roman" w:hAnsi="Times New Roman"/>
          <w:color w:val="000000"/>
          <w:sz w:val="24"/>
          <w:szCs w:val="24"/>
        </w:rPr>
        <w:t xml:space="preserve"> responses were received from </w:t>
      </w:r>
      <w:r w:rsidR="00076FBF" w:rsidRPr="00076FBF">
        <w:rPr>
          <w:rFonts w:ascii="Times New Roman" w:hAnsi="Times New Roman"/>
          <w:color w:val="000000"/>
          <w:sz w:val="24"/>
          <w:szCs w:val="24"/>
        </w:rPr>
        <w:t xml:space="preserve">speakers of </w:t>
      </w:r>
      <w:r w:rsidRPr="00076FBF">
        <w:rPr>
          <w:rFonts w:ascii="Times New Roman" w:hAnsi="Times New Roman"/>
          <w:color w:val="000000"/>
          <w:sz w:val="24"/>
          <w:szCs w:val="24"/>
        </w:rPr>
        <w:t>Polish, Urdu, Arabic, Bengali, or French.</w:t>
      </w:r>
      <w:r w:rsidR="00F50528">
        <w:rPr>
          <w:rStyle w:val="FootnoteReference"/>
          <w:rFonts w:ascii="Times New Roman" w:hAnsi="Times New Roman"/>
          <w:color w:val="000000"/>
          <w:sz w:val="24"/>
          <w:szCs w:val="24"/>
        </w:rPr>
        <w:footnoteReference w:id="50"/>
      </w:r>
      <w:r w:rsidR="00076FBF">
        <w:rPr>
          <w:rFonts w:ascii="Times New Roman" w:hAnsi="Times New Roman"/>
          <w:sz w:val="24"/>
          <w:szCs w:val="24"/>
        </w:rPr>
        <w:t xml:space="preserve"> With such low levels of participation, it is hard to assess how satisfied LEP New Yor</w:t>
      </w:r>
      <w:r w:rsidR="00CF7817">
        <w:rPr>
          <w:rFonts w:ascii="Times New Roman" w:hAnsi="Times New Roman"/>
          <w:sz w:val="24"/>
          <w:szCs w:val="24"/>
        </w:rPr>
        <w:t xml:space="preserve">kers are with </w:t>
      </w:r>
      <w:r w:rsidR="00076FBF">
        <w:rPr>
          <w:rFonts w:ascii="Times New Roman" w:hAnsi="Times New Roman"/>
          <w:sz w:val="24"/>
          <w:szCs w:val="24"/>
        </w:rPr>
        <w:t>311, as compared to their English-speaking neighbors.</w:t>
      </w:r>
      <w:r w:rsidR="006229F0">
        <w:rPr>
          <w:rFonts w:ascii="Times New Roman" w:hAnsi="Times New Roman"/>
          <w:sz w:val="24"/>
          <w:szCs w:val="24"/>
        </w:rPr>
        <w:t xml:space="preserve"> </w:t>
      </w:r>
    </w:p>
    <w:p w14:paraId="0AC8CB88" w14:textId="246764FE" w:rsidR="006743BF" w:rsidRPr="006743BF" w:rsidRDefault="006743BF" w:rsidP="006743BF">
      <w:pPr>
        <w:pStyle w:val="ListParagraph"/>
        <w:numPr>
          <w:ilvl w:val="1"/>
          <w:numId w:val="1"/>
        </w:numPr>
        <w:autoSpaceDE w:val="0"/>
        <w:autoSpaceDN w:val="0"/>
        <w:adjustRightInd w:val="0"/>
        <w:spacing w:line="480" w:lineRule="auto"/>
        <w:contextualSpacing w:val="0"/>
        <w:rPr>
          <w:rFonts w:eastAsia="MyriadPro-Regular"/>
          <w:b/>
          <w:i/>
        </w:rPr>
      </w:pPr>
      <w:r w:rsidRPr="006743BF">
        <w:rPr>
          <w:b/>
          <w:i/>
        </w:rPr>
        <w:t>NYCHA Background</w:t>
      </w:r>
    </w:p>
    <w:p w14:paraId="5434D694" w14:textId="77777777" w:rsidR="006743BF" w:rsidRPr="00AF6C64" w:rsidRDefault="006743BF" w:rsidP="006743BF">
      <w:pPr>
        <w:spacing w:line="480" w:lineRule="auto"/>
        <w:ind w:firstLine="720"/>
        <w:jc w:val="both"/>
      </w:pPr>
      <w:r w:rsidRPr="00AF6C64">
        <w:t xml:space="preserve">Former New York City Mayor Fiorello La Guardia created </w:t>
      </w:r>
      <w:r>
        <w:t>the New York City Housing Authority (“</w:t>
      </w:r>
      <w:r w:rsidRPr="00AF6C64">
        <w:t>NYCHA</w:t>
      </w:r>
      <w:r>
        <w:t>”)</w:t>
      </w:r>
      <w:r w:rsidRPr="00AF6C64">
        <w:t xml:space="preserve"> in 1934 by replacing dilapidated tenements using funds from The New Deal,</w:t>
      </w:r>
      <w:r w:rsidRPr="00AF6C64">
        <w:rPr>
          <w:rStyle w:val="FootnoteReference"/>
        </w:rPr>
        <w:footnoteReference w:id="51"/>
      </w:r>
      <w:r w:rsidRPr="00AF6C64">
        <w:t xml:space="preserve"> three years before the Housing Act of 1937 established public housing nationwide.</w:t>
      </w:r>
      <w:r w:rsidRPr="00AF6C64">
        <w:rPr>
          <w:rStyle w:val="FootnoteReference"/>
        </w:rPr>
        <w:footnoteReference w:id="52"/>
      </w:r>
      <w:r w:rsidRPr="00AF6C64">
        <w:t xml:space="preserve"> NYCHA originally served two purposes: (1) to provide low-cost housing for middle-class, working families temporarily unemployed because of the Great Depression, and (2) to bolster the lagging economy by creating jobs for building trades.</w:t>
      </w:r>
      <w:r w:rsidRPr="00AF6C64">
        <w:rPr>
          <w:rStyle w:val="FootnoteReference"/>
        </w:rPr>
        <w:footnoteReference w:id="53"/>
      </w:r>
      <w:r w:rsidRPr="00AF6C64">
        <w:t xml:space="preserve"> Later, NYCHA’s purpose evolved into providing safe, decent housing for families with the lowest incomes.</w:t>
      </w:r>
      <w:r w:rsidRPr="00AF6C64">
        <w:rPr>
          <w:rStyle w:val="FootnoteReference"/>
        </w:rPr>
        <w:footnoteReference w:id="54"/>
      </w:r>
      <w:r w:rsidRPr="00AF6C64">
        <w:t xml:space="preserve"> Currently, NYCHA has 335 developments, and 177,</w:t>
      </w:r>
      <w:r>
        <w:t>569 apartment</w:t>
      </w:r>
      <w:r w:rsidRPr="00AF6C64">
        <w:t xml:space="preserve"> units that are home to </w:t>
      </w:r>
      <w:r>
        <w:t>535</w:t>
      </w:r>
      <w:r w:rsidRPr="00AF6C64">
        <w:t>,</w:t>
      </w:r>
      <w:r>
        <w:t>686</w:t>
      </w:r>
      <w:r w:rsidRPr="00AF6C64">
        <w:t xml:space="preserve"> authorized residents through </w:t>
      </w:r>
      <w:r>
        <w:t xml:space="preserve">traditional </w:t>
      </w:r>
      <w:r w:rsidRPr="00AF6C64">
        <w:t xml:space="preserve">public housing, </w:t>
      </w:r>
      <w:r>
        <w:t>S</w:t>
      </w:r>
      <w:r w:rsidRPr="00AF6C64">
        <w:t>ection 8</w:t>
      </w:r>
      <w:r>
        <w:t>,</w:t>
      </w:r>
      <w:r w:rsidRPr="00AF6C64">
        <w:t xml:space="preserve"> and </w:t>
      </w:r>
      <w:r>
        <w:t>NYCHA’s implementation of the Federal Rental Assistance Demonstration (“RAD”) program.</w:t>
      </w:r>
      <w:r w:rsidRPr="00AF6C64">
        <w:rPr>
          <w:rStyle w:val="FootnoteReference"/>
        </w:rPr>
        <w:footnoteReference w:id="55"/>
      </w:r>
    </w:p>
    <w:p w14:paraId="0A18D21F" w14:textId="77777777" w:rsidR="006743BF" w:rsidRPr="00AF6C64" w:rsidRDefault="006743BF" w:rsidP="006743BF">
      <w:pPr>
        <w:spacing w:line="480" w:lineRule="auto"/>
        <w:ind w:firstLine="720"/>
        <w:jc w:val="both"/>
      </w:pPr>
      <w:r w:rsidRPr="00AF6C64">
        <w:t>In 2011, the United States Department of Housing and Urban Development (</w:t>
      </w:r>
      <w:r>
        <w:t>“</w:t>
      </w:r>
      <w:r w:rsidRPr="00AF6C64">
        <w:t>HUD</w:t>
      </w:r>
      <w:r>
        <w:t>”</w:t>
      </w:r>
      <w:r w:rsidRPr="00AF6C64">
        <w:t xml:space="preserve">) created RAD to enable </w:t>
      </w:r>
      <w:r>
        <w:t>PHAs</w:t>
      </w:r>
      <w:r w:rsidRPr="00AF6C64">
        <w:t xml:space="preserve"> to preserve and improve public housing properties.</w:t>
      </w:r>
      <w:r w:rsidRPr="00AF6C64">
        <w:rPr>
          <w:rStyle w:val="FootnoteReference"/>
        </w:rPr>
        <w:footnoteReference w:id="56"/>
      </w:r>
      <w:r w:rsidRPr="00AF6C64">
        <w:t xml:space="preserve"> RAD allows for the conversion of public housing from Section 9 of the Housing Act of 1937, which is the current operating funding source for traditional public housing, to project-based Section 8 rental housing assistance.</w:t>
      </w:r>
      <w:r w:rsidRPr="00AF6C64">
        <w:rPr>
          <w:rStyle w:val="FootnoteReference"/>
        </w:rPr>
        <w:footnoteReference w:id="57"/>
      </w:r>
      <w:r w:rsidRPr="00AF6C64">
        <w:t xml:space="preserve"> </w:t>
      </w:r>
    </w:p>
    <w:p w14:paraId="7541A761" w14:textId="77777777" w:rsidR="006743BF" w:rsidRPr="00AF6C64" w:rsidRDefault="006743BF" w:rsidP="006743BF">
      <w:pPr>
        <w:spacing w:line="480" w:lineRule="auto"/>
        <w:ind w:firstLine="720"/>
        <w:jc w:val="both"/>
      </w:pPr>
      <w:r w:rsidRPr="00AF6C64">
        <w:t>Section 8 is the Housing Choice Voucher Program that authorizes both the tenant-based and project-based payment of rental housing assistance, often to private landlords.</w:t>
      </w:r>
      <w:r w:rsidRPr="00AF6C64">
        <w:rPr>
          <w:rStyle w:val="FootnoteReference"/>
        </w:rPr>
        <w:footnoteReference w:id="58"/>
      </w:r>
      <w:r w:rsidRPr="00AF6C64">
        <w:t xml:space="preserve"> While tenant-based Section 8 assistance is tied to the tenant, who must meet certain income eligibility requirements,</w:t>
      </w:r>
      <w:r w:rsidRPr="00AF6C64">
        <w:rPr>
          <w:rStyle w:val="FootnoteReference"/>
        </w:rPr>
        <w:footnoteReference w:id="59"/>
      </w:r>
      <w:r w:rsidRPr="00AF6C64">
        <w:t xml:space="preserve"> project-based Section 8 assistance is tied to the project and covers all units in the development rather than </w:t>
      </w:r>
      <w:r>
        <w:t>any</w:t>
      </w:r>
      <w:r w:rsidRPr="00AF6C64">
        <w:t xml:space="preserve"> </w:t>
      </w:r>
      <w:r>
        <w:t xml:space="preserve">individual </w:t>
      </w:r>
      <w:r w:rsidRPr="00AF6C64">
        <w:t>tenant.</w:t>
      </w:r>
      <w:r w:rsidRPr="00AF6C64">
        <w:rPr>
          <w:rStyle w:val="FootnoteReference"/>
        </w:rPr>
        <w:footnoteReference w:id="60"/>
      </w:r>
      <w:r w:rsidRPr="00AF6C64">
        <w:t xml:space="preserve"> </w:t>
      </w:r>
      <w:r>
        <w:t>Furthermore, c</w:t>
      </w:r>
      <w:r w:rsidRPr="00AF6C64">
        <w:t xml:space="preserve">onversion to Section 8 allows </w:t>
      </w:r>
      <w:r>
        <w:t>public housing authorities</w:t>
      </w:r>
      <w:r w:rsidRPr="00AF6C64">
        <w:t xml:space="preserve"> to leverage both public and private debt to finance improvements and repairs to their developments.</w:t>
      </w:r>
      <w:r w:rsidRPr="00AF6C64">
        <w:rPr>
          <w:rStyle w:val="FootnoteReference"/>
        </w:rPr>
        <w:footnoteReference w:id="61"/>
      </w:r>
    </w:p>
    <w:p w14:paraId="72BF3650" w14:textId="6088B052" w:rsidR="006743BF" w:rsidRPr="00AF6C64" w:rsidRDefault="006743BF" w:rsidP="006743BF">
      <w:pPr>
        <w:spacing w:line="480" w:lineRule="auto"/>
        <w:ind w:firstLine="720"/>
        <w:jc w:val="both"/>
      </w:pPr>
      <w:r w:rsidRPr="00AF6C64">
        <w:t>Property owners selected for the RAD program are required to make significant capital repairs, address capital needs</w:t>
      </w:r>
      <w:r>
        <w:t>,</w:t>
      </w:r>
      <w:r w:rsidRPr="00AF6C64">
        <w:t xml:space="preserve"> and have a reserve fund to address future maintenance and capital needs for the next 20 years.</w:t>
      </w:r>
      <w:r w:rsidRPr="00AF6C64">
        <w:rPr>
          <w:rStyle w:val="FootnoteReference"/>
        </w:rPr>
        <w:footnoteReference w:id="62"/>
      </w:r>
      <w:r>
        <w:t xml:space="preserve"> </w:t>
      </w:r>
      <w:r w:rsidRPr="00AF6C64">
        <w:t>HUD also allows property owners to adjust contract rents annually for increase</w:t>
      </w:r>
      <w:r>
        <w:t>s</w:t>
      </w:r>
      <w:r w:rsidRPr="00AF6C64">
        <w:t xml:space="preserve"> in operating costs. The Section 8 contract associated with a development receiving assistance is required to renew upon expiration in perpetuity.</w:t>
      </w:r>
      <w:r w:rsidRPr="00AF6C64">
        <w:rPr>
          <w:rStyle w:val="FootnoteReference"/>
        </w:rPr>
        <w:footnoteReference w:id="63"/>
      </w:r>
      <w:r>
        <w:t xml:space="preserve"> </w:t>
      </w:r>
      <w:r w:rsidRPr="00AF6C64">
        <w:t>If the development refinances or restructures permanent debt during the contract term, HUD must then approve it.</w:t>
      </w:r>
      <w:r w:rsidRPr="00AF6C64">
        <w:rPr>
          <w:rStyle w:val="FootnoteReference"/>
        </w:rPr>
        <w:footnoteReference w:id="64"/>
      </w:r>
      <w:r w:rsidRPr="00AF6C64">
        <w:t xml:space="preserve"> </w:t>
      </w:r>
    </w:p>
    <w:p w14:paraId="2C93817E" w14:textId="77777777" w:rsidR="006743BF" w:rsidRPr="00AF6C64" w:rsidRDefault="006743BF" w:rsidP="006743BF">
      <w:pPr>
        <w:spacing w:line="480" w:lineRule="auto"/>
        <w:ind w:firstLine="720"/>
        <w:jc w:val="both"/>
      </w:pPr>
      <w:r w:rsidRPr="00AF6C64">
        <w:t>NYCHA’s Permanent Affordability Commitment Together (</w:t>
      </w:r>
      <w:r>
        <w:t>“</w:t>
      </w:r>
      <w:r w:rsidRPr="00AF6C64">
        <w:t>PACT</w:t>
      </w:r>
      <w:r>
        <w:t>”</w:t>
      </w:r>
      <w:r w:rsidRPr="00AF6C64">
        <w:t xml:space="preserve">) program </w:t>
      </w:r>
      <w:r>
        <w:t xml:space="preserve">is NYCHA’s implementation of RAD, and </w:t>
      </w:r>
      <w:r w:rsidRPr="00AF6C64">
        <w:t>was created in order to identify subsidy options to preserve NYCHA’s affordable housing stock</w:t>
      </w:r>
      <w:r>
        <w:t xml:space="preserve">. </w:t>
      </w:r>
      <w:r w:rsidRPr="00AF6C64">
        <w:t>During the conversion process, a use agreement is created that requires the units to remain affordable but permits the property to serve as collateral for debt.</w:t>
      </w:r>
      <w:r w:rsidRPr="00AF6C64">
        <w:rPr>
          <w:rStyle w:val="FootnoteReference"/>
        </w:rPr>
        <w:footnoteReference w:id="65"/>
      </w:r>
      <w:r w:rsidRPr="00AF6C64">
        <w:t xml:space="preserve"> </w:t>
      </w:r>
    </w:p>
    <w:p w14:paraId="31DB7DF0" w14:textId="77777777" w:rsidR="006743BF" w:rsidRPr="00AF6C64" w:rsidRDefault="006743BF" w:rsidP="006743BF">
      <w:pPr>
        <w:spacing w:line="480" w:lineRule="auto"/>
        <w:ind w:firstLine="720"/>
        <w:jc w:val="both"/>
      </w:pPr>
      <w:r>
        <w:t>PACT is meant to provide</w:t>
      </w:r>
      <w:r w:rsidRPr="00AF6C64">
        <w:t xml:space="preserve"> residents with important tenant protections</w:t>
      </w:r>
      <w:r>
        <w:t>,</w:t>
      </w:r>
      <w:r w:rsidRPr="00AF6C64">
        <w:t xml:space="preserve"> </w:t>
      </w:r>
      <w:r>
        <w:t>with</w:t>
      </w:r>
      <w:r w:rsidRPr="00AF6C64">
        <w:t xml:space="preserve"> residents pay</w:t>
      </w:r>
      <w:r>
        <w:t>ing no more than</w:t>
      </w:r>
      <w:r w:rsidRPr="00AF6C64">
        <w:t xml:space="preserve"> 30 percent of their household income towards rent.</w:t>
      </w:r>
      <w:r w:rsidRPr="00AF6C64">
        <w:rPr>
          <w:rStyle w:val="FootnoteReference"/>
        </w:rPr>
        <w:footnoteReference w:id="66"/>
      </w:r>
      <w:r>
        <w:t xml:space="preserve"> </w:t>
      </w:r>
      <w:r w:rsidRPr="00AF6C64">
        <w:t>During the renovations, tenants have the</w:t>
      </w:r>
      <w:r>
        <w:t xml:space="preserve"> right to remain in their homes. The renovations are meant to</w:t>
      </w:r>
      <w:r w:rsidRPr="00AF6C64">
        <w:t xml:space="preserve"> provide residents with new kitchens, bathrooms, </w:t>
      </w:r>
      <w:r>
        <w:t xml:space="preserve">and </w:t>
      </w:r>
      <w:r w:rsidRPr="00AF6C64">
        <w:t xml:space="preserve">windows, </w:t>
      </w:r>
      <w:r>
        <w:t xml:space="preserve">as well as to </w:t>
      </w:r>
      <w:r w:rsidRPr="00AF6C64">
        <w:t xml:space="preserve">help address critical repair issues </w:t>
      </w:r>
      <w:r>
        <w:t>for shared facilities such as</w:t>
      </w:r>
      <w:r w:rsidRPr="00AF6C64">
        <w:t xml:space="preserve"> elevators, boilers, roofs, and facades. NYCHA is aiming to renovate 7,500 to 10,000 apartments per year by the year 2028.</w:t>
      </w:r>
      <w:r w:rsidRPr="00AF6C64">
        <w:rPr>
          <w:rStyle w:val="FootnoteReference"/>
        </w:rPr>
        <w:footnoteReference w:id="67"/>
      </w:r>
    </w:p>
    <w:p w14:paraId="4C7B3EBF" w14:textId="3C7D230A" w:rsidR="006743BF" w:rsidRPr="006743BF" w:rsidRDefault="006743BF" w:rsidP="006743BF">
      <w:pPr>
        <w:pStyle w:val="ListParagraph"/>
        <w:widowControl w:val="0"/>
        <w:numPr>
          <w:ilvl w:val="1"/>
          <w:numId w:val="1"/>
        </w:numPr>
        <w:spacing w:line="480" w:lineRule="auto"/>
        <w:rPr>
          <w:rFonts w:cs="Calibri"/>
          <w:b/>
          <w:i/>
          <w:color w:val="000000"/>
          <w:bdr w:val="none" w:sz="0" w:space="0" w:color="auto" w:frame="1"/>
        </w:rPr>
      </w:pPr>
      <w:r w:rsidRPr="006743BF">
        <w:rPr>
          <w:b/>
          <w:i/>
        </w:rPr>
        <w:t>Filing a Complaint at NYCHA</w:t>
      </w:r>
    </w:p>
    <w:p w14:paraId="2F230812" w14:textId="44EFF99D" w:rsidR="006743BF" w:rsidRDefault="006743BF" w:rsidP="006743BF">
      <w:pPr>
        <w:spacing w:line="480" w:lineRule="auto"/>
        <w:ind w:firstLine="720"/>
        <w:jc w:val="both"/>
      </w:pPr>
      <w:r>
        <w:t>Tenants can file complaints with NYCHA by calling NYCHA’s Customer Contact Center (“CCC”) to report emergencies and schedule routine maintenance repairs.</w:t>
      </w:r>
      <w:r w:rsidR="00E01550">
        <w:t xml:space="preserve"> </w:t>
      </w:r>
      <w:r>
        <w:t>A representative should be available to answer calls 24 hours a day, 7 days a week.</w:t>
      </w:r>
      <w:r>
        <w:rPr>
          <w:rStyle w:val="FootnoteReference"/>
        </w:rPr>
        <w:footnoteReference w:id="68"/>
      </w:r>
      <w:r>
        <w:t xml:space="preserve"> At CCC, scheduling is separated into two main categories: emergencies and non-emergencies. Non-emergencies are routine maintenance repairs and skilled trade repairs. Development management assigns staff to perform these repairs at the next available date and time. During emergencies, NYCHA has a target for a first response within 24 hours, depending on the type of emergency and availability of staff. </w:t>
      </w:r>
    </w:p>
    <w:p w14:paraId="6DF9567B" w14:textId="77777777" w:rsidR="006743BF" w:rsidRDefault="006743BF" w:rsidP="006743BF">
      <w:pPr>
        <w:spacing w:line="480" w:lineRule="auto"/>
        <w:ind w:firstLine="720"/>
        <w:jc w:val="both"/>
      </w:pPr>
      <w:r>
        <w:t>When a tenant files a complaint with CCC, a service request would be created in Siebel, an asset and management software, which then creates a work order in Maximo, a computerized database that keeps track of all maintenance work.</w:t>
      </w:r>
      <w:r>
        <w:rPr>
          <w:rStyle w:val="FootnoteReference"/>
        </w:rPr>
        <w:footnoteReference w:id="69"/>
      </w:r>
      <w:r>
        <w:t xml:space="preserve"> The primary work order, also known as a “parent work order,” is the initial task that was called in by a NYCHA resident or NYCHA staff.</w:t>
      </w:r>
      <w:r>
        <w:rPr>
          <w:rStyle w:val="FootnoteReference"/>
        </w:rPr>
        <w:footnoteReference w:id="70"/>
      </w:r>
      <w:r>
        <w:t xml:space="preserve"> This work order remains open until all related work is completed, including all “child work orders” that are connected to the parent work order.</w:t>
      </w:r>
      <w:r>
        <w:rPr>
          <w:rStyle w:val="FootnoteReference"/>
        </w:rPr>
        <w:footnoteReference w:id="71"/>
      </w:r>
      <w:r>
        <w:t xml:space="preserve"> A child work order is created when NYCHA staff identifies additional work that is needed to repair or inspect the parent work order.</w:t>
      </w:r>
      <w:r>
        <w:rPr>
          <w:rStyle w:val="FootnoteReference"/>
        </w:rPr>
        <w:footnoteReference w:id="72"/>
      </w:r>
      <w:r>
        <w:t xml:space="preserve"> </w:t>
      </w:r>
    </w:p>
    <w:p w14:paraId="11779284" w14:textId="77777777" w:rsidR="006743BF" w:rsidRDefault="006743BF" w:rsidP="006743BF">
      <w:pPr>
        <w:spacing w:line="480" w:lineRule="auto"/>
        <w:ind w:firstLine="720"/>
        <w:jc w:val="both"/>
      </w:pPr>
      <w:r>
        <w:t>A recent Human Rights Watch report found that residents in PACT/RAD developments were “finding it difficult or impossible” to register complaints or repair requests, often led into a frustrating back and forth between 311 and CCC.</w:t>
      </w:r>
      <w:r>
        <w:rPr>
          <w:rStyle w:val="FootnoteReference"/>
        </w:rPr>
        <w:footnoteReference w:id="73"/>
      </w:r>
      <w:r>
        <w:t xml:space="preserve"> PACT/RAD tenants reported that when they attempted to call CCC with complaints, they were told that because their developments are under private management, not NYCHA, the CCC does not apply.</w:t>
      </w:r>
      <w:r>
        <w:rPr>
          <w:rStyle w:val="FootnoteReference"/>
        </w:rPr>
        <w:footnoteReference w:id="74"/>
      </w:r>
      <w:r>
        <w:t xml:space="preserve"> When those tenants attempted to call 311, they were told their properties fell under NYCHA’s purview, and therefore 311 would not take the call.</w:t>
      </w:r>
      <w:r>
        <w:rPr>
          <w:rStyle w:val="FootnoteReference"/>
        </w:rPr>
        <w:footnoteReference w:id="75"/>
      </w:r>
    </w:p>
    <w:p w14:paraId="333C7FBC" w14:textId="43AA97D2" w:rsidR="006743BF" w:rsidRPr="006743BF" w:rsidRDefault="006743BF" w:rsidP="00690766">
      <w:pPr>
        <w:pStyle w:val="ListParagraph"/>
        <w:keepNext/>
        <w:numPr>
          <w:ilvl w:val="1"/>
          <w:numId w:val="1"/>
        </w:numPr>
        <w:spacing w:line="480" w:lineRule="auto"/>
        <w:ind w:left="1166"/>
        <w:rPr>
          <w:b/>
          <w:i/>
        </w:rPr>
      </w:pPr>
      <w:r w:rsidRPr="006743BF">
        <w:rPr>
          <w:b/>
          <w:i/>
        </w:rPr>
        <w:t>Local Law 127 of 2021</w:t>
      </w:r>
    </w:p>
    <w:p w14:paraId="2274B07D" w14:textId="17A59C81" w:rsidR="006743BF" w:rsidRPr="006743BF" w:rsidRDefault="006743BF" w:rsidP="006743BF">
      <w:pPr>
        <w:spacing w:line="480" w:lineRule="auto"/>
        <w:ind w:firstLine="720"/>
        <w:jc w:val="both"/>
      </w:pPr>
      <w:r>
        <w:t xml:space="preserve">On November 7, 2021, the New York City Council enacted Local Law 127 of 2021, requiring 311 to track complaints or service requests it receives regarding NYCHA from all members of the public, including NYCHA residents. The </w:t>
      </w:r>
      <w:r w:rsidR="00C01303">
        <w:t xml:space="preserve">law </w:t>
      </w:r>
      <w:r>
        <w:t xml:space="preserve">also requires 311 to refer those complaints to NYCHA, and to publish information relating to those complaints. The law went into effect March 2022. While Local Law 127 would still result in calls about NYCHA properties being routed back to the CCC, it creates additional layers of accountability and transparency because it would give NYCHA callers the same benefits that any other 311 caller would get: a ticket number, and a way to track complaints or service requests. Prior to the enactment of Local Law 127, 311 users contacting the service to report issues on NYCHA property were directed to contact the CCC, and no 311 ticket number was generated. Numerous </w:t>
      </w:r>
      <w:r w:rsidR="00C01303">
        <w:t xml:space="preserve">elected officials </w:t>
      </w:r>
      <w:r>
        <w:t>had noted a disconnect between 311 and CCC, and a concern over the lack of integration making it harder for NYCHA residents’ needs to be met.</w:t>
      </w:r>
      <w:r>
        <w:rPr>
          <w:rStyle w:val="FootnoteReference"/>
        </w:rPr>
        <w:footnoteReference w:id="76"/>
      </w:r>
      <w:r>
        <w:t xml:space="preserve"> </w:t>
      </w:r>
    </w:p>
    <w:p w14:paraId="3C68363C" w14:textId="22F6765F" w:rsidR="00206848" w:rsidRPr="006743BF" w:rsidRDefault="00E45B1A" w:rsidP="00B33AFE">
      <w:pPr>
        <w:pStyle w:val="ListParagraph"/>
        <w:numPr>
          <w:ilvl w:val="0"/>
          <w:numId w:val="1"/>
        </w:numPr>
        <w:autoSpaceDE w:val="0"/>
        <w:autoSpaceDN w:val="0"/>
        <w:adjustRightInd w:val="0"/>
        <w:spacing w:line="480" w:lineRule="auto"/>
        <w:contextualSpacing w:val="0"/>
        <w:rPr>
          <w:rFonts w:ascii="Times New Roman Bold" w:eastAsia="MyriadPro-Regular" w:hAnsi="Times New Roman Bold" w:hint="eastAsia"/>
          <w:b/>
          <w:smallCaps/>
          <w:u w:val="single"/>
        </w:rPr>
      </w:pPr>
      <w:r w:rsidRPr="006743BF">
        <w:rPr>
          <w:rFonts w:ascii="Times New Roman Bold" w:hAnsi="Times New Roman Bold"/>
          <w:b/>
          <w:smallCaps/>
          <w:u w:val="single"/>
        </w:rPr>
        <w:t>Legislative Analysis</w:t>
      </w:r>
    </w:p>
    <w:p w14:paraId="7B671B7D" w14:textId="0FBF5CCB" w:rsidR="00206848" w:rsidRPr="006743BF" w:rsidRDefault="006743BF" w:rsidP="003578F3">
      <w:pPr>
        <w:spacing w:line="480" w:lineRule="auto"/>
        <w:jc w:val="both"/>
        <w:rPr>
          <w:b/>
          <w:u w:val="single"/>
        </w:rPr>
      </w:pPr>
      <w:r w:rsidRPr="006743BF">
        <w:rPr>
          <w:b/>
          <w:u w:val="single"/>
        </w:rPr>
        <w:t>Int. 55</w:t>
      </w:r>
    </w:p>
    <w:p w14:paraId="010F0BC0" w14:textId="45F70A0B" w:rsidR="00206848" w:rsidRPr="00206848" w:rsidRDefault="00206848" w:rsidP="003578F3">
      <w:pPr>
        <w:spacing w:line="480" w:lineRule="auto"/>
        <w:ind w:firstLine="720"/>
        <w:jc w:val="both"/>
        <w:rPr>
          <w:rFonts w:ascii="TimesNewRoman" w:eastAsia="Times New Roman" w:hAnsi="TimesNewRoman" w:cs="TimesNewRoman"/>
          <w:color w:val="000000"/>
          <w:lang w:val="x-none"/>
        </w:rPr>
      </w:pPr>
      <w:r w:rsidRPr="00206848">
        <w:rPr>
          <w:rFonts w:ascii="TimesNewRoman" w:eastAsia="Times New Roman" w:hAnsi="TimesNewRoman" w:cs="TimesNewRoman"/>
          <w:color w:val="000000"/>
          <w:lang w:val="x-none"/>
        </w:rPr>
        <w:t xml:space="preserve">This bill would require </w:t>
      </w:r>
      <w:r w:rsidR="00122C26">
        <w:rPr>
          <w:rFonts w:ascii="TimesNewRoman" w:eastAsia="Times New Roman" w:hAnsi="TimesNewRoman" w:cs="TimesNewRoman"/>
          <w:color w:val="000000"/>
        </w:rPr>
        <w:t>DoITT</w:t>
      </w:r>
      <w:r w:rsidRPr="00206848">
        <w:rPr>
          <w:rFonts w:ascii="TimesNewRoman" w:eastAsia="Times New Roman" w:hAnsi="TimesNewRoman" w:cs="TimesNewRoman"/>
          <w:color w:val="000000"/>
          <w:lang w:val="x-none"/>
        </w:rPr>
        <w:t xml:space="preserve"> to create a separate link for </w:t>
      </w:r>
      <w:r w:rsidRPr="00206848">
        <w:rPr>
          <w:rFonts w:ascii="TimesNewRoman" w:eastAsia="Times New Roman" w:hAnsi="TimesNewRoman" w:cs="TimesNewRoman"/>
          <w:color w:val="000000"/>
        </w:rPr>
        <w:t>COVID-19 testing site</w:t>
      </w:r>
      <w:r w:rsidRPr="00206848">
        <w:rPr>
          <w:rFonts w:ascii="TimesNewRoman" w:eastAsia="Times New Roman" w:hAnsi="TimesNewRoman" w:cs="TimesNewRoman"/>
          <w:color w:val="000000"/>
          <w:lang w:val="x-none"/>
        </w:rPr>
        <w:t xml:space="preserve"> complaints on the 311 website and mobile app</w:t>
      </w:r>
      <w:r w:rsidR="00E03563">
        <w:rPr>
          <w:rFonts w:ascii="TimesNewRoman" w:eastAsia="Times New Roman" w:hAnsi="TimesNewRoman" w:cs="TimesNewRoman"/>
          <w:color w:val="000000"/>
        </w:rPr>
        <w:t>lication</w:t>
      </w:r>
      <w:r w:rsidRPr="00206848">
        <w:rPr>
          <w:rFonts w:ascii="TimesNewRoman" w:eastAsia="Times New Roman" w:hAnsi="TimesNewRoman" w:cs="TimesNewRoman"/>
          <w:color w:val="000000"/>
          <w:lang w:val="x-none"/>
        </w:rPr>
        <w:t xml:space="preserve">. DoITT would also be required to </w:t>
      </w:r>
      <w:r w:rsidRPr="00206848">
        <w:rPr>
          <w:rFonts w:ascii="TimesNewRoman" w:eastAsia="Times New Roman" w:hAnsi="TimesNewRoman" w:cs="TimesNewRoman"/>
          <w:color w:val="000000"/>
        </w:rPr>
        <w:t>maintain a public website that updates daily on the number and nature of complaints received for each testing site, the agency each complaint was referred to and the disposition of each complaint</w:t>
      </w:r>
      <w:r w:rsidRPr="00206848">
        <w:rPr>
          <w:rFonts w:ascii="TimesNewRoman" w:eastAsia="Times New Roman" w:hAnsi="TimesNewRoman" w:cs="TimesNewRoman"/>
          <w:color w:val="000000"/>
          <w:lang w:val="x-none"/>
        </w:rPr>
        <w:t xml:space="preserve">. The bill would further require </w:t>
      </w:r>
      <w:r w:rsidRPr="00206848">
        <w:rPr>
          <w:rFonts w:ascii="TimesNewRoman" w:eastAsia="Times New Roman" w:hAnsi="TimesNewRoman" w:cs="TimesNewRoman"/>
          <w:color w:val="000000"/>
        </w:rPr>
        <w:t>that the complaints be investigated by the appropriate agency within 48 hours of receipt</w:t>
      </w:r>
      <w:r w:rsidRPr="00206848">
        <w:rPr>
          <w:rFonts w:ascii="TimesNewRoman" w:eastAsia="Times New Roman" w:hAnsi="TimesNewRoman" w:cs="TimesNewRoman"/>
          <w:color w:val="000000"/>
          <w:lang w:val="x-none"/>
        </w:rPr>
        <w:t>.</w:t>
      </w:r>
    </w:p>
    <w:p w14:paraId="154F4FDA" w14:textId="53626636" w:rsidR="00206848" w:rsidRPr="00206848" w:rsidRDefault="00206848" w:rsidP="003578F3">
      <w:pPr>
        <w:autoSpaceDE w:val="0"/>
        <w:autoSpaceDN w:val="0"/>
        <w:adjustRightInd w:val="0"/>
        <w:snapToGrid w:val="0"/>
        <w:spacing w:line="480" w:lineRule="auto"/>
        <w:ind w:firstLine="720"/>
        <w:jc w:val="both"/>
        <w:rPr>
          <w:rFonts w:ascii="TimesNewRoman" w:eastAsia="Times New Roman" w:hAnsi="TimesNewRoman" w:cs="TimesNewRoman"/>
          <w:color w:val="000000"/>
        </w:rPr>
      </w:pPr>
      <w:r>
        <w:t xml:space="preserve">This bill would take effect </w:t>
      </w:r>
      <w:r w:rsidRPr="00206848">
        <w:rPr>
          <w:rFonts w:ascii="TimesNewRoman" w:eastAsia="Times New Roman" w:hAnsi="TimesNewRoman" w:cs="TimesNewRoman"/>
          <w:color w:val="000000"/>
        </w:rPr>
        <w:t>30 days after becoming law</w:t>
      </w:r>
      <w:r>
        <w:rPr>
          <w:rFonts w:ascii="TimesNewRoman" w:eastAsia="Times New Roman" w:hAnsi="TimesNewRoman" w:cs="TimesNewRoman"/>
          <w:color w:val="000000"/>
        </w:rPr>
        <w:t>.</w:t>
      </w:r>
    </w:p>
    <w:p w14:paraId="57A6F206" w14:textId="50CA5D76" w:rsidR="0050125E" w:rsidRPr="006743BF" w:rsidRDefault="006743BF" w:rsidP="003578F3">
      <w:pPr>
        <w:spacing w:line="480" w:lineRule="auto"/>
        <w:jc w:val="both"/>
        <w:rPr>
          <w:b/>
          <w:color w:val="000000"/>
          <w:u w:val="single"/>
          <w:shd w:val="clear" w:color="auto" w:fill="FFFFFF"/>
        </w:rPr>
      </w:pPr>
      <w:r>
        <w:rPr>
          <w:b/>
          <w:u w:val="single"/>
        </w:rPr>
        <w:t>Int. 167</w:t>
      </w:r>
    </w:p>
    <w:p w14:paraId="288ACD6E" w14:textId="05EEF2CA" w:rsidR="003578F3" w:rsidRDefault="0050125E" w:rsidP="003578F3">
      <w:pPr>
        <w:widowControl w:val="0"/>
        <w:autoSpaceDE w:val="0"/>
        <w:autoSpaceDN w:val="0"/>
        <w:adjustRightInd w:val="0"/>
        <w:spacing w:line="480" w:lineRule="auto"/>
        <w:ind w:firstLine="720"/>
        <w:jc w:val="both"/>
        <w:rPr>
          <w:rFonts w:eastAsia="Times New Roman"/>
        </w:rPr>
      </w:pPr>
      <w:r w:rsidRPr="00E0251D">
        <w:t>This bill would require 311 mobile application or website users to</w:t>
      </w:r>
      <w:r w:rsidR="009E2890">
        <w:t xml:space="preserve"> be able to</w:t>
      </w:r>
      <w:r w:rsidRPr="00E0251D">
        <w:t xml:space="preserve"> </w:t>
      </w:r>
      <w:r w:rsidRPr="0050125E">
        <w:rPr>
          <w:color w:val="000000"/>
        </w:rPr>
        <w:t xml:space="preserve">submit a request or complaint with no more than four steps.  </w:t>
      </w:r>
    </w:p>
    <w:p w14:paraId="57619321" w14:textId="20E91301" w:rsidR="00206848" w:rsidRPr="003578F3" w:rsidRDefault="0050125E" w:rsidP="003578F3">
      <w:pPr>
        <w:widowControl w:val="0"/>
        <w:autoSpaceDE w:val="0"/>
        <w:autoSpaceDN w:val="0"/>
        <w:adjustRightInd w:val="0"/>
        <w:spacing w:line="480" w:lineRule="auto"/>
        <w:ind w:firstLine="720"/>
        <w:jc w:val="both"/>
        <w:rPr>
          <w:rFonts w:eastAsia="Times New Roman"/>
        </w:rPr>
      </w:pPr>
      <w:r>
        <w:t xml:space="preserve">This bill would take effect </w:t>
      </w:r>
      <w:r w:rsidRPr="0050125E">
        <w:rPr>
          <w:rFonts w:ascii="TimesNewRoman" w:eastAsia="Times New Roman" w:hAnsi="TimesNewRoman" w:cs="TimesNewRoman"/>
          <w:color w:val="000000"/>
        </w:rPr>
        <w:t>180 days after becoming law.</w:t>
      </w:r>
    </w:p>
    <w:p w14:paraId="6689F126" w14:textId="77777777" w:rsidR="006229F0" w:rsidRDefault="006229F0" w:rsidP="003578F3">
      <w:pPr>
        <w:keepNext/>
        <w:spacing w:line="480" w:lineRule="auto"/>
        <w:jc w:val="both"/>
        <w:rPr>
          <w:b/>
          <w:u w:val="single"/>
        </w:rPr>
      </w:pPr>
      <w:r w:rsidRPr="00A037E2">
        <w:rPr>
          <w:b/>
          <w:u w:val="single"/>
        </w:rPr>
        <w:t>Int. 206</w:t>
      </w:r>
    </w:p>
    <w:p w14:paraId="6068000D" w14:textId="68B63364" w:rsidR="006229F0" w:rsidRDefault="006229F0" w:rsidP="003578F3">
      <w:pPr>
        <w:spacing w:line="480" w:lineRule="auto"/>
        <w:jc w:val="both"/>
      </w:pPr>
      <w:r w:rsidRPr="006229F0">
        <w:tab/>
        <w:t xml:space="preserve"> This bill would require the Commissioner of Information Technology and Telecommunications to submit a monthly report to the Mayor and the Speaker of the Council on </w:t>
      </w:r>
      <w:r w:rsidR="003578F3">
        <w:t>the time it takes 311 callers to be connected to an interpreter</w:t>
      </w:r>
      <w:r w:rsidRPr="006229F0">
        <w:t xml:space="preserve">. </w:t>
      </w:r>
      <w:r>
        <w:t xml:space="preserve">Such report would include the wait time and relevant language for each such call, as well as an average wait time across all such calls. </w:t>
      </w:r>
      <w:r w:rsidRPr="006229F0">
        <w:t>The first report would be required to be submitted by September 15, 2022.</w:t>
      </w:r>
    </w:p>
    <w:p w14:paraId="38D14AD1" w14:textId="5DD0D6F2" w:rsidR="006229F0" w:rsidRPr="006229F0" w:rsidRDefault="006229F0" w:rsidP="003578F3">
      <w:pPr>
        <w:spacing w:line="480" w:lineRule="auto"/>
        <w:jc w:val="both"/>
      </w:pPr>
      <w:r>
        <w:tab/>
        <w:t>This bill would take effect immediately.</w:t>
      </w:r>
    </w:p>
    <w:p w14:paraId="68CEB378" w14:textId="6A076B86" w:rsidR="00206848" w:rsidRPr="006743BF" w:rsidRDefault="006743BF" w:rsidP="003578F3">
      <w:pPr>
        <w:spacing w:line="480" w:lineRule="auto"/>
        <w:jc w:val="both"/>
        <w:rPr>
          <w:b/>
          <w:color w:val="000000"/>
          <w:u w:val="single"/>
          <w:shd w:val="clear" w:color="auto" w:fill="FFFFFF"/>
        </w:rPr>
      </w:pPr>
      <w:r>
        <w:rPr>
          <w:b/>
          <w:u w:val="single"/>
        </w:rPr>
        <w:t>Int. 240</w:t>
      </w:r>
      <w:r w:rsidR="00206848" w:rsidRPr="006743BF">
        <w:rPr>
          <w:b/>
          <w:u w:val="single"/>
        </w:rPr>
        <w:t xml:space="preserve"> </w:t>
      </w:r>
    </w:p>
    <w:p w14:paraId="2EB26ADA" w14:textId="6AE41D8A" w:rsidR="003578F3" w:rsidRDefault="0050125E" w:rsidP="003578F3">
      <w:pPr>
        <w:widowControl w:val="0"/>
        <w:tabs>
          <w:tab w:val="left" w:pos="-720"/>
        </w:tabs>
        <w:suppressAutoHyphens/>
        <w:spacing w:line="480" w:lineRule="auto"/>
        <w:jc w:val="both"/>
      </w:pPr>
      <w:r>
        <w:tab/>
      </w:r>
      <w:r w:rsidR="009E2890">
        <w:t>This bill</w:t>
      </w:r>
      <w:r w:rsidR="00206848" w:rsidRPr="009376C2">
        <w:t xml:space="preserve"> would </w:t>
      </w:r>
      <w:r w:rsidR="00206848">
        <w:t xml:space="preserve">require </w:t>
      </w:r>
      <w:r w:rsidR="003578F3">
        <w:t>DoITT</w:t>
      </w:r>
      <w:r w:rsidR="00206848">
        <w:t xml:space="preserve"> to update the complaint types on </w:t>
      </w:r>
      <w:r w:rsidR="00206848" w:rsidRPr="003221F2">
        <w:t xml:space="preserve">the 311 </w:t>
      </w:r>
      <w:r w:rsidR="00206848">
        <w:t>customer</w:t>
      </w:r>
      <w:r w:rsidR="00206848" w:rsidRPr="003221F2">
        <w:t xml:space="preserve"> service center website</w:t>
      </w:r>
      <w:r w:rsidR="00206848">
        <w:t xml:space="preserve"> and</w:t>
      </w:r>
      <w:r w:rsidR="00206848" w:rsidRPr="003221F2">
        <w:t xml:space="preserve"> mobile device platforms and notify 311 customer service cente</w:t>
      </w:r>
      <w:r w:rsidR="00206848">
        <w:t>r call takers of such complaint type,</w:t>
      </w:r>
      <w:r w:rsidR="00206848" w:rsidRPr="001B2DC6">
        <w:t xml:space="preserve"> by the effective date of a local l</w:t>
      </w:r>
      <w:r w:rsidR="00206848">
        <w:t xml:space="preserve">aw that involves a </w:t>
      </w:r>
      <w:r w:rsidR="00206848" w:rsidRPr="001B2DC6">
        <w:t>reques</w:t>
      </w:r>
      <w:r w:rsidR="00206848">
        <w:t xml:space="preserve">t for service. This bill would also require DoITT to semiannually report to the Mayor and the Speaker of the Council on the </w:t>
      </w:r>
      <w:r w:rsidR="00206848" w:rsidRPr="0096378B">
        <w:t xml:space="preserve">updating </w:t>
      </w:r>
      <w:r w:rsidR="00206848">
        <w:t>of 311 complaint types.</w:t>
      </w:r>
    </w:p>
    <w:p w14:paraId="5956C810" w14:textId="54CDFE0B" w:rsidR="00206848" w:rsidRDefault="0050125E" w:rsidP="003578F3">
      <w:pPr>
        <w:autoSpaceDE w:val="0"/>
        <w:autoSpaceDN w:val="0"/>
        <w:adjustRightInd w:val="0"/>
        <w:snapToGrid w:val="0"/>
        <w:spacing w:line="480" w:lineRule="auto"/>
        <w:ind w:firstLine="720"/>
        <w:jc w:val="both"/>
        <w:rPr>
          <w:rFonts w:ascii="TimesNewRoman" w:eastAsia="Times New Roman" w:hAnsi="TimesNewRoman" w:cs="TimesNewRoman"/>
          <w:color w:val="000000"/>
        </w:rPr>
      </w:pPr>
      <w:r>
        <w:t xml:space="preserve">This bill would take effect </w:t>
      </w:r>
      <w:r>
        <w:rPr>
          <w:rFonts w:ascii="TimesNewRoman" w:eastAsia="Times New Roman" w:hAnsi="TimesNewRoman" w:cs="TimesNewRoman"/>
          <w:color w:val="000000"/>
        </w:rPr>
        <w:t>6</w:t>
      </w:r>
      <w:r w:rsidRPr="00206848">
        <w:rPr>
          <w:rFonts w:ascii="TimesNewRoman" w:eastAsia="Times New Roman" w:hAnsi="TimesNewRoman" w:cs="TimesNewRoman"/>
          <w:color w:val="000000"/>
        </w:rPr>
        <w:t>0 days after becoming law</w:t>
      </w:r>
      <w:r>
        <w:rPr>
          <w:rFonts w:ascii="TimesNewRoman" w:eastAsia="Times New Roman" w:hAnsi="TimesNewRoman" w:cs="TimesNewRoman"/>
          <w:color w:val="000000"/>
        </w:rPr>
        <w:t>.</w:t>
      </w:r>
    </w:p>
    <w:p w14:paraId="7D97DA49" w14:textId="3DB39A14" w:rsidR="003578F3" w:rsidRDefault="003578F3" w:rsidP="003578F3">
      <w:pPr>
        <w:autoSpaceDE w:val="0"/>
        <w:autoSpaceDN w:val="0"/>
        <w:adjustRightInd w:val="0"/>
        <w:snapToGrid w:val="0"/>
        <w:spacing w:line="480" w:lineRule="auto"/>
        <w:rPr>
          <w:rFonts w:ascii="TimesNewRoman" w:eastAsia="Times New Roman" w:hAnsi="TimesNewRoman" w:cs="TimesNewRoman"/>
          <w:b/>
          <w:color w:val="000000"/>
          <w:u w:val="single"/>
        </w:rPr>
      </w:pPr>
      <w:r w:rsidRPr="003578F3">
        <w:rPr>
          <w:rFonts w:ascii="TimesNewRoman" w:eastAsia="Times New Roman" w:hAnsi="TimesNewRoman" w:cs="TimesNewRoman"/>
          <w:b/>
          <w:color w:val="000000"/>
          <w:u w:val="single"/>
        </w:rPr>
        <w:t>Int. 296</w:t>
      </w:r>
    </w:p>
    <w:p w14:paraId="2E2AD7B2" w14:textId="25A94533" w:rsidR="003578F3" w:rsidRDefault="003578F3" w:rsidP="003578F3">
      <w:pPr>
        <w:autoSpaceDE w:val="0"/>
        <w:autoSpaceDN w:val="0"/>
        <w:adjustRightInd w:val="0"/>
        <w:snapToGrid w:val="0"/>
        <w:spacing w:line="480" w:lineRule="auto"/>
        <w:ind w:firstLine="720"/>
        <w:jc w:val="both"/>
        <w:rPr>
          <w:rFonts w:ascii="TimesNewRoman" w:eastAsia="Times New Roman" w:hAnsi="TimesNewRoman" w:cs="TimesNewRoman"/>
          <w:color w:val="000000"/>
        </w:rPr>
      </w:pPr>
      <w:r w:rsidRPr="003578F3">
        <w:rPr>
          <w:rFonts w:ascii="TimesNewRoman" w:eastAsia="Times New Roman" w:hAnsi="TimesNewRoman" w:cs="TimesNewRoman"/>
          <w:color w:val="000000"/>
        </w:rPr>
        <w:t>This bill would require the development of a protocol for identifying the langu</w:t>
      </w:r>
      <w:r>
        <w:rPr>
          <w:rFonts w:ascii="TimesNewRoman" w:eastAsia="Times New Roman" w:hAnsi="TimesNewRoman" w:cs="TimesNewRoman"/>
          <w:color w:val="000000"/>
        </w:rPr>
        <w:t>ages spoken by callers to 311.</w:t>
      </w:r>
      <w:r w:rsidRPr="003578F3">
        <w:t xml:space="preserve"> </w:t>
      </w:r>
      <w:r w:rsidRPr="003578F3">
        <w:rPr>
          <w:rFonts w:ascii="TimesNewRoman" w:eastAsia="Times New Roman" w:hAnsi="TimesNewRoman" w:cs="TimesNewRoman"/>
          <w:color w:val="000000"/>
        </w:rPr>
        <w:t xml:space="preserve">Such protocol </w:t>
      </w:r>
      <w:r>
        <w:rPr>
          <w:rFonts w:ascii="TimesNewRoman" w:eastAsia="Times New Roman" w:hAnsi="TimesNewRoman" w:cs="TimesNewRoman"/>
          <w:color w:val="000000"/>
        </w:rPr>
        <w:t>would be required to</w:t>
      </w:r>
      <w:r w:rsidRPr="003578F3">
        <w:rPr>
          <w:rFonts w:ascii="TimesNewRoman" w:eastAsia="Times New Roman" w:hAnsi="TimesNewRoman" w:cs="TimesNewRoman"/>
          <w:color w:val="000000"/>
        </w:rPr>
        <w:t xml:space="preserve"> include the use of automated language recognition software to assist in the </w:t>
      </w:r>
      <w:r>
        <w:rPr>
          <w:rFonts w:ascii="TimesNewRoman" w:eastAsia="Times New Roman" w:hAnsi="TimesNewRoman" w:cs="TimesNewRoman"/>
          <w:color w:val="000000"/>
        </w:rPr>
        <w:t>identification</w:t>
      </w:r>
      <w:r w:rsidRPr="003578F3">
        <w:rPr>
          <w:rFonts w:ascii="TimesNewRoman" w:eastAsia="Times New Roman" w:hAnsi="TimesNewRoman" w:cs="TimesNewRoman"/>
          <w:color w:val="000000"/>
        </w:rPr>
        <w:t xml:space="preserve"> of the language possibly spoken by the caller.</w:t>
      </w:r>
      <w:r>
        <w:rPr>
          <w:rFonts w:ascii="TimesNewRoman" w:eastAsia="Times New Roman" w:hAnsi="TimesNewRoman" w:cs="TimesNewRoman"/>
          <w:color w:val="000000"/>
        </w:rPr>
        <w:t xml:space="preserve"> In addition,</w:t>
      </w:r>
      <w:r w:rsidRPr="003578F3">
        <w:rPr>
          <w:rFonts w:ascii="TimesNewRoman" w:eastAsia="Times New Roman" w:hAnsi="TimesNewRoman" w:cs="TimesNewRoman"/>
          <w:color w:val="000000"/>
        </w:rPr>
        <w:t xml:space="preserve"> </w:t>
      </w:r>
      <w:r>
        <w:rPr>
          <w:rFonts w:ascii="TimesNewRoman" w:eastAsia="Times New Roman" w:hAnsi="TimesNewRoman" w:cs="TimesNewRoman"/>
          <w:color w:val="000000"/>
        </w:rPr>
        <w:t xml:space="preserve">by January 30 of each year, DoITT </w:t>
      </w:r>
      <w:r w:rsidRPr="003578F3">
        <w:rPr>
          <w:rFonts w:ascii="TimesNewRoman" w:eastAsia="Times New Roman" w:hAnsi="TimesNewRoman" w:cs="TimesNewRoman"/>
          <w:color w:val="000000"/>
        </w:rPr>
        <w:t>would be required to report on instances where calls were disconnected for failure to receive appropriate language assistance.</w:t>
      </w:r>
    </w:p>
    <w:p w14:paraId="1DEAC6DB" w14:textId="60C6AA83" w:rsidR="003578F3" w:rsidRDefault="003578F3" w:rsidP="003578F3">
      <w:pPr>
        <w:autoSpaceDE w:val="0"/>
        <w:autoSpaceDN w:val="0"/>
        <w:adjustRightInd w:val="0"/>
        <w:snapToGrid w:val="0"/>
        <w:spacing w:line="480" w:lineRule="auto"/>
        <w:ind w:firstLine="720"/>
        <w:jc w:val="both"/>
        <w:rPr>
          <w:rFonts w:ascii="TimesNewRoman" w:eastAsia="Times New Roman" w:hAnsi="TimesNewRoman" w:cs="TimesNewRoman"/>
          <w:color w:val="000000"/>
        </w:rPr>
      </w:pPr>
      <w:r>
        <w:rPr>
          <w:color w:val="000000"/>
          <w:shd w:val="clear" w:color="auto" w:fill="FFFFFF"/>
        </w:rPr>
        <w:t>This local law would take effect 1 year after it becomes law.</w:t>
      </w:r>
    </w:p>
    <w:p w14:paraId="3469DC30" w14:textId="052D4C14" w:rsidR="003578F3" w:rsidRPr="00393892" w:rsidRDefault="00122C26" w:rsidP="003578F3">
      <w:pPr>
        <w:spacing w:line="480" w:lineRule="auto"/>
      </w:pPr>
      <w:r>
        <w:rPr>
          <w:b/>
          <w:u w:val="single"/>
        </w:rPr>
        <w:t xml:space="preserve">Res. </w:t>
      </w:r>
      <w:r w:rsidR="003578F3">
        <w:rPr>
          <w:b/>
          <w:u w:val="single"/>
        </w:rPr>
        <w:t>68</w:t>
      </w:r>
    </w:p>
    <w:p w14:paraId="5C30F208" w14:textId="77777777" w:rsidR="003578F3" w:rsidRDefault="003578F3" w:rsidP="003578F3">
      <w:pPr>
        <w:spacing w:line="480" w:lineRule="auto"/>
        <w:ind w:firstLine="720"/>
        <w:jc w:val="both"/>
      </w:pPr>
      <w:r>
        <w:t>This resolution would call on the New York State Legislature and the United Stated Department of Housing and Urban Development to take strong action and increase NYCHA accountability by auditing the responsiveness of NYCHA managers to tenants.</w:t>
      </w:r>
    </w:p>
    <w:p w14:paraId="2C79E04B" w14:textId="77777777" w:rsidR="003578F3" w:rsidRPr="003578F3" w:rsidRDefault="003578F3" w:rsidP="003578F3">
      <w:pPr>
        <w:autoSpaceDE w:val="0"/>
        <w:autoSpaceDN w:val="0"/>
        <w:adjustRightInd w:val="0"/>
        <w:snapToGrid w:val="0"/>
        <w:spacing w:line="480" w:lineRule="auto"/>
        <w:jc w:val="both"/>
        <w:rPr>
          <w:rFonts w:ascii="TimesNewRoman" w:eastAsia="Times New Roman" w:hAnsi="TimesNewRoman" w:cs="TimesNewRoman"/>
          <w:color w:val="000000"/>
        </w:rPr>
      </w:pPr>
    </w:p>
    <w:p w14:paraId="04938C21" w14:textId="65520523" w:rsidR="00045CD2" w:rsidRPr="006743BF" w:rsidRDefault="00045CD2" w:rsidP="00B33AFE">
      <w:pPr>
        <w:pStyle w:val="ListParagraph"/>
        <w:numPr>
          <w:ilvl w:val="0"/>
          <w:numId w:val="9"/>
        </w:numPr>
        <w:spacing w:line="480" w:lineRule="auto"/>
        <w:contextualSpacing w:val="0"/>
        <w:rPr>
          <w:b/>
          <w:smallCaps/>
          <w:u w:val="single"/>
        </w:rPr>
      </w:pPr>
      <w:r w:rsidRPr="006743BF">
        <w:rPr>
          <w:b/>
          <w:smallCaps/>
          <w:u w:val="single"/>
        </w:rPr>
        <w:t>Conclusion</w:t>
      </w:r>
    </w:p>
    <w:p w14:paraId="2CA15716" w14:textId="4E5E27F0" w:rsidR="00D80ADA" w:rsidRDefault="00045CD2" w:rsidP="00122C26">
      <w:pPr>
        <w:spacing w:line="480" w:lineRule="auto"/>
        <w:ind w:firstLine="720"/>
        <w:rPr>
          <w:shd w:val="clear" w:color="auto" w:fill="FFFFFF"/>
        </w:rPr>
      </w:pPr>
      <w:r w:rsidRPr="00426FAD">
        <w:rPr>
          <w:shd w:val="clear" w:color="auto" w:fill="FFFFFF"/>
        </w:rPr>
        <w:t>The Committee looks forward to receiving testimony from the Administration,</w:t>
      </w:r>
      <w:r w:rsidR="0074595F" w:rsidRPr="00426FAD">
        <w:rPr>
          <w:shd w:val="clear" w:color="auto" w:fill="FFFFFF"/>
        </w:rPr>
        <w:t xml:space="preserve"> </w:t>
      </w:r>
      <w:r w:rsidRPr="00426FAD">
        <w:rPr>
          <w:shd w:val="clear" w:color="auto" w:fill="FFFFFF"/>
        </w:rPr>
        <w:t>advocacy groups, and other interested members of the public on the</w:t>
      </w:r>
      <w:r w:rsidR="00045469" w:rsidRPr="00426FAD">
        <w:rPr>
          <w:shd w:val="clear" w:color="auto" w:fill="FFFFFF"/>
        </w:rPr>
        <w:t xml:space="preserve"> status of the </w:t>
      </w:r>
      <w:r w:rsidR="0050125E">
        <w:rPr>
          <w:shd w:val="clear" w:color="auto" w:fill="FFFFFF"/>
        </w:rPr>
        <w:t>311</w:t>
      </w:r>
      <w:r w:rsidR="00F359FF">
        <w:rPr>
          <w:shd w:val="clear" w:color="auto" w:fill="FFFFFF"/>
        </w:rPr>
        <w:t xml:space="preserve"> system</w:t>
      </w:r>
      <w:r w:rsidR="0050125E">
        <w:rPr>
          <w:shd w:val="clear" w:color="auto" w:fill="FFFFFF"/>
        </w:rPr>
        <w:t>.</w:t>
      </w:r>
    </w:p>
    <w:p w14:paraId="0D2EFA88" w14:textId="1CB66791" w:rsidR="00122C26" w:rsidRDefault="00122C26" w:rsidP="00122C26">
      <w:pPr>
        <w:spacing w:after="160" w:line="259" w:lineRule="auto"/>
        <w:rPr>
          <w:shd w:val="clear" w:color="auto" w:fill="FFFFFF"/>
        </w:rPr>
      </w:pPr>
      <w:r>
        <w:rPr>
          <w:shd w:val="clear" w:color="auto" w:fill="FFFFFF"/>
        </w:rPr>
        <w:br w:type="page"/>
      </w:r>
    </w:p>
    <w:p w14:paraId="1CAFD808" w14:textId="01F48303" w:rsidR="008C3722" w:rsidRDefault="008C3722" w:rsidP="00122C26">
      <w:pPr>
        <w:spacing w:after="160" w:line="259" w:lineRule="auto"/>
        <w:rPr>
          <w:shd w:val="clear" w:color="auto" w:fill="FFFFFF"/>
        </w:rPr>
      </w:pPr>
    </w:p>
    <w:p w14:paraId="1C52C8BB" w14:textId="2DC08303" w:rsidR="008C3722" w:rsidRDefault="008C3722" w:rsidP="00122C26">
      <w:pPr>
        <w:spacing w:after="160" w:line="259" w:lineRule="auto"/>
        <w:rPr>
          <w:shd w:val="clear" w:color="auto" w:fill="FFFFFF"/>
        </w:rPr>
      </w:pPr>
    </w:p>
    <w:p w14:paraId="4D6EE07B" w14:textId="3CE9E0FF" w:rsidR="008C3722" w:rsidRDefault="008C3722" w:rsidP="00122C26">
      <w:pPr>
        <w:spacing w:after="160" w:line="259" w:lineRule="auto"/>
        <w:rPr>
          <w:shd w:val="clear" w:color="auto" w:fill="FFFFFF"/>
        </w:rPr>
      </w:pPr>
    </w:p>
    <w:p w14:paraId="736965C2" w14:textId="15147CF0" w:rsidR="008C3722" w:rsidRDefault="008C3722" w:rsidP="00122C26">
      <w:pPr>
        <w:spacing w:after="160" w:line="259" w:lineRule="auto"/>
        <w:rPr>
          <w:shd w:val="clear" w:color="auto" w:fill="FFFFFF"/>
        </w:rPr>
      </w:pPr>
    </w:p>
    <w:p w14:paraId="4E09CBA5" w14:textId="50C9A835" w:rsidR="008C3722" w:rsidRDefault="008C3722" w:rsidP="00122C26">
      <w:pPr>
        <w:spacing w:after="160" w:line="259" w:lineRule="auto"/>
        <w:rPr>
          <w:shd w:val="clear" w:color="auto" w:fill="FFFFFF"/>
        </w:rPr>
      </w:pPr>
    </w:p>
    <w:p w14:paraId="1C651790" w14:textId="6F32B523" w:rsidR="008C3722" w:rsidRDefault="008C3722" w:rsidP="00122C26">
      <w:pPr>
        <w:spacing w:after="160" w:line="259" w:lineRule="auto"/>
        <w:rPr>
          <w:shd w:val="clear" w:color="auto" w:fill="FFFFFF"/>
        </w:rPr>
      </w:pPr>
    </w:p>
    <w:p w14:paraId="075BFF2C" w14:textId="7C50AC6E" w:rsidR="008C3722" w:rsidRDefault="008C3722" w:rsidP="00122C26">
      <w:pPr>
        <w:spacing w:after="160" w:line="259" w:lineRule="auto"/>
        <w:rPr>
          <w:shd w:val="clear" w:color="auto" w:fill="FFFFFF"/>
        </w:rPr>
      </w:pPr>
    </w:p>
    <w:p w14:paraId="3DF4019B" w14:textId="51A7E22F" w:rsidR="008C3722" w:rsidRDefault="008C3722" w:rsidP="00122C26">
      <w:pPr>
        <w:spacing w:after="160" w:line="259" w:lineRule="auto"/>
        <w:rPr>
          <w:shd w:val="clear" w:color="auto" w:fill="FFFFFF"/>
        </w:rPr>
      </w:pPr>
    </w:p>
    <w:p w14:paraId="309D0595" w14:textId="2F4A8C14" w:rsidR="008C3722" w:rsidRDefault="008C3722" w:rsidP="00122C26">
      <w:pPr>
        <w:spacing w:after="160" w:line="259" w:lineRule="auto"/>
        <w:rPr>
          <w:shd w:val="clear" w:color="auto" w:fill="FFFFFF"/>
        </w:rPr>
      </w:pPr>
    </w:p>
    <w:p w14:paraId="59EC9B41" w14:textId="55DE7CD7" w:rsidR="008C3722" w:rsidRDefault="008C3722" w:rsidP="00122C26">
      <w:pPr>
        <w:spacing w:after="160" w:line="259" w:lineRule="auto"/>
        <w:rPr>
          <w:shd w:val="clear" w:color="auto" w:fill="FFFFFF"/>
        </w:rPr>
      </w:pPr>
    </w:p>
    <w:p w14:paraId="536819F9" w14:textId="55937AF9" w:rsidR="008C3722" w:rsidRDefault="008C3722" w:rsidP="00122C26">
      <w:pPr>
        <w:spacing w:after="160" w:line="259" w:lineRule="auto"/>
        <w:rPr>
          <w:shd w:val="clear" w:color="auto" w:fill="FFFFFF"/>
        </w:rPr>
      </w:pPr>
    </w:p>
    <w:p w14:paraId="15E194F3" w14:textId="262E1CA4" w:rsidR="008C3722" w:rsidRDefault="008C3722" w:rsidP="00122C26">
      <w:pPr>
        <w:spacing w:after="160" w:line="259" w:lineRule="auto"/>
        <w:rPr>
          <w:shd w:val="clear" w:color="auto" w:fill="FFFFFF"/>
        </w:rPr>
      </w:pPr>
    </w:p>
    <w:p w14:paraId="520D8DE1" w14:textId="0805DAA0" w:rsidR="008C3722" w:rsidRDefault="008C3722" w:rsidP="00122C26">
      <w:pPr>
        <w:spacing w:after="160" w:line="259" w:lineRule="auto"/>
        <w:rPr>
          <w:shd w:val="clear" w:color="auto" w:fill="FFFFFF"/>
        </w:rPr>
      </w:pPr>
    </w:p>
    <w:p w14:paraId="63A0EE96" w14:textId="0894503D" w:rsidR="008C3722" w:rsidRDefault="008C3722" w:rsidP="00122C26">
      <w:pPr>
        <w:spacing w:after="160" w:line="259" w:lineRule="auto"/>
        <w:rPr>
          <w:shd w:val="clear" w:color="auto" w:fill="FFFFFF"/>
        </w:rPr>
      </w:pPr>
    </w:p>
    <w:p w14:paraId="3CD6F174" w14:textId="18B51E8E" w:rsidR="008C3722" w:rsidRDefault="008C3722" w:rsidP="008C3722">
      <w:pPr>
        <w:spacing w:after="160" w:line="259" w:lineRule="auto"/>
        <w:jc w:val="center"/>
        <w:rPr>
          <w:shd w:val="clear" w:color="auto" w:fill="FFFFFF"/>
        </w:rPr>
      </w:pPr>
      <w:r>
        <w:rPr>
          <w:shd w:val="clear" w:color="auto" w:fill="FFFFFF"/>
        </w:rPr>
        <w:t>THIS PAGE INTENTIONALLY LEFT BLANK</w:t>
      </w:r>
    </w:p>
    <w:p w14:paraId="7761DC6A" w14:textId="77777777" w:rsidR="008C3722" w:rsidRDefault="008C3722">
      <w:pPr>
        <w:spacing w:after="160" w:line="259" w:lineRule="auto"/>
        <w:rPr>
          <w:shd w:val="clear" w:color="auto" w:fill="FFFFFF"/>
        </w:rPr>
      </w:pPr>
      <w:r>
        <w:rPr>
          <w:shd w:val="clear" w:color="auto" w:fill="FFFFFF"/>
        </w:rPr>
        <w:br w:type="page"/>
      </w:r>
    </w:p>
    <w:p w14:paraId="0366949B" w14:textId="77777777" w:rsidR="00D80ADA" w:rsidRDefault="00D80ADA" w:rsidP="00D80ADA">
      <w:pPr>
        <w:suppressLineNumbers/>
        <w:autoSpaceDE w:val="0"/>
        <w:autoSpaceDN w:val="0"/>
        <w:adjustRightInd w:val="0"/>
        <w:jc w:val="center"/>
        <w:rPr>
          <w:color w:val="000000"/>
          <w:sz w:val="27"/>
          <w:szCs w:val="27"/>
          <w:highlight w:val="white"/>
          <w:lang w:val="en"/>
        </w:rPr>
      </w:pPr>
      <w:r>
        <w:rPr>
          <w:color w:val="000000"/>
          <w:highlight w:val="white"/>
          <w:lang w:val="en"/>
        </w:rPr>
        <w:t>Int. No. 55</w:t>
      </w:r>
    </w:p>
    <w:p w14:paraId="115FC14C" w14:textId="77777777" w:rsidR="00D80ADA" w:rsidRDefault="00D80ADA" w:rsidP="00D80ADA">
      <w:pPr>
        <w:suppressLineNumbers/>
        <w:autoSpaceDE w:val="0"/>
        <w:autoSpaceDN w:val="0"/>
        <w:adjustRightInd w:val="0"/>
        <w:jc w:val="both"/>
        <w:rPr>
          <w:color w:val="000000"/>
          <w:highlight w:val="white"/>
          <w:lang w:val="en"/>
        </w:rPr>
      </w:pPr>
    </w:p>
    <w:p w14:paraId="218742EC" w14:textId="77777777" w:rsidR="00D80ADA" w:rsidRDefault="00D80ADA" w:rsidP="00D80ADA">
      <w:pPr>
        <w:suppressLineNumbers/>
        <w:autoSpaceDE w:val="0"/>
        <w:autoSpaceDN w:val="0"/>
        <w:adjustRightInd w:val="0"/>
        <w:jc w:val="both"/>
        <w:rPr>
          <w:color w:val="000000"/>
          <w:highlight w:val="white"/>
          <w:lang w:val="en"/>
        </w:rPr>
      </w:pPr>
      <w:r>
        <w:rPr>
          <w:color w:val="000000"/>
          <w:highlight w:val="white"/>
          <w:lang w:val="en"/>
        </w:rPr>
        <w:t xml:space="preserve">By Council </w:t>
      </w:r>
      <w:r>
        <w:rPr>
          <w:color w:val="000000"/>
          <w:highlight w:val="white"/>
        </w:rPr>
        <w:t xml:space="preserve">Members Menin, Hanif, Cabán, </w:t>
      </w:r>
      <w:r>
        <w:rPr>
          <w:color w:val="000000"/>
        </w:rPr>
        <w:t xml:space="preserve">Gutiérrez, Holden, Dinowitz, Farías, Marte, Yeger, Ung, Schulman, Narcisse, Sanchez, Lee, Krishnan, Avilés, Won, Ossé, Louis, Ayala, Gennaro, Bottcher and </w:t>
      </w:r>
      <w:r>
        <w:rPr>
          <w:color w:val="000000"/>
          <w:highlight w:val="white"/>
        </w:rPr>
        <w:t>Carr</w:t>
      </w:r>
    </w:p>
    <w:p w14:paraId="5D1F280E" w14:textId="77777777" w:rsidR="00D80ADA" w:rsidRDefault="00D80ADA" w:rsidP="00D80ADA">
      <w:pPr>
        <w:suppressLineNumbers/>
        <w:autoSpaceDE w:val="0"/>
        <w:autoSpaceDN w:val="0"/>
        <w:adjustRightInd w:val="0"/>
        <w:jc w:val="both"/>
        <w:rPr>
          <w:color w:val="000000"/>
          <w:lang w:val="en"/>
        </w:rPr>
      </w:pPr>
    </w:p>
    <w:p w14:paraId="0F509680" w14:textId="77777777" w:rsidR="00D80ADA" w:rsidRPr="00D07FA9" w:rsidRDefault="00D80ADA" w:rsidP="00D80ADA">
      <w:pPr>
        <w:suppressLineNumbers/>
        <w:autoSpaceDE w:val="0"/>
        <w:autoSpaceDN w:val="0"/>
        <w:adjustRightInd w:val="0"/>
        <w:jc w:val="both"/>
        <w:rPr>
          <w:vanish/>
          <w:color w:val="000000"/>
          <w:lang w:val="en"/>
        </w:rPr>
      </w:pPr>
      <w:r w:rsidRPr="00D07FA9">
        <w:rPr>
          <w:vanish/>
          <w:color w:val="000000"/>
          <w:lang w:val="en"/>
        </w:rPr>
        <w:t>..Title</w:t>
      </w:r>
    </w:p>
    <w:p w14:paraId="21AA782E" w14:textId="77777777" w:rsidR="00D80ADA" w:rsidRDefault="00D80ADA" w:rsidP="00D80ADA">
      <w:pPr>
        <w:suppressLineNumbers/>
        <w:autoSpaceDE w:val="0"/>
        <w:autoSpaceDN w:val="0"/>
        <w:adjustRightInd w:val="0"/>
        <w:jc w:val="both"/>
      </w:pPr>
      <w:r>
        <w:rPr>
          <w:color w:val="000000"/>
          <w:lang w:val="en"/>
        </w:rPr>
        <w:t>A Local Law to amend</w:t>
      </w:r>
      <w:r w:rsidRPr="00F355AB">
        <w:rPr>
          <w:color w:val="000000"/>
          <w:lang w:val="en"/>
        </w:rPr>
        <w:t xml:space="preserve"> </w:t>
      </w:r>
      <w:r w:rsidRPr="0055752E">
        <w:rPr>
          <w:rFonts w:eastAsia="Times New Roman"/>
          <w:color w:val="000000"/>
        </w:rPr>
        <w:t>the administrative code of the c</w:t>
      </w:r>
      <w:r>
        <w:rPr>
          <w:rFonts w:eastAsia="Times New Roman"/>
          <w:color w:val="000000"/>
        </w:rPr>
        <w:t xml:space="preserve">ity of New York, </w:t>
      </w:r>
      <w:r w:rsidRPr="00C810F2">
        <w:t xml:space="preserve">in relation </w:t>
      </w:r>
      <w:r>
        <w:t>to the creation of</w:t>
      </w:r>
      <w:r w:rsidRPr="00C810F2">
        <w:t xml:space="preserve"> </w:t>
      </w:r>
      <w:r>
        <w:t xml:space="preserve">a </w:t>
      </w:r>
      <w:r w:rsidRPr="00C810F2">
        <w:t xml:space="preserve">separate 311 category for </w:t>
      </w:r>
      <w:r>
        <w:t>COVID-19 testing site complaints</w:t>
      </w:r>
    </w:p>
    <w:p w14:paraId="23D141B9" w14:textId="77777777" w:rsidR="00D80ADA" w:rsidRPr="00D07FA9" w:rsidRDefault="00D80ADA" w:rsidP="00D80ADA">
      <w:pPr>
        <w:suppressLineNumbers/>
        <w:autoSpaceDE w:val="0"/>
        <w:autoSpaceDN w:val="0"/>
        <w:adjustRightInd w:val="0"/>
        <w:jc w:val="both"/>
        <w:rPr>
          <w:rFonts w:eastAsia="Times New Roman"/>
          <w:b/>
          <w:vanish/>
          <w:color w:val="000000"/>
        </w:rPr>
      </w:pPr>
      <w:r w:rsidRPr="00D07FA9">
        <w:rPr>
          <w:vanish/>
        </w:rPr>
        <w:t>..Body</w:t>
      </w:r>
    </w:p>
    <w:p w14:paraId="2DD314D9" w14:textId="77777777" w:rsidR="00D80ADA" w:rsidRDefault="00D80ADA" w:rsidP="00D80ADA">
      <w:pPr>
        <w:suppressLineNumbers/>
        <w:autoSpaceDE w:val="0"/>
        <w:autoSpaceDN w:val="0"/>
        <w:adjustRightInd w:val="0"/>
        <w:jc w:val="both"/>
        <w:rPr>
          <w:color w:val="000000"/>
          <w:highlight w:val="white"/>
          <w:lang w:val="en"/>
        </w:rPr>
      </w:pPr>
      <w:r>
        <w:rPr>
          <w:color w:val="000000"/>
          <w:highlight w:val="white"/>
          <w:lang w:val="en"/>
        </w:rPr>
        <w:t> </w:t>
      </w:r>
    </w:p>
    <w:p w14:paraId="15D39CFB" w14:textId="77777777" w:rsidR="00D80ADA" w:rsidRDefault="00D80ADA" w:rsidP="00D80ADA">
      <w:pPr>
        <w:suppressLineNumbers/>
        <w:autoSpaceDE w:val="0"/>
        <w:autoSpaceDN w:val="0"/>
        <w:adjustRightInd w:val="0"/>
        <w:spacing w:line="480" w:lineRule="auto"/>
        <w:jc w:val="both"/>
        <w:rPr>
          <w:color w:val="000000"/>
          <w:highlight w:val="white"/>
          <w:lang w:val="en"/>
        </w:rPr>
      </w:pPr>
      <w:r>
        <w:rPr>
          <w:color w:val="000000"/>
          <w:highlight w:val="white"/>
          <w:u w:val="single"/>
          <w:lang w:val="en"/>
        </w:rPr>
        <w:t>Be it enacted by the Council as follows:</w:t>
      </w:r>
    </w:p>
    <w:p w14:paraId="7239FBFB" w14:textId="77777777" w:rsidR="00D80ADA" w:rsidRDefault="00D80ADA" w:rsidP="00D80ADA">
      <w:pPr>
        <w:pStyle w:val="NormalWeb"/>
        <w:shd w:val="clear" w:color="auto" w:fill="FFFFFF"/>
        <w:spacing w:before="0" w:beforeAutospacing="0" w:after="0" w:afterAutospacing="0" w:line="480" w:lineRule="auto"/>
        <w:ind w:firstLine="720"/>
        <w:jc w:val="both"/>
        <w:rPr>
          <w:color w:val="000000"/>
          <w:sz w:val="27"/>
          <w:szCs w:val="27"/>
        </w:rPr>
      </w:pPr>
      <w:r>
        <w:t>Section 1.</w:t>
      </w:r>
      <w:r>
        <w:rPr>
          <w:color w:val="000000"/>
        </w:rPr>
        <w:t xml:space="preserve"> Chapter 3 of title 23 of the administrative code of the city of New York is amended by adding a new section 23-308 to read as follows:</w:t>
      </w:r>
    </w:p>
    <w:p w14:paraId="3584D23B" w14:textId="77777777" w:rsidR="00D80ADA" w:rsidRDefault="00D80ADA" w:rsidP="00D80ADA">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 23-308 COVID-19 testing site complaints. a. Definitions. For the purposes of this section, the following terms have the following meanings:</w:t>
      </w:r>
    </w:p>
    <w:p w14:paraId="4381F9A0" w14:textId="77777777" w:rsidR="00D80ADA" w:rsidRDefault="00D80ADA" w:rsidP="00D80ADA">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COVID-19. The term “</w:t>
      </w:r>
      <w:r w:rsidRPr="00815FD0">
        <w:rPr>
          <w:color w:val="000000"/>
          <w:u w:val="single"/>
        </w:rPr>
        <w:t>COVID-19” means the disease caused by the severe acute respiratory syndrome coronavirus 2 (SARS-CoV-2)</w:t>
      </w:r>
      <w:r>
        <w:rPr>
          <w:color w:val="000000"/>
          <w:u w:val="single"/>
        </w:rPr>
        <w:t>.</w:t>
      </w:r>
    </w:p>
    <w:p w14:paraId="6C5240F2" w14:textId="77777777" w:rsidR="00D80ADA" w:rsidRDefault="00D80ADA" w:rsidP="00D80ADA">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Department. The term “department” means the department of information technology and telecommunications.</w:t>
      </w:r>
    </w:p>
    <w:p w14:paraId="2A926B3E" w14:textId="77777777" w:rsidR="00D80ADA" w:rsidRDefault="00D80ADA" w:rsidP="00D80ADA">
      <w:pPr>
        <w:pStyle w:val="NormalWeb"/>
        <w:shd w:val="clear" w:color="auto" w:fill="FFFFFF"/>
        <w:spacing w:before="0" w:beforeAutospacing="0" w:after="0" w:afterAutospacing="0" w:line="480" w:lineRule="auto"/>
        <w:ind w:firstLine="720"/>
        <w:jc w:val="both"/>
        <w:rPr>
          <w:color w:val="212529"/>
          <w:u w:val="single"/>
        </w:rPr>
      </w:pPr>
      <w:r>
        <w:rPr>
          <w:color w:val="000000"/>
          <w:u w:val="single"/>
        </w:rPr>
        <w:t>b. The department shall </w:t>
      </w:r>
      <w:r>
        <w:rPr>
          <w:color w:val="212529"/>
          <w:u w:val="single"/>
        </w:rPr>
        <w:t xml:space="preserve">implement and maintain on its 311 citizen center website and mobile device platforms the capability for the public to file a complaint under the category of “COVID-19 testing site complaint.” Such website and platform shall accept any complaint related to sites that perform COVID-19 diagnostic testing, including inaccurate representation of the </w:t>
      </w:r>
      <w:r w:rsidRPr="00DA1D24">
        <w:rPr>
          <w:color w:val="212529"/>
          <w:u w:val="single"/>
        </w:rPr>
        <w:t>wait time for COVID-19 diagnostic test results</w:t>
      </w:r>
      <w:r>
        <w:rPr>
          <w:color w:val="212529"/>
          <w:u w:val="single"/>
        </w:rPr>
        <w:t>, and refer each such complaint</w:t>
      </w:r>
      <w:r w:rsidRPr="00576F8A">
        <w:rPr>
          <w:color w:val="212529"/>
          <w:u w:val="single"/>
        </w:rPr>
        <w:t xml:space="preserve"> to the appropriate agency to take action as necessary to address the complaint.</w:t>
      </w:r>
    </w:p>
    <w:p w14:paraId="4E28EF95" w14:textId="77777777" w:rsidR="00D80ADA" w:rsidRDefault="00D80ADA" w:rsidP="00D80ADA">
      <w:pPr>
        <w:pStyle w:val="NormalWeb"/>
        <w:shd w:val="clear" w:color="auto" w:fill="FFFFFF"/>
        <w:spacing w:before="0" w:beforeAutospacing="0" w:after="0" w:afterAutospacing="0" w:line="480" w:lineRule="auto"/>
        <w:ind w:firstLine="720"/>
        <w:jc w:val="both"/>
        <w:rPr>
          <w:color w:val="212529"/>
          <w:u w:val="single"/>
        </w:rPr>
      </w:pPr>
      <w:r>
        <w:rPr>
          <w:color w:val="212529"/>
          <w:u w:val="single"/>
        </w:rPr>
        <w:t>c. The department shall maintain and update daily a public website that reports, for each COVID-19 testing site, identified by the operator and location of the testing site:</w:t>
      </w:r>
    </w:p>
    <w:p w14:paraId="137BFA9A" w14:textId="77777777" w:rsidR="00D80ADA" w:rsidRDefault="00D80ADA" w:rsidP="00D80ADA">
      <w:pPr>
        <w:pStyle w:val="NormalWeb"/>
        <w:shd w:val="clear" w:color="auto" w:fill="FFFFFF"/>
        <w:spacing w:before="0" w:beforeAutospacing="0" w:after="0" w:afterAutospacing="0" w:line="480" w:lineRule="auto"/>
        <w:ind w:firstLine="720"/>
        <w:jc w:val="both"/>
        <w:rPr>
          <w:color w:val="212529"/>
          <w:u w:val="single"/>
        </w:rPr>
      </w:pPr>
      <w:r>
        <w:rPr>
          <w:color w:val="212529"/>
          <w:u w:val="single"/>
        </w:rPr>
        <w:t>1. The number of complaints received;</w:t>
      </w:r>
    </w:p>
    <w:p w14:paraId="1649A6C3" w14:textId="77777777" w:rsidR="00D80ADA" w:rsidRDefault="00D80ADA" w:rsidP="00D80ADA">
      <w:pPr>
        <w:pStyle w:val="NormalWeb"/>
        <w:shd w:val="clear" w:color="auto" w:fill="FFFFFF"/>
        <w:spacing w:before="0" w:beforeAutospacing="0" w:after="0" w:afterAutospacing="0" w:line="480" w:lineRule="auto"/>
        <w:ind w:firstLine="720"/>
        <w:jc w:val="both"/>
        <w:rPr>
          <w:color w:val="212529"/>
          <w:u w:val="single"/>
        </w:rPr>
      </w:pPr>
      <w:r>
        <w:rPr>
          <w:color w:val="212529"/>
          <w:u w:val="single"/>
        </w:rPr>
        <w:t>2. The nature of each complaint received;</w:t>
      </w:r>
    </w:p>
    <w:p w14:paraId="228F3EE3" w14:textId="77777777" w:rsidR="00D80ADA" w:rsidRDefault="00D80ADA" w:rsidP="00D80ADA">
      <w:pPr>
        <w:pStyle w:val="NormalWeb"/>
        <w:shd w:val="clear" w:color="auto" w:fill="FFFFFF"/>
        <w:spacing w:before="0" w:beforeAutospacing="0" w:after="0" w:afterAutospacing="0" w:line="480" w:lineRule="auto"/>
        <w:ind w:firstLine="720"/>
        <w:jc w:val="both"/>
        <w:rPr>
          <w:color w:val="212529"/>
          <w:u w:val="single"/>
        </w:rPr>
      </w:pPr>
      <w:r>
        <w:rPr>
          <w:color w:val="212529"/>
          <w:u w:val="single"/>
        </w:rPr>
        <w:t xml:space="preserve">3. The agency to which each complaint was referred; and </w:t>
      </w:r>
    </w:p>
    <w:p w14:paraId="6C6C5F35" w14:textId="77777777" w:rsidR="00D80ADA" w:rsidRDefault="00D80ADA" w:rsidP="00D80ADA">
      <w:pPr>
        <w:pStyle w:val="NormalWeb"/>
        <w:shd w:val="clear" w:color="auto" w:fill="FFFFFF"/>
        <w:spacing w:before="0" w:beforeAutospacing="0" w:after="0" w:afterAutospacing="0" w:line="480" w:lineRule="auto"/>
        <w:ind w:firstLine="720"/>
        <w:jc w:val="both"/>
        <w:rPr>
          <w:color w:val="212529"/>
          <w:u w:val="single"/>
        </w:rPr>
      </w:pPr>
      <w:r>
        <w:rPr>
          <w:color w:val="212529"/>
          <w:u w:val="single"/>
        </w:rPr>
        <w:t xml:space="preserve">4. The disposition of each complaint. </w:t>
      </w:r>
    </w:p>
    <w:p w14:paraId="148D5ECE" w14:textId="77777777" w:rsidR="00D80ADA" w:rsidRDefault="00D80ADA" w:rsidP="00D80ADA">
      <w:pPr>
        <w:pStyle w:val="NormalWeb"/>
        <w:shd w:val="clear" w:color="auto" w:fill="FFFFFF"/>
        <w:spacing w:before="0" w:beforeAutospacing="0" w:after="0" w:afterAutospacing="0" w:line="480" w:lineRule="auto"/>
        <w:ind w:firstLine="720"/>
        <w:jc w:val="both"/>
        <w:rPr>
          <w:color w:val="000000"/>
          <w:sz w:val="27"/>
          <w:szCs w:val="27"/>
        </w:rPr>
      </w:pPr>
      <w:r>
        <w:rPr>
          <w:color w:val="212529"/>
          <w:u w:val="single"/>
        </w:rPr>
        <w:t>d. The agency to which the complaint was referred shall investigate each complaint referred to it within 48 hours of the receipt of such complaint.</w:t>
      </w:r>
    </w:p>
    <w:p w14:paraId="0E7AC3B4" w14:textId="77777777" w:rsidR="00D80ADA" w:rsidRPr="00EC0E44" w:rsidRDefault="00D80ADA" w:rsidP="00D80ADA">
      <w:pPr>
        <w:shd w:val="clear" w:color="auto" w:fill="FFFFFF"/>
        <w:spacing w:line="480" w:lineRule="auto"/>
        <w:ind w:firstLine="720"/>
        <w:jc w:val="both"/>
        <w:rPr>
          <w:rFonts w:eastAsia="Times New Roman"/>
        </w:rPr>
      </w:pPr>
      <w:r w:rsidRPr="00CA59D9">
        <w:rPr>
          <w:rFonts w:eastAsia="Times New Roman"/>
        </w:rPr>
        <w:t xml:space="preserve">§ </w:t>
      </w:r>
      <w:r>
        <w:rPr>
          <w:rFonts w:eastAsia="Times New Roman"/>
        </w:rPr>
        <w:t>2. This local law takes effect 3</w:t>
      </w:r>
      <w:r w:rsidRPr="00CA59D9">
        <w:rPr>
          <w:rFonts w:eastAsia="Times New Roman"/>
        </w:rPr>
        <w:t>0 days after it becomes law.</w:t>
      </w:r>
    </w:p>
    <w:p w14:paraId="61721FAF" w14:textId="42CB3635" w:rsidR="00D80ADA" w:rsidRPr="00122C26" w:rsidRDefault="00D80ADA" w:rsidP="00D80ADA">
      <w:pPr>
        <w:suppressLineNumbers/>
        <w:autoSpaceDE w:val="0"/>
        <w:autoSpaceDN w:val="0"/>
        <w:adjustRightInd w:val="0"/>
        <w:rPr>
          <w:color w:val="000000"/>
          <w:sz w:val="27"/>
          <w:szCs w:val="27"/>
          <w:highlight w:val="white"/>
          <w:lang w:val="en"/>
        </w:rPr>
      </w:pPr>
      <w:r>
        <w:rPr>
          <w:color w:val="000000"/>
          <w:highlight w:val="white"/>
          <w:lang w:val="en"/>
        </w:rPr>
        <w:t> </w:t>
      </w:r>
    </w:p>
    <w:p w14:paraId="72366818" w14:textId="77777777" w:rsidR="00D80ADA" w:rsidRDefault="00D80ADA" w:rsidP="00D80ADA">
      <w:pPr>
        <w:suppressLineNumbers/>
        <w:autoSpaceDE w:val="0"/>
        <w:autoSpaceDN w:val="0"/>
        <w:adjustRightInd w:val="0"/>
        <w:rPr>
          <w:color w:val="000000"/>
          <w:sz w:val="20"/>
          <w:szCs w:val="20"/>
          <w:highlight w:val="white"/>
          <w:lang w:val="en"/>
        </w:rPr>
      </w:pPr>
      <w:r>
        <w:rPr>
          <w:color w:val="000000"/>
          <w:sz w:val="20"/>
          <w:szCs w:val="20"/>
          <w:highlight w:val="white"/>
          <w:lang w:val="en"/>
        </w:rPr>
        <w:t>NAB</w:t>
      </w:r>
    </w:p>
    <w:p w14:paraId="2C4453A9" w14:textId="77777777" w:rsidR="00D80ADA" w:rsidRDefault="00D80ADA" w:rsidP="00D80ADA">
      <w:pPr>
        <w:suppressLineNumbers/>
        <w:autoSpaceDE w:val="0"/>
        <w:autoSpaceDN w:val="0"/>
        <w:adjustRightInd w:val="0"/>
        <w:rPr>
          <w:color w:val="000000"/>
          <w:sz w:val="20"/>
          <w:szCs w:val="20"/>
          <w:highlight w:val="white"/>
          <w:lang w:val="en"/>
        </w:rPr>
      </w:pPr>
      <w:r>
        <w:rPr>
          <w:color w:val="000000"/>
          <w:sz w:val="20"/>
          <w:szCs w:val="20"/>
          <w:highlight w:val="white"/>
          <w:lang w:val="en"/>
        </w:rPr>
        <w:t>LS #7209/7239/7294</w:t>
      </w:r>
    </w:p>
    <w:p w14:paraId="544A4672" w14:textId="77777777" w:rsidR="00D80ADA" w:rsidRPr="00290F28" w:rsidRDefault="00D80ADA" w:rsidP="00D80ADA">
      <w:pPr>
        <w:suppressLineNumbers/>
        <w:autoSpaceDE w:val="0"/>
        <w:autoSpaceDN w:val="0"/>
        <w:adjustRightInd w:val="0"/>
        <w:rPr>
          <w:color w:val="000000"/>
          <w:sz w:val="20"/>
          <w:szCs w:val="20"/>
          <w:highlight w:val="white"/>
          <w:lang w:val="en"/>
        </w:rPr>
      </w:pPr>
      <w:r>
        <w:rPr>
          <w:color w:val="000000"/>
          <w:sz w:val="20"/>
          <w:szCs w:val="20"/>
          <w:highlight w:val="white"/>
          <w:lang w:val="en"/>
        </w:rPr>
        <w:t>2/16/2022 4:21 PM</w:t>
      </w:r>
    </w:p>
    <w:p w14:paraId="407D6B44" w14:textId="77777777" w:rsidR="00D80ADA" w:rsidRPr="00290F28" w:rsidRDefault="00D80ADA" w:rsidP="00D80ADA">
      <w:pPr>
        <w:suppressLineNumbers/>
        <w:autoSpaceDE w:val="0"/>
        <w:autoSpaceDN w:val="0"/>
        <w:adjustRightInd w:val="0"/>
        <w:rPr>
          <w:color w:val="000000"/>
          <w:sz w:val="20"/>
          <w:szCs w:val="20"/>
          <w:lang w:val="en"/>
        </w:rPr>
      </w:pPr>
    </w:p>
    <w:p w14:paraId="396039B0" w14:textId="15C21919" w:rsidR="00D80ADA" w:rsidRDefault="00D80ADA">
      <w:pPr>
        <w:spacing w:after="160" w:line="259" w:lineRule="auto"/>
        <w:rPr>
          <w:shd w:val="clear" w:color="auto" w:fill="FFFFFF"/>
        </w:rPr>
      </w:pPr>
      <w:r>
        <w:rPr>
          <w:shd w:val="clear" w:color="auto" w:fill="FFFFFF"/>
        </w:rPr>
        <w:br w:type="page"/>
      </w:r>
    </w:p>
    <w:p w14:paraId="5165ECEB" w14:textId="77777777" w:rsidR="00D80ADA" w:rsidRDefault="00D80ADA" w:rsidP="00D80ADA">
      <w:pPr>
        <w:jc w:val="center"/>
      </w:pPr>
      <w:r>
        <w:t>Int. No. 167</w:t>
      </w:r>
    </w:p>
    <w:p w14:paraId="4E3EC544" w14:textId="77777777" w:rsidR="00D80ADA" w:rsidRDefault="00D80ADA" w:rsidP="00D80ADA">
      <w:pPr>
        <w:jc w:val="center"/>
      </w:pPr>
    </w:p>
    <w:p w14:paraId="5922AFFF" w14:textId="77777777" w:rsidR="00D80ADA" w:rsidRDefault="00D80ADA" w:rsidP="00D80ADA">
      <w:pPr>
        <w:autoSpaceDE w:val="0"/>
        <w:autoSpaceDN w:val="0"/>
        <w:adjustRightInd w:val="0"/>
        <w:jc w:val="both"/>
        <w:rPr>
          <w:rFonts w:eastAsia="Calibri"/>
        </w:rPr>
      </w:pPr>
      <w:r>
        <w:rPr>
          <w:rFonts w:eastAsia="Calibri"/>
        </w:rPr>
        <w:t>By Council Members Holden, Won and Yeger</w:t>
      </w:r>
    </w:p>
    <w:p w14:paraId="22C6B1DD" w14:textId="77777777" w:rsidR="00D80ADA" w:rsidRDefault="00D80ADA" w:rsidP="00D80ADA">
      <w:pPr>
        <w:pStyle w:val="BodyText"/>
        <w:spacing w:line="240" w:lineRule="auto"/>
      </w:pPr>
    </w:p>
    <w:p w14:paraId="3BA2382A" w14:textId="77777777" w:rsidR="00D80ADA" w:rsidRPr="003D2AA8" w:rsidRDefault="00D80ADA" w:rsidP="00D80ADA">
      <w:pPr>
        <w:pStyle w:val="BodyText"/>
        <w:spacing w:line="240" w:lineRule="auto"/>
        <w:jc w:val="left"/>
        <w:rPr>
          <w:caps/>
          <w:vanish/>
        </w:rPr>
      </w:pPr>
      <w:r w:rsidRPr="003D2AA8">
        <w:rPr>
          <w:caps/>
          <w:vanish/>
        </w:rPr>
        <w:t>..T</w:t>
      </w:r>
      <w:r w:rsidRPr="003D2AA8">
        <w:rPr>
          <w:vanish/>
        </w:rPr>
        <w:t>itle</w:t>
      </w:r>
    </w:p>
    <w:p w14:paraId="595164AB" w14:textId="77777777" w:rsidR="00D80ADA" w:rsidRDefault="00D80ADA" w:rsidP="00D80ADA">
      <w:pPr>
        <w:pStyle w:val="BodyText"/>
        <w:spacing w:line="240" w:lineRule="auto"/>
        <w:rPr>
          <w:color w:val="000000"/>
          <w:shd w:val="clear" w:color="auto" w:fill="FFFFFF"/>
        </w:rPr>
      </w:pPr>
      <w:r>
        <w:t xml:space="preserve">A Local Law to amend the administrative code of the city of New York, in relation </w:t>
      </w:r>
      <w:r>
        <w:rPr>
          <w:color w:val="000000"/>
          <w:shd w:val="clear" w:color="auto" w:fill="FFFFFF"/>
        </w:rPr>
        <w:t>to the number of steps to submit service requests or complaints on the 311 website and mobile application</w:t>
      </w:r>
    </w:p>
    <w:p w14:paraId="228FE3EB" w14:textId="77777777" w:rsidR="00D80ADA" w:rsidRPr="00DD3020" w:rsidRDefault="00D80ADA" w:rsidP="00D80ADA">
      <w:pPr>
        <w:pStyle w:val="BodyText"/>
        <w:spacing w:line="240" w:lineRule="auto"/>
        <w:rPr>
          <w:vanish/>
        </w:rPr>
      </w:pPr>
      <w:r w:rsidRPr="00DD3020">
        <w:rPr>
          <w:vanish/>
          <w:color w:val="000000"/>
          <w:shd w:val="clear" w:color="auto" w:fill="FFFFFF"/>
        </w:rPr>
        <w:t>..Body</w:t>
      </w:r>
    </w:p>
    <w:p w14:paraId="05276227" w14:textId="77777777" w:rsidR="00D80ADA" w:rsidRDefault="00D80ADA" w:rsidP="00D80ADA">
      <w:pPr>
        <w:pStyle w:val="BodyText"/>
        <w:spacing w:line="240" w:lineRule="auto"/>
        <w:rPr>
          <w:u w:val="single"/>
        </w:rPr>
      </w:pPr>
    </w:p>
    <w:p w14:paraId="52ED12FC" w14:textId="4DFB968D" w:rsidR="00122C26" w:rsidRDefault="00D80ADA" w:rsidP="00122C26">
      <w:pPr>
        <w:jc w:val="both"/>
      </w:pPr>
      <w:r>
        <w:rPr>
          <w:u w:val="single"/>
        </w:rPr>
        <w:t>Be it enacted by the Council as follows</w:t>
      </w:r>
      <w:r w:rsidRPr="005B5DE4">
        <w:rPr>
          <w:u w:val="single"/>
        </w:rPr>
        <w:t>:</w:t>
      </w:r>
      <w:r w:rsidR="00122C26">
        <w:t xml:space="preserve"> </w:t>
      </w:r>
    </w:p>
    <w:p w14:paraId="647AC6B6" w14:textId="77777777" w:rsidR="00122C26" w:rsidRDefault="00122C26" w:rsidP="00D80ADA">
      <w:pPr>
        <w:pStyle w:val="NormalWeb"/>
        <w:shd w:val="clear" w:color="auto" w:fill="FFFFFF"/>
        <w:spacing w:before="0" w:beforeAutospacing="0" w:after="0" w:afterAutospacing="0" w:line="480" w:lineRule="auto"/>
        <w:ind w:firstLine="720"/>
        <w:jc w:val="both"/>
      </w:pPr>
    </w:p>
    <w:p w14:paraId="47FCDD55" w14:textId="6D620586" w:rsidR="00D80ADA" w:rsidRDefault="00122C26" w:rsidP="00D80ADA">
      <w:pPr>
        <w:pStyle w:val="NormalWeb"/>
        <w:shd w:val="clear" w:color="auto" w:fill="FFFFFF"/>
        <w:spacing w:before="0" w:beforeAutospacing="0" w:after="0" w:afterAutospacing="0" w:line="480" w:lineRule="auto"/>
        <w:ind w:firstLine="720"/>
        <w:jc w:val="both"/>
        <w:rPr>
          <w:color w:val="000000"/>
          <w:sz w:val="27"/>
          <w:szCs w:val="27"/>
        </w:rPr>
      </w:pPr>
      <w:r>
        <w:t>S</w:t>
      </w:r>
      <w:r w:rsidR="00D80ADA">
        <w:t xml:space="preserve">ection 1. </w:t>
      </w:r>
      <w:r w:rsidR="00D80ADA">
        <w:rPr>
          <w:color w:val="000000"/>
        </w:rPr>
        <w:t>Chapter 3 of title 23 of the administrative code of the city of New York is amended by adding a new section 23-308 to read as follows:</w:t>
      </w:r>
    </w:p>
    <w:p w14:paraId="4AC3F286" w14:textId="77777777" w:rsidR="00D80ADA" w:rsidRDefault="00D80ADA" w:rsidP="00D80ADA">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xml:space="preserve">§ 23-308 Service requests or complaints. </w:t>
      </w:r>
      <w:r>
        <w:rPr>
          <w:color w:val="0E101A"/>
          <w:u w:val="single"/>
        </w:rPr>
        <w:t>Any website or mobile device application used by the 311 customer service center for the intake of service requests or complaints from the public shall allow the direct submission of such request or complaint by a member of the public with no more than four steps to input such request or complaint.</w:t>
      </w:r>
    </w:p>
    <w:p w14:paraId="1342FD17" w14:textId="2A0D5C82" w:rsidR="00D80ADA" w:rsidRDefault="00D80ADA" w:rsidP="00122C26">
      <w:pPr>
        <w:pStyle w:val="NormalWeb"/>
        <w:shd w:val="clear" w:color="auto" w:fill="FFFFFF"/>
        <w:spacing w:before="0" w:beforeAutospacing="0" w:after="0" w:afterAutospacing="0" w:line="480" w:lineRule="auto"/>
        <w:ind w:firstLine="720"/>
        <w:jc w:val="both"/>
        <w:rPr>
          <w:sz w:val="18"/>
          <w:szCs w:val="18"/>
        </w:rPr>
      </w:pPr>
      <w:r>
        <w:rPr>
          <w:color w:val="000000"/>
        </w:rPr>
        <w:t>§ 2. This local law takes effect 180 days after it becomes law.</w:t>
      </w:r>
      <w:r w:rsidR="00122C26">
        <w:rPr>
          <w:sz w:val="18"/>
          <w:szCs w:val="18"/>
        </w:rPr>
        <w:t xml:space="preserve"> </w:t>
      </w:r>
    </w:p>
    <w:p w14:paraId="0BF4258A" w14:textId="77777777" w:rsidR="00D80ADA" w:rsidRDefault="00D80ADA" w:rsidP="00D80ADA">
      <w:pPr>
        <w:jc w:val="both"/>
        <w:rPr>
          <w:sz w:val="18"/>
          <w:szCs w:val="18"/>
        </w:rPr>
      </w:pPr>
    </w:p>
    <w:p w14:paraId="3050CBDE" w14:textId="77777777" w:rsidR="00D80ADA" w:rsidRDefault="00D80ADA" w:rsidP="00D80ADA">
      <w:pPr>
        <w:jc w:val="both"/>
        <w:rPr>
          <w:sz w:val="18"/>
          <w:szCs w:val="18"/>
        </w:rPr>
      </w:pPr>
    </w:p>
    <w:p w14:paraId="26A9C7FC" w14:textId="77777777" w:rsidR="00D80ADA" w:rsidRPr="00D919F0" w:rsidRDefault="00D80ADA" w:rsidP="00D80ADA">
      <w:pPr>
        <w:jc w:val="both"/>
        <w:rPr>
          <w:sz w:val="18"/>
          <w:szCs w:val="18"/>
        </w:rPr>
      </w:pPr>
      <w:r w:rsidRPr="00D919F0">
        <w:rPr>
          <w:sz w:val="18"/>
          <w:szCs w:val="18"/>
        </w:rPr>
        <w:t>Session 12</w:t>
      </w:r>
    </w:p>
    <w:p w14:paraId="5A69DB32" w14:textId="77777777" w:rsidR="00D80ADA" w:rsidRPr="00D919F0" w:rsidRDefault="00D80ADA" w:rsidP="00D80ADA">
      <w:pPr>
        <w:jc w:val="both"/>
        <w:rPr>
          <w:sz w:val="18"/>
          <w:szCs w:val="18"/>
        </w:rPr>
      </w:pPr>
      <w:r w:rsidRPr="00D919F0">
        <w:rPr>
          <w:sz w:val="18"/>
          <w:szCs w:val="18"/>
        </w:rPr>
        <w:t>IB</w:t>
      </w:r>
    </w:p>
    <w:p w14:paraId="2A0B0666" w14:textId="77777777" w:rsidR="00D80ADA" w:rsidRPr="001806CA" w:rsidRDefault="00D80ADA" w:rsidP="00D80ADA">
      <w:pPr>
        <w:jc w:val="both"/>
        <w:rPr>
          <w:sz w:val="18"/>
          <w:szCs w:val="18"/>
        </w:rPr>
      </w:pPr>
      <w:r w:rsidRPr="00D919F0">
        <w:rPr>
          <w:sz w:val="18"/>
          <w:szCs w:val="18"/>
        </w:rPr>
        <w:t>LS</w:t>
      </w:r>
      <w:r w:rsidRPr="001806CA">
        <w:rPr>
          <w:sz w:val="18"/>
          <w:szCs w:val="18"/>
        </w:rPr>
        <w:t xml:space="preserve"> 5157</w:t>
      </w:r>
    </w:p>
    <w:p w14:paraId="04014CDA" w14:textId="77777777" w:rsidR="00D80ADA" w:rsidRPr="001806CA" w:rsidRDefault="00D80ADA" w:rsidP="00D80ADA">
      <w:pPr>
        <w:jc w:val="both"/>
        <w:rPr>
          <w:sz w:val="18"/>
          <w:szCs w:val="18"/>
        </w:rPr>
      </w:pPr>
      <w:r w:rsidRPr="001806CA">
        <w:rPr>
          <w:sz w:val="18"/>
          <w:szCs w:val="18"/>
        </w:rPr>
        <w:t xml:space="preserve">3/17/2022 </w:t>
      </w:r>
      <w:r>
        <w:rPr>
          <w:sz w:val="18"/>
          <w:szCs w:val="18"/>
        </w:rPr>
        <w:t>11:30 pm</w:t>
      </w:r>
    </w:p>
    <w:p w14:paraId="40EDF9D9" w14:textId="77777777" w:rsidR="00D80ADA" w:rsidRPr="001806CA" w:rsidRDefault="00D80ADA" w:rsidP="00D80ADA">
      <w:pPr>
        <w:jc w:val="both"/>
        <w:rPr>
          <w:sz w:val="18"/>
          <w:szCs w:val="18"/>
        </w:rPr>
      </w:pPr>
    </w:p>
    <w:p w14:paraId="0496CB95" w14:textId="77777777" w:rsidR="00D80ADA" w:rsidRPr="00C536A9" w:rsidRDefault="00D80ADA" w:rsidP="00D80ADA">
      <w:pPr>
        <w:jc w:val="both"/>
        <w:rPr>
          <w:sz w:val="18"/>
          <w:szCs w:val="18"/>
        </w:rPr>
      </w:pPr>
      <w:r w:rsidRPr="00C536A9">
        <w:rPr>
          <w:sz w:val="18"/>
          <w:szCs w:val="18"/>
        </w:rPr>
        <w:t>Session 11</w:t>
      </w:r>
    </w:p>
    <w:p w14:paraId="280CCD20" w14:textId="77777777" w:rsidR="00D80ADA" w:rsidRPr="00C536A9" w:rsidRDefault="00D80ADA" w:rsidP="00D80ADA">
      <w:pPr>
        <w:rPr>
          <w:sz w:val="18"/>
          <w:szCs w:val="18"/>
        </w:rPr>
      </w:pPr>
      <w:r w:rsidRPr="00C536A9">
        <w:rPr>
          <w:sz w:val="18"/>
          <w:szCs w:val="18"/>
        </w:rPr>
        <w:t>IB</w:t>
      </w:r>
    </w:p>
    <w:p w14:paraId="0E260EBC" w14:textId="77777777" w:rsidR="00D80ADA" w:rsidRPr="00410C55" w:rsidRDefault="00D80ADA" w:rsidP="00D80ADA">
      <w:pPr>
        <w:rPr>
          <w:sz w:val="18"/>
          <w:szCs w:val="18"/>
        </w:rPr>
      </w:pPr>
      <w:r w:rsidRPr="00C536A9">
        <w:rPr>
          <w:sz w:val="18"/>
          <w:szCs w:val="18"/>
        </w:rPr>
        <w:t xml:space="preserve">LS </w:t>
      </w:r>
      <w:r w:rsidRPr="00410C55">
        <w:rPr>
          <w:sz w:val="18"/>
          <w:szCs w:val="18"/>
        </w:rPr>
        <w:t>15966</w:t>
      </w:r>
    </w:p>
    <w:p w14:paraId="650FE80F" w14:textId="77777777" w:rsidR="00D80ADA" w:rsidRPr="00565CD3" w:rsidRDefault="00D80ADA" w:rsidP="00D80ADA">
      <w:pPr>
        <w:rPr>
          <w:sz w:val="18"/>
          <w:szCs w:val="18"/>
        </w:rPr>
      </w:pPr>
      <w:r w:rsidRPr="00410C55">
        <w:rPr>
          <w:sz w:val="18"/>
          <w:szCs w:val="18"/>
        </w:rPr>
        <w:t xml:space="preserve">8/27/2020 </w:t>
      </w:r>
    </w:p>
    <w:p w14:paraId="2E467645" w14:textId="77777777" w:rsidR="00D80ADA" w:rsidRPr="00B020CF" w:rsidRDefault="00D80ADA" w:rsidP="00D80ADA">
      <w:pPr>
        <w:rPr>
          <w:sz w:val="18"/>
          <w:szCs w:val="18"/>
        </w:rPr>
      </w:pPr>
      <w:r w:rsidRPr="00B020CF">
        <w:rPr>
          <w:sz w:val="18"/>
          <w:szCs w:val="18"/>
        </w:rPr>
        <w:t>Int. 2077-2020</w:t>
      </w:r>
    </w:p>
    <w:p w14:paraId="524985E9" w14:textId="2674F54B" w:rsidR="00D80ADA" w:rsidRDefault="00D80ADA">
      <w:pPr>
        <w:spacing w:after="160" w:line="259" w:lineRule="auto"/>
        <w:rPr>
          <w:shd w:val="clear" w:color="auto" w:fill="FFFFFF"/>
        </w:rPr>
      </w:pPr>
      <w:r>
        <w:rPr>
          <w:shd w:val="clear" w:color="auto" w:fill="FFFFFF"/>
        </w:rPr>
        <w:br w:type="page"/>
      </w:r>
    </w:p>
    <w:p w14:paraId="4884B402" w14:textId="77777777" w:rsidR="00122C26" w:rsidRDefault="00122C26" w:rsidP="00122C26">
      <w:pPr>
        <w:jc w:val="center"/>
      </w:pPr>
      <w:r>
        <w:t>Int. No. 206</w:t>
      </w:r>
    </w:p>
    <w:p w14:paraId="25FA7D74" w14:textId="77777777" w:rsidR="00122C26" w:rsidRDefault="00122C26" w:rsidP="00122C26">
      <w:pPr>
        <w:jc w:val="center"/>
      </w:pPr>
    </w:p>
    <w:p w14:paraId="15ABA4FC" w14:textId="77777777" w:rsidR="00122C26" w:rsidRDefault="00122C26" w:rsidP="00122C26">
      <w:pPr>
        <w:autoSpaceDE w:val="0"/>
        <w:autoSpaceDN w:val="0"/>
        <w:adjustRightInd w:val="0"/>
        <w:jc w:val="both"/>
        <w:rPr>
          <w:rFonts w:eastAsia="Calibri"/>
        </w:rPr>
      </w:pPr>
      <w:r>
        <w:rPr>
          <w:rFonts w:eastAsia="Calibri"/>
        </w:rPr>
        <w:t>By Council Members Ung, Joseph, Cabán, Stevens, Hanif, Brewer, Dinowitz, Won, Marte, Abreu</w:t>
      </w:r>
    </w:p>
    <w:p w14:paraId="74E502DA" w14:textId="77777777" w:rsidR="00122C26" w:rsidRDefault="00122C26" w:rsidP="00122C26">
      <w:pPr>
        <w:autoSpaceDE w:val="0"/>
        <w:autoSpaceDN w:val="0"/>
        <w:adjustRightInd w:val="0"/>
        <w:jc w:val="both"/>
        <w:rPr>
          <w:rFonts w:eastAsia="Calibri"/>
        </w:rPr>
      </w:pPr>
      <w:r>
        <w:rPr>
          <w:rFonts w:eastAsia="Calibri"/>
        </w:rPr>
        <w:t>and Williams</w:t>
      </w:r>
    </w:p>
    <w:p w14:paraId="10AB64F4" w14:textId="77777777" w:rsidR="00122C26" w:rsidRDefault="00122C26" w:rsidP="00122C26">
      <w:pPr>
        <w:pStyle w:val="BodyText"/>
        <w:spacing w:line="240" w:lineRule="auto"/>
      </w:pPr>
    </w:p>
    <w:p w14:paraId="1A4C8C94" w14:textId="77777777" w:rsidR="00122C26" w:rsidRPr="00CE286D" w:rsidRDefault="00122C26" w:rsidP="00122C26">
      <w:pPr>
        <w:pStyle w:val="BodyText"/>
        <w:spacing w:line="240" w:lineRule="auto"/>
        <w:rPr>
          <w:vanish/>
        </w:rPr>
      </w:pPr>
      <w:r w:rsidRPr="00CE286D">
        <w:rPr>
          <w:vanish/>
        </w:rPr>
        <w:t>..Title</w:t>
      </w:r>
    </w:p>
    <w:p w14:paraId="05B9DC7E" w14:textId="77777777" w:rsidR="00122C26" w:rsidRDefault="00122C26" w:rsidP="00122C26">
      <w:pPr>
        <w:pStyle w:val="BodyText"/>
        <w:spacing w:line="240" w:lineRule="auto"/>
      </w:pPr>
      <w:r>
        <w:t xml:space="preserve">A Local Law to amend the administrative code of the city of New York, in relation to requiring the commissioner of information technology and telecommunications to report on </w:t>
      </w:r>
      <w:r w:rsidRPr="0003338D">
        <w:t>wait time</w:t>
      </w:r>
      <w:r>
        <w:t>s for the 311 customer service center to connect callers to an interpreter</w:t>
      </w:r>
    </w:p>
    <w:p w14:paraId="464C6F44" w14:textId="77777777" w:rsidR="00122C26" w:rsidRPr="00CE286D" w:rsidRDefault="00122C26" w:rsidP="00122C26">
      <w:pPr>
        <w:pStyle w:val="BodyText"/>
        <w:spacing w:before="80" w:line="240" w:lineRule="auto"/>
        <w:rPr>
          <w:vanish/>
        </w:rPr>
      </w:pPr>
      <w:r w:rsidRPr="00CE286D">
        <w:rPr>
          <w:vanish/>
        </w:rPr>
        <w:t>..Body</w:t>
      </w:r>
    </w:p>
    <w:p w14:paraId="7D5564F5" w14:textId="77777777" w:rsidR="00122C26" w:rsidRDefault="00122C26" w:rsidP="00122C26">
      <w:pPr>
        <w:pStyle w:val="BodyText"/>
        <w:spacing w:line="240" w:lineRule="auto"/>
        <w:rPr>
          <w:u w:val="single"/>
        </w:rPr>
      </w:pPr>
    </w:p>
    <w:p w14:paraId="500F025D" w14:textId="77777777" w:rsidR="00122C26" w:rsidRDefault="00122C26" w:rsidP="00122C26">
      <w:pPr>
        <w:jc w:val="both"/>
      </w:pPr>
      <w:r>
        <w:rPr>
          <w:u w:val="single"/>
        </w:rPr>
        <w:t>Be it enacted by the Council as follows</w:t>
      </w:r>
      <w:r w:rsidRPr="005B5DE4">
        <w:rPr>
          <w:u w:val="single"/>
        </w:rPr>
        <w:t>:</w:t>
      </w:r>
    </w:p>
    <w:p w14:paraId="30F91AAE" w14:textId="77777777" w:rsidR="00122C26" w:rsidRDefault="00122C26" w:rsidP="00122C26">
      <w:pPr>
        <w:spacing w:line="480" w:lineRule="auto"/>
        <w:jc w:val="both"/>
      </w:pPr>
    </w:p>
    <w:p w14:paraId="49024D99" w14:textId="19CEE377" w:rsidR="00122C26" w:rsidRDefault="00122C26" w:rsidP="00122C26">
      <w:pPr>
        <w:spacing w:line="480" w:lineRule="auto"/>
        <w:jc w:val="both"/>
      </w:pPr>
      <w:r w:rsidRPr="005F7931">
        <w:t xml:space="preserve">Section 1. </w:t>
      </w:r>
      <w:r>
        <w:t>Chapter 3 of title 23 of the administrative code of the city of New York is amended by adding a new section 23-308 to read as follows:</w:t>
      </w:r>
    </w:p>
    <w:p w14:paraId="7867D2A0" w14:textId="77777777" w:rsidR="00122C26" w:rsidRDefault="00122C26" w:rsidP="00122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u w:val="single"/>
        </w:rPr>
      </w:pPr>
      <w:r>
        <w:rPr>
          <w:rFonts w:ascii="Courier New" w:hAnsi="Courier New" w:cs="Courier New"/>
          <w:color w:val="000000"/>
          <w:sz w:val="20"/>
          <w:szCs w:val="20"/>
        </w:rPr>
        <w:tab/>
      </w:r>
      <w:r w:rsidRPr="00A43FD0">
        <w:rPr>
          <w:color w:val="000000"/>
          <w:u w:val="single"/>
        </w:rPr>
        <w:t>§ 23-308</w:t>
      </w:r>
      <w:r w:rsidRPr="00A43FD0">
        <w:rPr>
          <w:rFonts w:ascii="Courier New" w:hAnsi="Courier New" w:cs="Courier New"/>
          <w:color w:val="000000"/>
          <w:sz w:val="20"/>
          <w:szCs w:val="20"/>
          <w:u w:val="single"/>
        </w:rPr>
        <w:t xml:space="preserve"> </w:t>
      </w:r>
      <w:r w:rsidRPr="00A43FD0">
        <w:rPr>
          <w:u w:val="single"/>
        </w:rPr>
        <w:t xml:space="preserve">Report on wait times for interpreters. a. </w:t>
      </w:r>
      <w:r>
        <w:rPr>
          <w:u w:val="single"/>
        </w:rPr>
        <w:t xml:space="preserve">Definitions. As used in this section, the term “wait time” </w:t>
      </w:r>
      <w:r w:rsidRPr="00F758E1">
        <w:rPr>
          <w:u w:val="single"/>
        </w:rPr>
        <w:t xml:space="preserve">means </w:t>
      </w:r>
      <w:r w:rsidRPr="00E652EC">
        <w:rPr>
          <w:u w:val="single"/>
        </w:rPr>
        <w:t>the time, in minutes and seconds, from when an individual who calls the 311 customer service center requests an interpreter to when such individual is connected to an interpreter.</w:t>
      </w:r>
    </w:p>
    <w:p w14:paraId="4208417B" w14:textId="77777777" w:rsidR="00122C26" w:rsidRPr="00A43FD0" w:rsidRDefault="00122C26" w:rsidP="00122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Courier New" w:hAnsi="Courier New" w:cs="Courier New"/>
          <w:color w:val="000000"/>
          <w:sz w:val="20"/>
          <w:szCs w:val="20"/>
          <w:u w:val="single"/>
        </w:rPr>
      </w:pPr>
      <w:r w:rsidRPr="00E652EC">
        <w:tab/>
      </w:r>
      <w:r>
        <w:rPr>
          <w:u w:val="single"/>
        </w:rPr>
        <w:t xml:space="preserve">b. </w:t>
      </w:r>
      <w:r w:rsidRPr="00A43FD0">
        <w:rPr>
          <w:u w:val="single"/>
        </w:rPr>
        <w:t xml:space="preserve">Beginning </w:t>
      </w:r>
      <w:r>
        <w:rPr>
          <w:u w:val="single"/>
        </w:rPr>
        <w:t xml:space="preserve">September </w:t>
      </w:r>
      <w:r w:rsidRPr="00A43FD0">
        <w:rPr>
          <w:u w:val="single"/>
        </w:rPr>
        <w:t>1</w:t>
      </w:r>
      <w:r>
        <w:rPr>
          <w:u w:val="single"/>
        </w:rPr>
        <w:t>5</w:t>
      </w:r>
      <w:r w:rsidRPr="00A43FD0">
        <w:rPr>
          <w:u w:val="single"/>
        </w:rPr>
        <w:t>, 202</w:t>
      </w:r>
      <w:r>
        <w:rPr>
          <w:u w:val="single"/>
        </w:rPr>
        <w:t>2</w:t>
      </w:r>
      <w:r w:rsidRPr="00A43FD0">
        <w:rPr>
          <w:u w:val="single"/>
        </w:rPr>
        <w:t xml:space="preserve">, and no later than </w:t>
      </w:r>
      <w:r>
        <w:rPr>
          <w:u w:val="single"/>
        </w:rPr>
        <w:t xml:space="preserve">the fifteenth day of </w:t>
      </w:r>
      <w:r w:rsidRPr="00A43FD0">
        <w:rPr>
          <w:u w:val="single"/>
        </w:rPr>
        <w:t xml:space="preserve">each </w:t>
      </w:r>
      <w:r>
        <w:rPr>
          <w:u w:val="single"/>
        </w:rPr>
        <w:t>month</w:t>
      </w:r>
      <w:r w:rsidRPr="00A43FD0">
        <w:rPr>
          <w:u w:val="single"/>
        </w:rPr>
        <w:t xml:space="preserve"> thereafter, the commissioner </w:t>
      </w:r>
      <w:r>
        <w:rPr>
          <w:u w:val="single"/>
        </w:rPr>
        <w:t xml:space="preserve">of technology and telecommunications </w:t>
      </w:r>
      <w:r w:rsidRPr="00A43FD0">
        <w:rPr>
          <w:u w:val="single"/>
        </w:rPr>
        <w:t>shall submit to the mayor and the speaker of the council a report on the wait time</w:t>
      </w:r>
      <w:r>
        <w:rPr>
          <w:u w:val="single"/>
        </w:rPr>
        <w:t>s</w:t>
      </w:r>
      <w:r w:rsidRPr="00A43FD0">
        <w:rPr>
          <w:u w:val="single"/>
        </w:rPr>
        <w:t xml:space="preserve"> for individual</w:t>
      </w:r>
      <w:r>
        <w:rPr>
          <w:u w:val="single"/>
        </w:rPr>
        <w:t>s</w:t>
      </w:r>
      <w:r w:rsidRPr="00A43FD0">
        <w:rPr>
          <w:u w:val="single"/>
        </w:rPr>
        <w:t xml:space="preserve"> with limited English proficiency who place a call to the 311 customer service center.</w:t>
      </w:r>
      <w:r w:rsidRPr="00A43FD0">
        <w:rPr>
          <w:rFonts w:ascii="Courier New" w:hAnsi="Courier New" w:cs="Courier New"/>
          <w:color w:val="000000"/>
          <w:sz w:val="20"/>
          <w:szCs w:val="20"/>
          <w:u w:val="single"/>
        </w:rPr>
        <w:t xml:space="preserve"> </w:t>
      </w:r>
    </w:p>
    <w:p w14:paraId="51C4E12D" w14:textId="77777777" w:rsidR="00122C26" w:rsidRPr="00A43FD0" w:rsidRDefault="00122C26" w:rsidP="00122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color w:val="000000"/>
          <w:u w:val="single"/>
        </w:rPr>
      </w:pPr>
      <w:r>
        <w:rPr>
          <w:rFonts w:ascii="Courier New" w:hAnsi="Courier New" w:cs="Courier New"/>
          <w:color w:val="000000"/>
          <w:sz w:val="20"/>
          <w:szCs w:val="20"/>
        </w:rPr>
        <w:tab/>
      </w:r>
      <w:r>
        <w:rPr>
          <w:color w:val="000000"/>
          <w:u w:val="single"/>
        </w:rPr>
        <w:t>c</w:t>
      </w:r>
      <w:r w:rsidRPr="00A43FD0">
        <w:rPr>
          <w:color w:val="000000"/>
          <w:u w:val="single"/>
        </w:rPr>
        <w:t xml:space="preserve">. Each report submitted under this section shall include </w:t>
      </w:r>
      <w:r>
        <w:rPr>
          <w:color w:val="000000"/>
          <w:u w:val="single"/>
        </w:rPr>
        <w:t xml:space="preserve">the following </w:t>
      </w:r>
      <w:r w:rsidRPr="00A43FD0">
        <w:rPr>
          <w:color w:val="000000"/>
          <w:u w:val="single"/>
        </w:rPr>
        <w:t xml:space="preserve">information on wait times </w:t>
      </w:r>
      <w:r>
        <w:rPr>
          <w:color w:val="000000"/>
          <w:u w:val="single"/>
        </w:rPr>
        <w:t>for</w:t>
      </w:r>
      <w:r w:rsidRPr="00A43FD0">
        <w:rPr>
          <w:color w:val="000000"/>
          <w:u w:val="single"/>
        </w:rPr>
        <w:t xml:space="preserve"> the preceding</w:t>
      </w:r>
      <w:r>
        <w:rPr>
          <w:color w:val="000000"/>
          <w:u w:val="single"/>
        </w:rPr>
        <w:t xml:space="preserve"> month</w:t>
      </w:r>
      <w:r w:rsidRPr="00A43FD0">
        <w:rPr>
          <w:color w:val="000000"/>
          <w:u w:val="single"/>
        </w:rPr>
        <w:t>:</w:t>
      </w:r>
    </w:p>
    <w:p w14:paraId="08FF5EDB" w14:textId="77777777" w:rsidR="00122C26" w:rsidRPr="00A43FD0" w:rsidRDefault="00122C26" w:rsidP="00122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color w:val="000000"/>
          <w:u w:val="single"/>
        </w:rPr>
      </w:pPr>
      <w:r>
        <w:rPr>
          <w:color w:val="000000"/>
        </w:rPr>
        <w:tab/>
      </w:r>
      <w:r>
        <w:rPr>
          <w:color w:val="000000"/>
          <w:u w:val="single"/>
        </w:rPr>
        <w:t>1</w:t>
      </w:r>
      <w:r w:rsidRPr="00A43FD0">
        <w:rPr>
          <w:color w:val="000000"/>
          <w:u w:val="single"/>
        </w:rPr>
        <w:t xml:space="preserve">. </w:t>
      </w:r>
      <w:r>
        <w:rPr>
          <w:color w:val="000000"/>
          <w:u w:val="single"/>
        </w:rPr>
        <w:t>The wait time for each call for which an interpreter is requested;</w:t>
      </w:r>
    </w:p>
    <w:p w14:paraId="47E6B36D" w14:textId="77777777" w:rsidR="00122C26" w:rsidRDefault="00122C26" w:rsidP="00122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color w:val="000000"/>
          <w:u w:val="single"/>
        </w:rPr>
      </w:pPr>
      <w:r>
        <w:rPr>
          <w:color w:val="000000"/>
        </w:rPr>
        <w:tab/>
      </w:r>
      <w:r>
        <w:rPr>
          <w:color w:val="000000"/>
          <w:u w:val="single"/>
        </w:rPr>
        <w:t>2</w:t>
      </w:r>
      <w:r w:rsidRPr="00A43FD0">
        <w:rPr>
          <w:color w:val="000000"/>
          <w:u w:val="single"/>
        </w:rPr>
        <w:t>.</w:t>
      </w:r>
      <w:r>
        <w:rPr>
          <w:color w:val="000000"/>
          <w:u w:val="single"/>
        </w:rPr>
        <w:t xml:space="preserve"> The native language of the caller for each call for which an interpreter is requested; and</w:t>
      </w:r>
    </w:p>
    <w:p w14:paraId="787E3B74" w14:textId="77777777" w:rsidR="00122C26" w:rsidRDefault="00122C26" w:rsidP="00122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color w:val="000000"/>
          <w:u w:val="single"/>
        </w:rPr>
      </w:pPr>
      <w:r w:rsidRPr="00E652EC">
        <w:rPr>
          <w:color w:val="000000"/>
        </w:rPr>
        <w:tab/>
      </w:r>
      <w:r>
        <w:rPr>
          <w:color w:val="000000"/>
          <w:u w:val="single"/>
        </w:rPr>
        <w:t>3. The average wait time for calls for which an interpreter is requested, for each requested language.</w:t>
      </w:r>
    </w:p>
    <w:p w14:paraId="157239BB" w14:textId="53E2B08E" w:rsidR="00122C26" w:rsidRDefault="00122C26" w:rsidP="00122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sz w:val="18"/>
          <w:szCs w:val="18"/>
        </w:rPr>
      </w:pPr>
      <w:r w:rsidRPr="00A43FD0">
        <w:rPr>
          <w:color w:val="000000"/>
        </w:rPr>
        <w:tab/>
      </w:r>
      <w:r>
        <w:rPr>
          <w:color w:val="000000"/>
        </w:rPr>
        <w:t>§ 2. This local law takes effect immediately.</w:t>
      </w:r>
      <w:r>
        <w:rPr>
          <w:sz w:val="18"/>
          <w:szCs w:val="18"/>
        </w:rPr>
        <w:t xml:space="preserve"> </w:t>
      </w:r>
    </w:p>
    <w:p w14:paraId="5A1D8303" w14:textId="77777777" w:rsidR="00122C26" w:rsidRDefault="00122C26" w:rsidP="00122C26">
      <w:pPr>
        <w:jc w:val="both"/>
        <w:rPr>
          <w:sz w:val="18"/>
          <w:szCs w:val="18"/>
        </w:rPr>
      </w:pPr>
      <w:r>
        <w:rPr>
          <w:sz w:val="18"/>
          <w:szCs w:val="18"/>
        </w:rPr>
        <w:t>JB</w:t>
      </w:r>
    </w:p>
    <w:p w14:paraId="39380041" w14:textId="77777777" w:rsidR="00122C26" w:rsidRDefault="00122C26" w:rsidP="00122C26">
      <w:pPr>
        <w:jc w:val="both"/>
        <w:rPr>
          <w:sz w:val="18"/>
          <w:szCs w:val="18"/>
        </w:rPr>
      </w:pPr>
      <w:r>
        <w:rPr>
          <w:sz w:val="18"/>
          <w:szCs w:val="18"/>
        </w:rPr>
        <w:t>LS #7246</w:t>
      </w:r>
    </w:p>
    <w:p w14:paraId="346E8240" w14:textId="77777777" w:rsidR="00122C26" w:rsidRPr="006850B7" w:rsidRDefault="00122C26" w:rsidP="00122C26">
      <w:pPr>
        <w:rPr>
          <w:sz w:val="18"/>
          <w:szCs w:val="18"/>
        </w:rPr>
      </w:pPr>
      <w:r>
        <w:rPr>
          <w:sz w:val="18"/>
          <w:szCs w:val="18"/>
        </w:rPr>
        <w:t>3/30/22</w:t>
      </w:r>
    </w:p>
    <w:p w14:paraId="73F49BB0" w14:textId="77777777" w:rsidR="00122C26" w:rsidRDefault="00122C26" w:rsidP="00D80ADA">
      <w:pPr>
        <w:jc w:val="center"/>
        <w:rPr>
          <w:rFonts w:eastAsia="Times New Roman"/>
        </w:rPr>
      </w:pPr>
    </w:p>
    <w:p w14:paraId="7A872C6A" w14:textId="1536D777" w:rsidR="00D80ADA" w:rsidRDefault="00D80ADA" w:rsidP="00D80ADA">
      <w:pPr>
        <w:jc w:val="center"/>
        <w:rPr>
          <w:rFonts w:eastAsia="Times New Roman"/>
        </w:rPr>
      </w:pPr>
      <w:r w:rsidRPr="006737AF">
        <w:rPr>
          <w:rFonts w:eastAsia="Times New Roman"/>
        </w:rPr>
        <w:t>Int. No.</w:t>
      </w:r>
      <w:r>
        <w:rPr>
          <w:rFonts w:eastAsia="Times New Roman"/>
        </w:rPr>
        <w:t xml:space="preserve"> 240</w:t>
      </w:r>
    </w:p>
    <w:p w14:paraId="2EBFC5FC" w14:textId="77777777" w:rsidR="00D80ADA" w:rsidRPr="006737AF" w:rsidRDefault="00D80ADA" w:rsidP="00D80ADA">
      <w:pPr>
        <w:jc w:val="center"/>
        <w:rPr>
          <w:rFonts w:eastAsia="Times New Roman"/>
        </w:rPr>
      </w:pPr>
    </w:p>
    <w:p w14:paraId="0E1B288B" w14:textId="77777777" w:rsidR="00D80ADA" w:rsidRDefault="00D80ADA" w:rsidP="00D80ADA">
      <w:pPr>
        <w:autoSpaceDE w:val="0"/>
        <w:autoSpaceDN w:val="0"/>
        <w:adjustRightInd w:val="0"/>
        <w:jc w:val="both"/>
      </w:pPr>
      <w:r>
        <w:t>By Council Members Gutiérrez, Joseph, Brooks-Powers, Stevens, Yeger, Menin, Williams, Schulman, Riley, Narcisse, Barron, Ossé, Ayala, Restler, Cabán, Abreu, Richardson Jordan, Nurse and Ariola</w:t>
      </w:r>
    </w:p>
    <w:p w14:paraId="42EF27B9" w14:textId="77777777" w:rsidR="00D80ADA" w:rsidRDefault="00D80ADA" w:rsidP="00D80ADA">
      <w:pPr>
        <w:jc w:val="both"/>
        <w:rPr>
          <w:rFonts w:eastAsia="Times New Roman"/>
        </w:rPr>
      </w:pPr>
    </w:p>
    <w:p w14:paraId="6BD3CC21" w14:textId="77777777" w:rsidR="00D80ADA" w:rsidRPr="00431BB1" w:rsidRDefault="00D80ADA" w:rsidP="00D80ADA">
      <w:pPr>
        <w:jc w:val="both"/>
        <w:rPr>
          <w:rFonts w:eastAsia="Times New Roman"/>
          <w:vanish/>
        </w:rPr>
      </w:pPr>
      <w:r w:rsidRPr="00431BB1">
        <w:rPr>
          <w:rFonts w:eastAsia="Times New Roman"/>
          <w:vanish/>
        </w:rPr>
        <w:t>..Title</w:t>
      </w:r>
    </w:p>
    <w:p w14:paraId="374B0BB8" w14:textId="77777777" w:rsidR="00D80ADA" w:rsidRDefault="00D80ADA" w:rsidP="00D80ADA">
      <w:pPr>
        <w:jc w:val="both"/>
        <w:rPr>
          <w:rFonts w:eastAsia="Times New Roman"/>
        </w:rPr>
      </w:pPr>
      <w:r>
        <w:rPr>
          <w:rFonts w:eastAsia="Times New Roman"/>
        </w:rPr>
        <w:t>A Local Law t</w:t>
      </w:r>
      <w:r w:rsidRPr="006737AF">
        <w:rPr>
          <w:rFonts w:eastAsia="Times New Roman"/>
        </w:rPr>
        <w:t xml:space="preserve">o amend the administrative code of the city of New York, in relation to the department of information technology and telecommunications updating 311 complaint types and reporting </w:t>
      </w:r>
      <w:r>
        <w:rPr>
          <w:rFonts w:eastAsia="Times New Roman"/>
        </w:rPr>
        <w:t>on such updates</w:t>
      </w:r>
    </w:p>
    <w:p w14:paraId="550D63E4" w14:textId="77777777" w:rsidR="00D80ADA" w:rsidRPr="00431BB1" w:rsidRDefault="00D80ADA" w:rsidP="00D80ADA">
      <w:pPr>
        <w:jc w:val="both"/>
        <w:rPr>
          <w:rFonts w:eastAsia="Times New Roman"/>
          <w:vanish/>
        </w:rPr>
      </w:pPr>
      <w:r w:rsidRPr="00431BB1">
        <w:rPr>
          <w:rFonts w:eastAsia="Times New Roman"/>
          <w:vanish/>
        </w:rPr>
        <w:t>..Body</w:t>
      </w:r>
    </w:p>
    <w:p w14:paraId="7DBDF7B1" w14:textId="77777777" w:rsidR="00D80ADA" w:rsidRPr="006737AF" w:rsidRDefault="00D80ADA" w:rsidP="00D80ADA">
      <w:pPr>
        <w:jc w:val="both"/>
        <w:rPr>
          <w:rFonts w:eastAsia="Times New Roman"/>
        </w:rPr>
      </w:pPr>
    </w:p>
    <w:p w14:paraId="19CD7902" w14:textId="568E2FF7" w:rsidR="00122C26" w:rsidRPr="006737AF" w:rsidRDefault="00D80ADA" w:rsidP="00122C26">
      <w:pPr>
        <w:spacing w:line="480" w:lineRule="auto"/>
        <w:jc w:val="both"/>
      </w:pPr>
      <w:r w:rsidRPr="006737AF">
        <w:rPr>
          <w:rFonts w:eastAsia="Times New Roman"/>
          <w:u w:val="single"/>
        </w:rPr>
        <w:t>Be it enacted by the Council as follows:</w:t>
      </w:r>
      <w:r w:rsidR="00122C26" w:rsidRPr="006737AF">
        <w:t xml:space="preserve"> </w:t>
      </w:r>
    </w:p>
    <w:p w14:paraId="7AA80323" w14:textId="53930103" w:rsidR="00D80ADA" w:rsidRPr="006737AF" w:rsidRDefault="00122C26" w:rsidP="00D80ADA">
      <w:pPr>
        <w:spacing w:line="480" w:lineRule="auto"/>
        <w:ind w:firstLine="720"/>
        <w:jc w:val="both"/>
      </w:pPr>
      <w:r>
        <w:t>S</w:t>
      </w:r>
      <w:r w:rsidR="00D80ADA" w:rsidRPr="006737AF">
        <w:t>ection 1. Chapter 3 of title 23 of the administrative code of the city of New York is amended by adding a new section 23-30</w:t>
      </w:r>
      <w:r w:rsidR="00D80ADA">
        <w:t>8</w:t>
      </w:r>
      <w:r w:rsidR="00D80ADA" w:rsidRPr="006737AF">
        <w:t xml:space="preserve"> to read as follows:</w:t>
      </w:r>
    </w:p>
    <w:p w14:paraId="1A8D4583" w14:textId="77777777" w:rsidR="00D80ADA" w:rsidRPr="003E18A3" w:rsidRDefault="00D80ADA" w:rsidP="00D80ADA">
      <w:pPr>
        <w:spacing w:line="480" w:lineRule="auto"/>
        <w:ind w:firstLine="720"/>
        <w:jc w:val="both"/>
        <w:rPr>
          <w:u w:val="single"/>
        </w:rPr>
      </w:pPr>
      <w:r w:rsidRPr="006737AF">
        <w:rPr>
          <w:u w:val="single"/>
        </w:rPr>
        <w:t>§ 23-30</w:t>
      </w:r>
      <w:r>
        <w:rPr>
          <w:u w:val="single"/>
        </w:rPr>
        <w:t>8</w:t>
      </w:r>
      <w:r w:rsidRPr="006737AF">
        <w:rPr>
          <w:u w:val="single"/>
        </w:rPr>
        <w:t xml:space="preserve"> Updating 311 complaint types. a. </w:t>
      </w:r>
      <w:r w:rsidRPr="003E18A3">
        <w:rPr>
          <w:u w:val="single"/>
        </w:rPr>
        <w:t xml:space="preserve">By no later than the effective date </w:t>
      </w:r>
      <w:r>
        <w:rPr>
          <w:u w:val="single"/>
        </w:rPr>
        <w:t xml:space="preserve">of </w:t>
      </w:r>
      <w:r w:rsidRPr="006737AF">
        <w:rPr>
          <w:u w:val="single"/>
        </w:rPr>
        <w:t>a</w:t>
      </w:r>
      <w:r>
        <w:rPr>
          <w:u w:val="single"/>
        </w:rPr>
        <w:t>ny</w:t>
      </w:r>
      <w:r w:rsidRPr="006737AF">
        <w:rPr>
          <w:u w:val="single"/>
        </w:rPr>
        <w:t xml:space="preserve"> local law that involves a </w:t>
      </w:r>
      <w:r w:rsidRPr="003E18A3">
        <w:rPr>
          <w:u w:val="single"/>
        </w:rPr>
        <w:t>request</w:t>
      </w:r>
      <w:r w:rsidRPr="006737AF">
        <w:rPr>
          <w:u w:val="single"/>
        </w:rPr>
        <w:t xml:space="preserve"> for service, the commissioner</w:t>
      </w:r>
      <w:r w:rsidRPr="003E18A3">
        <w:rPr>
          <w:u w:val="single"/>
        </w:rPr>
        <w:t xml:space="preserve"> of information technology and telecommunications</w:t>
      </w:r>
      <w:r w:rsidRPr="006737AF">
        <w:rPr>
          <w:u w:val="single"/>
        </w:rPr>
        <w:t xml:space="preserve"> shall add the associated complaint type to the 311 customer service center website and mobile device platforms, and notify the </w:t>
      </w:r>
      <w:r w:rsidRPr="003E18A3">
        <w:rPr>
          <w:u w:val="single"/>
        </w:rPr>
        <w:t>311 customer service center call takers</w:t>
      </w:r>
      <w:r w:rsidRPr="006737AF">
        <w:rPr>
          <w:u w:val="single"/>
        </w:rPr>
        <w:t xml:space="preserve"> of such complaint type.</w:t>
      </w:r>
    </w:p>
    <w:p w14:paraId="38B0665E" w14:textId="77777777" w:rsidR="00D80ADA" w:rsidRPr="006737AF" w:rsidRDefault="00D80ADA" w:rsidP="00D80ADA">
      <w:pPr>
        <w:spacing w:line="480" w:lineRule="auto"/>
        <w:ind w:firstLine="720"/>
        <w:jc w:val="both"/>
        <w:rPr>
          <w:u w:val="single"/>
        </w:rPr>
      </w:pPr>
      <w:r w:rsidRPr="006737AF">
        <w:rPr>
          <w:u w:val="single"/>
        </w:rPr>
        <w:t>b. For the purposes of subdivision a of this section, a local law involves a request for service if such local law:</w:t>
      </w:r>
    </w:p>
    <w:p w14:paraId="6253EB54" w14:textId="77777777" w:rsidR="00D80ADA" w:rsidRPr="006737AF" w:rsidRDefault="00D80ADA" w:rsidP="00D80ADA">
      <w:pPr>
        <w:spacing w:line="480" w:lineRule="auto"/>
        <w:ind w:firstLine="720"/>
        <w:jc w:val="both"/>
        <w:rPr>
          <w:u w:val="single"/>
        </w:rPr>
      </w:pPr>
      <w:r w:rsidRPr="006737AF">
        <w:rPr>
          <w:u w:val="single"/>
        </w:rPr>
        <w:t xml:space="preserve">1. Requires the department of information technology and telecommunications to implement the capability to file a complaint on the 311 customer service center website and mobile device platforms; </w:t>
      </w:r>
    </w:p>
    <w:p w14:paraId="4877E4C9" w14:textId="77777777" w:rsidR="00D80ADA" w:rsidRPr="006737AF" w:rsidRDefault="00D80ADA" w:rsidP="00D80ADA">
      <w:pPr>
        <w:spacing w:line="480" w:lineRule="auto"/>
        <w:ind w:firstLine="720"/>
        <w:jc w:val="both"/>
        <w:rPr>
          <w:u w:val="single"/>
        </w:rPr>
      </w:pPr>
      <w:r w:rsidRPr="006737AF">
        <w:rPr>
          <w:u w:val="single"/>
        </w:rPr>
        <w:t>2. Establishes a program or requires an agency to provide information or services to the public;</w:t>
      </w:r>
    </w:p>
    <w:p w14:paraId="3A90C2BE" w14:textId="77777777" w:rsidR="00D80ADA" w:rsidRPr="006737AF" w:rsidRDefault="00D80ADA" w:rsidP="00D80ADA">
      <w:pPr>
        <w:spacing w:line="480" w:lineRule="auto"/>
        <w:ind w:firstLine="720"/>
        <w:jc w:val="both"/>
        <w:rPr>
          <w:u w:val="single"/>
        </w:rPr>
      </w:pPr>
      <w:r w:rsidRPr="006737AF">
        <w:rPr>
          <w:u w:val="single"/>
        </w:rPr>
        <w:t xml:space="preserve">3. Establishes or expands a right or a protection for a business or person; </w:t>
      </w:r>
      <w:r>
        <w:rPr>
          <w:u w:val="single"/>
        </w:rPr>
        <w:t>or</w:t>
      </w:r>
    </w:p>
    <w:p w14:paraId="5E8BD70D" w14:textId="77777777" w:rsidR="00D80ADA" w:rsidRPr="006737AF" w:rsidRDefault="00D80ADA" w:rsidP="00D80ADA">
      <w:pPr>
        <w:spacing w:line="480" w:lineRule="auto"/>
        <w:ind w:firstLine="720"/>
        <w:jc w:val="both"/>
        <w:rPr>
          <w:u w:val="single"/>
        </w:rPr>
      </w:pPr>
      <w:r w:rsidRPr="006737AF">
        <w:rPr>
          <w:u w:val="single"/>
        </w:rPr>
        <w:t>4. Prohibits conduct by an agency, business or person.</w:t>
      </w:r>
    </w:p>
    <w:p w14:paraId="35C5FA5F" w14:textId="77777777" w:rsidR="00D80ADA" w:rsidRPr="006737AF" w:rsidRDefault="00D80ADA" w:rsidP="00D80ADA">
      <w:pPr>
        <w:spacing w:line="480" w:lineRule="auto"/>
        <w:ind w:firstLine="720"/>
        <w:jc w:val="both"/>
        <w:rPr>
          <w:u w:val="single"/>
        </w:rPr>
      </w:pPr>
      <w:r>
        <w:rPr>
          <w:u w:val="single"/>
        </w:rPr>
        <w:t>c</w:t>
      </w:r>
      <w:r w:rsidRPr="006737AF">
        <w:rPr>
          <w:u w:val="single"/>
        </w:rPr>
        <w:t>. Report. No more than 180 days after the effective date of the local law that added this section, and semiannually thereafter, the commissioner of information technology and telecommunications shall report to the mayor and the speaker of the council on updating complaint types on the 311 customer service center website and mobile device platforms. Such report shall be posted on the website of the department of information technology and telecommunications and the 311 customer service center and shall include:</w:t>
      </w:r>
    </w:p>
    <w:p w14:paraId="0722D087" w14:textId="77777777" w:rsidR="00D80ADA" w:rsidRPr="006737AF" w:rsidRDefault="00D80ADA" w:rsidP="00D80ADA">
      <w:pPr>
        <w:spacing w:line="480" w:lineRule="auto"/>
        <w:ind w:firstLine="720"/>
        <w:jc w:val="both"/>
        <w:rPr>
          <w:u w:val="single"/>
        </w:rPr>
      </w:pPr>
      <w:r w:rsidRPr="006737AF">
        <w:rPr>
          <w:u w:val="single"/>
        </w:rPr>
        <w:t>1. Data regarding the updating of complaint types on the 311 customer service center website and mobile device platforms after the enactment of a local law that involves a request for service, including, but not limited to, the number of complaint types that the department</w:t>
      </w:r>
      <w:r>
        <w:rPr>
          <w:u w:val="single"/>
        </w:rPr>
        <w:t xml:space="preserve"> of information technology and telecommunications</w:t>
      </w:r>
      <w:r w:rsidRPr="006737AF">
        <w:rPr>
          <w:u w:val="single"/>
        </w:rPr>
        <w:t xml:space="preserve"> added by </w:t>
      </w:r>
      <w:r>
        <w:rPr>
          <w:u w:val="single"/>
        </w:rPr>
        <w:t>such</w:t>
      </w:r>
      <w:r w:rsidRPr="006737AF">
        <w:rPr>
          <w:u w:val="single"/>
        </w:rPr>
        <w:t xml:space="preserve"> local law’s effective date;</w:t>
      </w:r>
    </w:p>
    <w:p w14:paraId="5DA67F7E" w14:textId="77777777" w:rsidR="00D80ADA" w:rsidRPr="006737AF" w:rsidRDefault="00D80ADA" w:rsidP="00122C26">
      <w:pPr>
        <w:spacing w:line="480" w:lineRule="auto"/>
        <w:ind w:firstLine="720"/>
        <w:jc w:val="both"/>
        <w:rPr>
          <w:u w:val="single"/>
        </w:rPr>
      </w:pPr>
      <w:r w:rsidRPr="006737AF">
        <w:rPr>
          <w:u w:val="single"/>
        </w:rPr>
        <w:t>2. A list of the local laws enacted during the reporting period</w:t>
      </w:r>
      <w:r w:rsidRPr="004E06D3">
        <w:rPr>
          <w:u w:val="single"/>
        </w:rPr>
        <w:t xml:space="preserve"> that involve</w:t>
      </w:r>
      <w:r w:rsidRPr="006737AF">
        <w:rPr>
          <w:u w:val="single"/>
        </w:rPr>
        <w:t xml:space="preserve"> a request for service</w:t>
      </w:r>
      <w:r>
        <w:rPr>
          <w:u w:val="single"/>
        </w:rPr>
        <w:t xml:space="preserve">, along with (i) </w:t>
      </w:r>
      <w:r w:rsidRPr="006737AF">
        <w:rPr>
          <w:u w:val="single"/>
        </w:rPr>
        <w:t xml:space="preserve">the complaint type that </w:t>
      </w:r>
      <w:r>
        <w:rPr>
          <w:u w:val="single"/>
        </w:rPr>
        <w:t>each</w:t>
      </w:r>
      <w:r w:rsidRPr="006737AF">
        <w:rPr>
          <w:u w:val="single"/>
        </w:rPr>
        <w:t xml:space="preserve"> local law added, </w:t>
      </w:r>
      <w:r>
        <w:rPr>
          <w:u w:val="single"/>
        </w:rPr>
        <w:t>(ii) when</w:t>
      </w:r>
      <w:r w:rsidRPr="006737AF">
        <w:rPr>
          <w:u w:val="single"/>
        </w:rPr>
        <w:t xml:space="preserve"> such complaint type was added to the 311 customer service center website and mobile device platforms </w:t>
      </w:r>
      <w:r>
        <w:rPr>
          <w:u w:val="single"/>
        </w:rPr>
        <w:t>and (iii) an explanation of any delays, if applicable, in adding the complaint type to the 311 customer service center website and mobile device platforms</w:t>
      </w:r>
      <w:r w:rsidRPr="006737AF">
        <w:rPr>
          <w:u w:val="single"/>
        </w:rPr>
        <w:t>; and</w:t>
      </w:r>
    </w:p>
    <w:p w14:paraId="5775E44E" w14:textId="77777777" w:rsidR="00D80ADA" w:rsidRPr="006737AF" w:rsidRDefault="00D80ADA" w:rsidP="00122C26">
      <w:pPr>
        <w:keepNext/>
        <w:spacing w:line="480" w:lineRule="auto"/>
        <w:ind w:firstLine="720"/>
        <w:jc w:val="both"/>
        <w:rPr>
          <w:u w:val="single"/>
        </w:rPr>
      </w:pPr>
      <w:r w:rsidRPr="006737AF">
        <w:rPr>
          <w:u w:val="single"/>
        </w:rPr>
        <w:t xml:space="preserve">3. Any challenges that the department of information technology and telecommunications faced in timely updating the complaint types on the 311 customer service center website and mobile device platforms and </w:t>
      </w:r>
      <w:r>
        <w:rPr>
          <w:u w:val="single"/>
        </w:rPr>
        <w:t>any</w:t>
      </w:r>
      <w:r w:rsidRPr="006737AF">
        <w:rPr>
          <w:u w:val="single"/>
        </w:rPr>
        <w:t xml:space="preserve"> efforts to address such challenges.</w:t>
      </w:r>
    </w:p>
    <w:p w14:paraId="73740C13" w14:textId="313EC663" w:rsidR="00D80ADA" w:rsidRDefault="00D80ADA" w:rsidP="00122C26">
      <w:pPr>
        <w:keepNext/>
        <w:spacing w:line="480" w:lineRule="auto"/>
        <w:ind w:firstLine="720"/>
        <w:jc w:val="both"/>
        <w:rPr>
          <w:rFonts w:eastAsia="Times New Roman"/>
          <w:sz w:val="18"/>
          <w:szCs w:val="18"/>
        </w:rPr>
      </w:pPr>
      <w:r w:rsidRPr="006737AF">
        <w:t xml:space="preserve">§ 2. This local law takes effect </w:t>
      </w:r>
      <w:r w:rsidRPr="003E18A3">
        <w:rPr>
          <w:rStyle w:val="CommentReference"/>
        </w:rPr>
        <w:t>60</w:t>
      </w:r>
      <w:r w:rsidRPr="006737AF">
        <w:t xml:space="preserve"> </w:t>
      </w:r>
      <w:r w:rsidRPr="006737AF">
        <w:rPr>
          <w:rFonts w:eastAsia="Times New Roman"/>
          <w:snapToGrid w:val="0"/>
        </w:rPr>
        <w:t>days after it becomes law.</w:t>
      </w:r>
      <w:r w:rsidR="00122C26">
        <w:rPr>
          <w:rFonts w:eastAsia="Times New Roman"/>
          <w:snapToGrid w:val="0"/>
        </w:rPr>
        <w:t xml:space="preserve"> </w:t>
      </w:r>
    </w:p>
    <w:p w14:paraId="48F24130" w14:textId="2ED49386" w:rsidR="00D80ADA" w:rsidRDefault="00D80ADA" w:rsidP="00122C26">
      <w:pPr>
        <w:keepNext/>
        <w:jc w:val="both"/>
        <w:rPr>
          <w:rFonts w:eastAsia="Times New Roman"/>
          <w:sz w:val="18"/>
          <w:szCs w:val="18"/>
        </w:rPr>
      </w:pPr>
    </w:p>
    <w:p w14:paraId="2C2C4E54" w14:textId="77777777" w:rsidR="00122C26" w:rsidRDefault="00122C26" w:rsidP="00122C26">
      <w:pPr>
        <w:keepNext/>
        <w:jc w:val="both"/>
        <w:rPr>
          <w:rFonts w:eastAsia="Times New Roman"/>
          <w:sz w:val="18"/>
          <w:szCs w:val="18"/>
        </w:rPr>
      </w:pPr>
    </w:p>
    <w:p w14:paraId="10BBA356" w14:textId="77777777" w:rsidR="00D80ADA" w:rsidRDefault="00D80ADA" w:rsidP="00122C26">
      <w:pPr>
        <w:keepNext/>
        <w:jc w:val="both"/>
        <w:rPr>
          <w:sz w:val="18"/>
          <w:szCs w:val="18"/>
        </w:rPr>
      </w:pPr>
      <w:r>
        <w:rPr>
          <w:sz w:val="18"/>
          <w:szCs w:val="18"/>
          <w:u w:val="single"/>
        </w:rPr>
        <w:t>Session 12</w:t>
      </w:r>
    </w:p>
    <w:p w14:paraId="0975C601" w14:textId="77777777" w:rsidR="00D80ADA" w:rsidRDefault="00D80ADA" w:rsidP="00122C26">
      <w:pPr>
        <w:keepNext/>
        <w:jc w:val="both"/>
        <w:rPr>
          <w:sz w:val="18"/>
          <w:szCs w:val="18"/>
        </w:rPr>
      </w:pPr>
      <w:r>
        <w:rPr>
          <w:sz w:val="18"/>
          <w:szCs w:val="18"/>
        </w:rPr>
        <w:t>BG</w:t>
      </w:r>
    </w:p>
    <w:p w14:paraId="0639CAD7" w14:textId="77777777" w:rsidR="00D80ADA" w:rsidRDefault="00D80ADA" w:rsidP="00122C26">
      <w:pPr>
        <w:keepNext/>
        <w:jc w:val="both"/>
        <w:rPr>
          <w:sz w:val="18"/>
          <w:szCs w:val="18"/>
        </w:rPr>
      </w:pPr>
      <w:r>
        <w:rPr>
          <w:sz w:val="18"/>
          <w:szCs w:val="18"/>
        </w:rPr>
        <w:t>LS #8578</w:t>
      </w:r>
    </w:p>
    <w:p w14:paraId="72274F9A" w14:textId="77777777" w:rsidR="00D80ADA" w:rsidRDefault="00D80ADA" w:rsidP="00122C26">
      <w:pPr>
        <w:keepNext/>
        <w:jc w:val="both"/>
        <w:rPr>
          <w:sz w:val="18"/>
          <w:szCs w:val="18"/>
        </w:rPr>
      </w:pPr>
      <w:r>
        <w:rPr>
          <w:sz w:val="18"/>
          <w:szCs w:val="18"/>
        </w:rPr>
        <w:t>4/14/22</w:t>
      </w:r>
    </w:p>
    <w:p w14:paraId="6925BB4F" w14:textId="77777777" w:rsidR="00D80ADA" w:rsidRDefault="00D80ADA" w:rsidP="00122C26">
      <w:pPr>
        <w:keepNext/>
        <w:jc w:val="both"/>
        <w:rPr>
          <w:sz w:val="18"/>
          <w:szCs w:val="18"/>
        </w:rPr>
      </w:pPr>
    </w:p>
    <w:p w14:paraId="678FA2FC" w14:textId="77777777" w:rsidR="00D80ADA" w:rsidRPr="002D6802" w:rsidRDefault="00D80ADA" w:rsidP="00122C26">
      <w:pPr>
        <w:keepNext/>
        <w:jc w:val="both"/>
        <w:rPr>
          <w:sz w:val="18"/>
          <w:szCs w:val="18"/>
          <w:u w:val="single"/>
        </w:rPr>
      </w:pPr>
      <w:r>
        <w:rPr>
          <w:sz w:val="18"/>
          <w:szCs w:val="18"/>
          <w:u w:val="single"/>
        </w:rPr>
        <w:t>Session 11</w:t>
      </w:r>
    </w:p>
    <w:p w14:paraId="0C6C7CDC" w14:textId="77777777" w:rsidR="00D80ADA" w:rsidRPr="00113522" w:rsidRDefault="00D80ADA" w:rsidP="00122C26">
      <w:pPr>
        <w:keepNext/>
        <w:jc w:val="both"/>
        <w:rPr>
          <w:rFonts w:eastAsia="Times New Roman"/>
          <w:sz w:val="18"/>
          <w:szCs w:val="18"/>
        </w:rPr>
      </w:pPr>
      <w:r w:rsidRPr="00113522">
        <w:rPr>
          <w:rFonts w:eastAsia="Times New Roman"/>
          <w:sz w:val="18"/>
          <w:szCs w:val="18"/>
        </w:rPr>
        <w:t>NLB</w:t>
      </w:r>
    </w:p>
    <w:p w14:paraId="38FEB932" w14:textId="77777777" w:rsidR="00D80ADA" w:rsidRPr="00113522" w:rsidRDefault="00D80ADA" w:rsidP="00122C26">
      <w:pPr>
        <w:keepNext/>
        <w:tabs>
          <w:tab w:val="left" w:pos="6465"/>
        </w:tabs>
        <w:jc w:val="both"/>
        <w:rPr>
          <w:rFonts w:eastAsia="Times New Roman"/>
          <w:sz w:val="18"/>
          <w:szCs w:val="18"/>
        </w:rPr>
      </w:pPr>
      <w:r>
        <w:rPr>
          <w:rFonts w:eastAsia="Times New Roman"/>
          <w:sz w:val="18"/>
          <w:szCs w:val="18"/>
        </w:rPr>
        <w:t>LS #13404</w:t>
      </w:r>
      <w:r>
        <w:rPr>
          <w:rFonts w:eastAsia="Times New Roman"/>
          <w:sz w:val="18"/>
          <w:szCs w:val="18"/>
        </w:rPr>
        <w:tab/>
      </w:r>
    </w:p>
    <w:p w14:paraId="1F1392A0" w14:textId="77777777" w:rsidR="00D80ADA" w:rsidRDefault="00D80ADA" w:rsidP="00122C26">
      <w:pPr>
        <w:keepNext/>
        <w:rPr>
          <w:rFonts w:eastAsia="Times New Roman"/>
          <w:sz w:val="18"/>
          <w:szCs w:val="18"/>
        </w:rPr>
      </w:pPr>
      <w:r>
        <w:rPr>
          <w:rFonts w:eastAsia="Times New Roman"/>
          <w:sz w:val="18"/>
          <w:szCs w:val="18"/>
        </w:rPr>
        <w:t>Int. 2303-2021</w:t>
      </w:r>
    </w:p>
    <w:p w14:paraId="4CECC756" w14:textId="14C14590" w:rsidR="00122C26" w:rsidRDefault="00122C26">
      <w:pPr>
        <w:spacing w:after="160" w:line="259" w:lineRule="auto"/>
      </w:pPr>
      <w:r>
        <w:br w:type="page"/>
      </w:r>
    </w:p>
    <w:p w14:paraId="56AE0172" w14:textId="77777777" w:rsidR="00122C26" w:rsidRDefault="00122C26" w:rsidP="00122C26">
      <w:pPr>
        <w:widowControl w:val="0"/>
        <w:suppressLineNumbers/>
        <w:autoSpaceDE w:val="0"/>
        <w:autoSpaceDN w:val="0"/>
        <w:adjustRightInd w:val="0"/>
        <w:spacing w:line="480" w:lineRule="auto"/>
        <w:jc w:val="center"/>
      </w:pPr>
      <w:r>
        <w:t>Int. No. 296</w:t>
      </w:r>
    </w:p>
    <w:p w14:paraId="6C7A564B" w14:textId="77777777" w:rsidR="00122C26" w:rsidRDefault="00122C26" w:rsidP="00122C26">
      <w:pPr>
        <w:widowControl w:val="0"/>
        <w:suppressLineNumbers/>
        <w:autoSpaceDE w:val="0"/>
        <w:autoSpaceDN w:val="0"/>
        <w:adjustRightInd w:val="0"/>
      </w:pPr>
      <w:r>
        <w:t>By Council Members Ung, Hanif, Brewer, Stevens, Velázquez, Williams, Yeger, Farías, Restler, Abreu, Krishnan, Nurse and Louis</w:t>
      </w:r>
    </w:p>
    <w:p w14:paraId="2C4D59F5" w14:textId="77777777" w:rsidR="00122C26" w:rsidRDefault="00122C26" w:rsidP="00122C26">
      <w:pPr>
        <w:widowControl w:val="0"/>
        <w:suppressLineNumbers/>
        <w:autoSpaceDE w:val="0"/>
        <w:autoSpaceDN w:val="0"/>
        <w:adjustRightInd w:val="0"/>
      </w:pPr>
    </w:p>
    <w:p w14:paraId="2E80D642" w14:textId="77777777" w:rsidR="00122C26" w:rsidRDefault="00122C26" w:rsidP="00122C26">
      <w:pPr>
        <w:widowControl w:val="0"/>
        <w:suppressLineNumbers/>
        <w:autoSpaceDE w:val="0"/>
        <w:autoSpaceDN w:val="0"/>
        <w:adjustRightInd w:val="0"/>
        <w:jc w:val="both"/>
        <w:rPr>
          <w:vanish/>
        </w:rPr>
      </w:pPr>
      <w:r>
        <w:rPr>
          <w:vanish/>
        </w:rPr>
        <w:t>..Title</w:t>
      </w:r>
    </w:p>
    <w:p w14:paraId="1FA87C0B" w14:textId="77777777" w:rsidR="00122C26" w:rsidRDefault="00122C26" w:rsidP="00122C26">
      <w:pPr>
        <w:widowControl w:val="0"/>
        <w:suppressLineNumbers/>
        <w:autoSpaceDE w:val="0"/>
        <w:autoSpaceDN w:val="0"/>
        <w:adjustRightInd w:val="0"/>
        <w:jc w:val="both"/>
      </w:pPr>
      <w:r>
        <w:t>A Local Law to amend the administrative code of the city of New York, in relation to the identification of languages spoken by callers to the 311 customer service center</w:t>
      </w:r>
    </w:p>
    <w:p w14:paraId="1DAB7236" w14:textId="77777777" w:rsidR="00122C26" w:rsidRDefault="00122C26" w:rsidP="00122C26">
      <w:pPr>
        <w:widowControl w:val="0"/>
        <w:suppressLineNumbers/>
        <w:autoSpaceDE w:val="0"/>
        <w:autoSpaceDN w:val="0"/>
        <w:adjustRightInd w:val="0"/>
        <w:jc w:val="both"/>
        <w:rPr>
          <w:vanish/>
        </w:rPr>
      </w:pPr>
      <w:r>
        <w:rPr>
          <w:vanish/>
        </w:rPr>
        <w:t>..Body</w:t>
      </w:r>
    </w:p>
    <w:p w14:paraId="55494EA4" w14:textId="77777777" w:rsidR="00122C26" w:rsidRDefault="00122C26" w:rsidP="00122C26">
      <w:pPr>
        <w:widowControl w:val="0"/>
        <w:suppressLineNumbers/>
        <w:autoSpaceDE w:val="0"/>
        <w:autoSpaceDN w:val="0"/>
        <w:adjustRightInd w:val="0"/>
        <w:jc w:val="both"/>
      </w:pPr>
    </w:p>
    <w:p w14:paraId="785ADF4A" w14:textId="77777777" w:rsidR="00122C26" w:rsidRDefault="00122C26" w:rsidP="00122C26">
      <w:pPr>
        <w:widowControl w:val="0"/>
        <w:suppressLineNumbers/>
        <w:autoSpaceDE w:val="0"/>
        <w:autoSpaceDN w:val="0"/>
        <w:adjustRightInd w:val="0"/>
        <w:spacing w:line="480" w:lineRule="auto"/>
        <w:jc w:val="both"/>
      </w:pPr>
      <w:r>
        <w:rPr>
          <w:u w:val="single"/>
        </w:rPr>
        <w:t>Be it enacted by the Council as follows</w:t>
      </w:r>
      <w:r>
        <w:t>:</w:t>
      </w:r>
    </w:p>
    <w:p w14:paraId="5135016F" w14:textId="77777777" w:rsidR="00122C26" w:rsidRDefault="00122C26" w:rsidP="00122C26">
      <w:pPr>
        <w:spacing w:line="480" w:lineRule="auto"/>
        <w:jc w:val="both"/>
      </w:pPr>
      <w:r>
        <w:tab/>
        <w:t>Section 1. Chapter 3 of title 23 of the administrative code of the city of New York is amended to add a new section 23-308 to read as follows:</w:t>
      </w:r>
    </w:p>
    <w:p w14:paraId="7984DA5C" w14:textId="77777777" w:rsidR="00122C26" w:rsidRPr="00EC57C8" w:rsidRDefault="00122C26" w:rsidP="00122C26">
      <w:pPr>
        <w:spacing w:line="480" w:lineRule="auto"/>
        <w:ind w:firstLine="720"/>
        <w:jc w:val="both"/>
        <w:rPr>
          <w:u w:val="single"/>
        </w:rPr>
      </w:pPr>
      <w:r w:rsidRPr="00EC57C8">
        <w:rPr>
          <w:u w:val="single"/>
        </w:rPr>
        <w:t xml:space="preserve">§ </w:t>
      </w:r>
      <w:r>
        <w:rPr>
          <w:u w:val="single"/>
        </w:rPr>
        <w:t>23</w:t>
      </w:r>
      <w:r w:rsidRPr="00EC57C8">
        <w:rPr>
          <w:u w:val="single"/>
        </w:rPr>
        <w:t>-</w:t>
      </w:r>
      <w:r>
        <w:rPr>
          <w:u w:val="single"/>
        </w:rPr>
        <w:t>308</w:t>
      </w:r>
      <w:r w:rsidRPr="00EC57C8">
        <w:rPr>
          <w:u w:val="single"/>
        </w:rPr>
        <w:t xml:space="preserve"> </w:t>
      </w:r>
      <w:r>
        <w:rPr>
          <w:u w:val="single"/>
        </w:rPr>
        <w:t>Identification of spoken language</w:t>
      </w:r>
      <w:r w:rsidRPr="00EC57C8">
        <w:rPr>
          <w:u w:val="single"/>
        </w:rPr>
        <w:t xml:space="preserve">. </w:t>
      </w:r>
      <w:r>
        <w:rPr>
          <w:u w:val="single"/>
        </w:rPr>
        <w:t>a. The 311 customer service center shall implement a protocol for identifying the language spoken by a telephone caller to the 311 customer service center.</w:t>
      </w:r>
    </w:p>
    <w:p w14:paraId="78B9EFDB" w14:textId="77777777" w:rsidR="00122C26" w:rsidRDefault="00122C26" w:rsidP="00122C26">
      <w:pPr>
        <w:spacing w:line="480" w:lineRule="auto"/>
        <w:ind w:firstLine="720"/>
        <w:jc w:val="both"/>
        <w:rPr>
          <w:u w:val="single"/>
        </w:rPr>
      </w:pPr>
      <w:r w:rsidRPr="00EC57C8">
        <w:rPr>
          <w:u w:val="single"/>
        </w:rPr>
        <w:t xml:space="preserve">b. </w:t>
      </w:r>
      <w:r>
        <w:rPr>
          <w:u w:val="single"/>
        </w:rPr>
        <w:t>Such protocol shall include the use of automated language recognition software to assist in the identification, either for an automated message system or for the call taker, of the language possibly spoken by the caller.</w:t>
      </w:r>
    </w:p>
    <w:p w14:paraId="1033AF41" w14:textId="77777777" w:rsidR="00122C26" w:rsidRPr="00EC57C8" w:rsidRDefault="00122C26" w:rsidP="00122C26">
      <w:pPr>
        <w:spacing w:line="480" w:lineRule="auto"/>
        <w:ind w:firstLine="720"/>
        <w:jc w:val="both"/>
        <w:rPr>
          <w:u w:val="single"/>
        </w:rPr>
      </w:pPr>
      <w:r>
        <w:rPr>
          <w:u w:val="single"/>
        </w:rPr>
        <w:t>c. The 311 customer service center shall examine every call that disconnects during the process of identifying the caller’s language without having completed such process, determine the cause of such disconnection, and implement remedies for such disconnections where appropriate to ensure that callers to the 311 system in any language are properly addressed. By January 30 of each year, the department of information technology and telecommunications shall submit to the council and post on its website a report summarizing such causes and remedies.</w:t>
      </w:r>
    </w:p>
    <w:p w14:paraId="68421FCD" w14:textId="3F47AE1E" w:rsidR="00122C26" w:rsidRPr="00122C26" w:rsidRDefault="00122C26" w:rsidP="00122C26">
      <w:pPr>
        <w:widowControl w:val="0"/>
        <w:autoSpaceDE w:val="0"/>
        <w:autoSpaceDN w:val="0"/>
        <w:adjustRightInd w:val="0"/>
        <w:spacing w:line="480" w:lineRule="auto"/>
        <w:ind w:firstLine="720"/>
        <w:jc w:val="both"/>
        <w:rPr>
          <w:color w:val="000000"/>
        </w:rPr>
      </w:pPr>
      <w:r>
        <w:rPr>
          <w:color w:val="000000"/>
        </w:rPr>
        <w:t>§ 2.</w:t>
      </w:r>
      <w:r>
        <w:t xml:space="preserve"> </w:t>
      </w:r>
      <w:r w:rsidRPr="00A5473F">
        <w:t>This local law take</w:t>
      </w:r>
      <w:r>
        <w:t>s</w:t>
      </w:r>
      <w:r w:rsidRPr="00A5473F">
        <w:t xml:space="preserve"> </w:t>
      </w:r>
      <w:r>
        <w:t>effect 1 year after it becomes law</w:t>
      </w:r>
      <w:r w:rsidRPr="00A5473F">
        <w:t>.</w:t>
      </w:r>
    </w:p>
    <w:p w14:paraId="4BCAE7D2" w14:textId="77777777" w:rsidR="00122C26" w:rsidRDefault="00122C26" w:rsidP="00122C26">
      <w:pPr>
        <w:widowControl w:val="0"/>
        <w:suppressLineNumbers/>
        <w:autoSpaceDE w:val="0"/>
        <w:autoSpaceDN w:val="0"/>
        <w:adjustRightInd w:val="0"/>
        <w:rPr>
          <w:color w:val="000000"/>
          <w:sz w:val="20"/>
          <w:szCs w:val="20"/>
          <w:u w:val="single"/>
        </w:rPr>
      </w:pPr>
      <w:r>
        <w:rPr>
          <w:color w:val="000000"/>
          <w:sz w:val="20"/>
          <w:szCs w:val="20"/>
          <w:u w:val="single"/>
        </w:rPr>
        <w:t>Session 12</w:t>
      </w:r>
    </w:p>
    <w:p w14:paraId="422C2FCB" w14:textId="77777777" w:rsidR="00122C26" w:rsidRDefault="00122C26" w:rsidP="00122C26">
      <w:pPr>
        <w:widowControl w:val="0"/>
        <w:suppressLineNumbers/>
        <w:autoSpaceDE w:val="0"/>
        <w:autoSpaceDN w:val="0"/>
        <w:adjustRightInd w:val="0"/>
        <w:rPr>
          <w:color w:val="000000"/>
          <w:sz w:val="20"/>
          <w:szCs w:val="20"/>
        </w:rPr>
      </w:pPr>
      <w:r>
        <w:rPr>
          <w:color w:val="000000"/>
          <w:sz w:val="20"/>
          <w:szCs w:val="20"/>
        </w:rPr>
        <w:t>AV</w:t>
      </w:r>
    </w:p>
    <w:p w14:paraId="343243AE" w14:textId="77777777" w:rsidR="00122C26" w:rsidRDefault="00122C26" w:rsidP="00122C26">
      <w:pPr>
        <w:widowControl w:val="0"/>
        <w:suppressLineNumbers/>
        <w:autoSpaceDE w:val="0"/>
        <w:autoSpaceDN w:val="0"/>
        <w:adjustRightInd w:val="0"/>
        <w:rPr>
          <w:color w:val="000000"/>
          <w:sz w:val="20"/>
          <w:szCs w:val="20"/>
        </w:rPr>
      </w:pPr>
      <w:r>
        <w:rPr>
          <w:color w:val="000000"/>
          <w:sz w:val="20"/>
          <w:szCs w:val="20"/>
        </w:rPr>
        <w:t>LS 8680</w:t>
      </w:r>
    </w:p>
    <w:p w14:paraId="075B4840" w14:textId="77777777" w:rsidR="00122C26" w:rsidRDefault="00122C26" w:rsidP="00122C26">
      <w:pPr>
        <w:widowControl w:val="0"/>
        <w:suppressLineNumbers/>
        <w:autoSpaceDE w:val="0"/>
        <w:autoSpaceDN w:val="0"/>
        <w:adjustRightInd w:val="0"/>
        <w:rPr>
          <w:color w:val="000000"/>
          <w:sz w:val="20"/>
          <w:szCs w:val="20"/>
        </w:rPr>
      </w:pPr>
      <w:r>
        <w:rPr>
          <w:color w:val="000000"/>
          <w:sz w:val="20"/>
          <w:szCs w:val="20"/>
        </w:rPr>
        <w:t>4/8/22</w:t>
      </w:r>
    </w:p>
    <w:p w14:paraId="53EF7127" w14:textId="77777777" w:rsidR="00122C26" w:rsidRPr="002B6AB1" w:rsidRDefault="00122C26" w:rsidP="00122C26">
      <w:pPr>
        <w:widowControl w:val="0"/>
        <w:suppressLineNumbers/>
        <w:autoSpaceDE w:val="0"/>
        <w:autoSpaceDN w:val="0"/>
        <w:adjustRightInd w:val="0"/>
        <w:rPr>
          <w:color w:val="000000"/>
          <w:sz w:val="20"/>
          <w:szCs w:val="20"/>
        </w:rPr>
      </w:pPr>
    </w:p>
    <w:p w14:paraId="23D4BDF6" w14:textId="77777777" w:rsidR="00122C26" w:rsidRPr="00B074A5" w:rsidRDefault="00122C26" w:rsidP="00122C26">
      <w:pPr>
        <w:widowControl w:val="0"/>
        <w:suppressLineNumbers/>
        <w:autoSpaceDE w:val="0"/>
        <w:autoSpaceDN w:val="0"/>
        <w:adjustRightInd w:val="0"/>
        <w:rPr>
          <w:color w:val="000000"/>
          <w:sz w:val="20"/>
          <w:szCs w:val="20"/>
          <w:u w:val="single"/>
        </w:rPr>
      </w:pPr>
      <w:r>
        <w:rPr>
          <w:color w:val="000000"/>
          <w:sz w:val="20"/>
          <w:szCs w:val="20"/>
          <w:u w:val="single"/>
        </w:rPr>
        <w:t>Session 11</w:t>
      </w:r>
    </w:p>
    <w:p w14:paraId="33884336" w14:textId="77777777" w:rsidR="00122C26" w:rsidRPr="00145242" w:rsidRDefault="00122C26" w:rsidP="00122C26">
      <w:pPr>
        <w:widowControl w:val="0"/>
        <w:suppressLineNumbers/>
        <w:autoSpaceDE w:val="0"/>
        <w:autoSpaceDN w:val="0"/>
        <w:adjustRightInd w:val="0"/>
        <w:rPr>
          <w:color w:val="000000"/>
          <w:sz w:val="20"/>
          <w:szCs w:val="20"/>
        </w:rPr>
      </w:pPr>
      <w:r w:rsidRPr="00145242">
        <w:rPr>
          <w:color w:val="000000"/>
          <w:sz w:val="20"/>
          <w:szCs w:val="20"/>
        </w:rPr>
        <w:t>BJR</w:t>
      </w:r>
    </w:p>
    <w:p w14:paraId="0D8734FA" w14:textId="77777777" w:rsidR="00122C26" w:rsidRPr="00145242" w:rsidRDefault="00122C26" w:rsidP="00122C26">
      <w:pPr>
        <w:widowControl w:val="0"/>
        <w:suppressLineNumbers/>
        <w:autoSpaceDE w:val="0"/>
        <w:autoSpaceDN w:val="0"/>
        <w:adjustRightInd w:val="0"/>
        <w:rPr>
          <w:color w:val="000000"/>
          <w:sz w:val="20"/>
          <w:szCs w:val="20"/>
        </w:rPr>
      </w:pPr>
      <w:r w:rsidRPr="00145242">
        <w:rPr>
          <w:color w:val="000000"/>
          <w:sz w:val="20"/>
          <w:szCs w:val="20"/>
        </w:rPr>
        <w:t>LS 8859</w:t>
      </w:r>
    </w:p>
    <w:p w14:paraId="170823CE" w14:textId="77777777" w:rsidR="00122C26" w:rsidRDefault="00122C26" w:rsidP="00122C26">
      <w:pPr>
        <w:widowControl w:val="0"/>
        <w:suppressLineNumbers/>
        <w:autoSpaceDE w:val="0"/>
        <w:autoSpaceDN w:val="0"/>
        <w:adjustRightInd w:val="0"/>
        <w:rPr>
          <w:color w:val="000000"/>
          <w:sz w:val="20"/>
          <w:szCs w:val="20"/>
        </w:rPr>
      </w:pPr>
      <w:r>
        <w:rPr>
          <w:color w:val="000000"/>
          <w:sz w:val="20"/>
          <w:szCs w:val="20"/>
        </w:rPr>
        <w:t>Int. 1328-2019</w:t>
      </w:r>
    </w:p>
    <w:p w14:paraId="7EA43607" w14:textId="77777777" w:rsidR="00122C26" w:rsidRDefault="00122C26">
      <w:pPr>
        <w:spacing w:after="160" w:line="259" w:lineRule="auto"/>
      </w:pPr>
      <w:r>
        <w:br w:type="page"/>
      </w:r>
    </w:p>
    <w:p w14:paraId="4EF62EBA" w14:textId="77777777" w:rsidR="00690766" w:rsidRDefault="00690766" w:rsidP="00690766">
      <w:pPr>
        <w:jc w:val="center"/>
      </w:pPr>
      <w:r w:rsidRPr="000529EA">
        <w:t>Res. No</w:t>
      </w:r>
      <w:r>
        <w:t>. 68</w:t>
      </w:r>
    </w:p>
    <w:p w14:paraId="556B6C1D" w14:textId="77777777" w:rsidR="00690766" w:rsidRDefault="00690766" w:rsidP="00690766"/>
    <w:p w14:paraId="151F6682" w14:textId="77777777" w:rsidR="00690766" w:rsidRPr="00280880" w:rsidRDefault="00690766" w:rsidP="00690766">
      <w:pPr>
        <w:rPr>
          <w:vanish/>
        </w:rPr>
      </w:pPr>
      <w:r w:rsidRPr="00280880">
        <w:rPr>
          <w:vanish/>
        </w:rPr>
        <w:t>..Title</w:t>
      </w:r>
    </w:p>
    <w:p w14:paraId="70AC5820" w14:textId="77777777" w:rsidR="00690766" w:rsidRDefault="00690766" w:rsidP="00690766">
      <w:r w:rsidRPr="000529EA">
        <w:t xml:space="preserve">Resolution </w:t>
      </w:r>
      <w:r>
        <w:t>calling upon</w:t>
      </w:r>
      <w:r w:rsidRPr="004866EA">
        <w:t xml:space="preserve"> the N</w:t>
      </w:r>
      <w:r>
        <w:t xml:space="preserve">ew </w:t>
      </w:r>
      <w:r w:rsidRPr="004866EA">
        <w:t>Y</w:t>
      </w:r>
      <w:r>
        <w:t xml:space="preserve">ork </w:t>
      </w:r>
      <w:r w:rsidRPr="004866EA">
        <w:t>S</w:t>
      </w:r>
      <w:r>
        <w:t>tate</w:t>
      </w:r>
      <w:r w:rsidRPr="004866EA">
        <w:t xml:space="preserve"> Legislature and U.S. Department of Housing &amp; Urban Development to take strong action and increase NYCHA accountability by </w:t>
      </w:r>
      <w:r>
        <w:t>auditing</w:t>
      </w:r>
      <w:r w:rsidRPr="004866EA">
        <w:t xml:space="preserve"> the </w:t>
      </w:r>
      <w:r>
        <w:t>responsiveness</w:t>
      </w:r>
      <w:r w:rsidRPr="004866EA">
        <w:t xml:space="preserve"> </w:t>
      </w:r>
      <w:r>
        <w:t>of</w:t>
      </w:r>
      <w:r w:rsidRPr="004866EA">
        <w:t xml:space="preserve"> NYCHA managers to tenants.</w:t>
      </w:r>
    </w:p>
    <w:p w14:paraId="1EBDA7BB" w14:textId="77777777" w:rsidR="00690766" w:rsidRPr="00280880" w:rsidRDefault="00690766" w:rsidP="00690766">
      <w:pPr>
        <w:rPr>
          <w:vanish/>
        </w:rPr>
      </w:pPr>
      <w:r w:rsidRPr="00280880">
        <w:rPr>
          <w:vanish/>
        </w:rPr>
        <w:t>..Body</w:t>
      </w:r>
    </w:p>
    <w:p w14:paraId="6CD87E2F" w14:textId="77777777" w:rsidR="00690766" w:rsidRDefault="00690766" w:rsidP="00690766"/>
    <w:p w14:paraId="486DB554" w14:textId="77777777" w:rsidR="00690766" w:rsidRDefault="00690766" w:rsidP="00690766">
      <w:pPr>
        <w:autoSpaceDE w:val="0"/>
        <w:autoSpaceDN w:val="0"/>
        <w:adjustRightInd w:val="0"/>
      </w:pPr>
      <w:r>
        <w:t>By Council Members Kagan, Farias, Ossé, Louis, Stevens, Hanif, Cabán, Brewer, Won, Restler, Hanks and Avilés</w:t>
      </w:r>
    </w:p>
    <w:p w14:paraId="33D232DB" w14:textId="77777777" w:rsidR="00690766" w:rsidRDefault="00690766" w:rsidP="00690766"/>
    <w:p w14:paraId="21F5BF25" w14:textId="77777777" w:rsidR="00690766" w:rsidRDefault="00690766" w:rsidP="00690766">
      <w:pPr>
        <w:spacing w:line="480" w:lineRule="auto"/>
        <w:ind w:firstLine="720"/>
        <w:jc w:val="both"/>
      </w:pPr>
      <w:r>
        <w:t xml:space="preserve">Whereas, </w:t>
      </w:r>
      <w:r w:rsidRPr="004866EA">
        <w:rPr>
          <w:rFonts w:eastAsia="Times New Roman"/>
          <w:color w:val="333333"/>
          <w:shd w:val="clear" w:color="auto" w:fill="FFFFFF"/>
        </w:rPr>
        <w:t>The New York City Housing Authority (NYCHA)</w:t>
      </w:r>
      <w:r>
        <w:rPr>
          <w:rFonts w:eastAsia="Times New Roman"/>
          <w:color w:val="333333"/>
          <w:shd w:val="clear" w:color="auto" w:fill="FFFFFF"/>
        </w:rPr>
        <w:t xml:space="preserve"> is </w:t>
      </w:r>
      <w:r w:rsidRPr="004866EA">
        <w:rPr>
          <w:rFonts w:eastAsia="Times New Roman"/>
          <w:color w:val="333333"/>
          <w:shd w:val="clear" w:color="auto" w:fill="FFFFFF"/>
        </w:rPr>
        <w:t xml:space="preserve">the largest public housing authority in North America, </w:t>
      </w:r>
      <w:r>
        <w:rPr>
          <w:rFonts w:eastAsia="Times New Roman"/>
          <w:color w:val="333333"/>
          <w:shd w:val="clear" w:color="auto" w:fill="FFFFFF"/>
        </w:rPr>
        <w:t>providing homes for over 6% of New York City residents or</w:t>
      </w:r>
      <w:r w:rsidRPr="004866EA">
        <w:rPr>
          <w:rFonts w:eastAsia="Times New Roman"/>
          <w:color w:val="333333"/>
          <w:shd w:val="clear" w:color="auto" w:fill="FFFFFF"/>
        </w:rPr>
        <w:t xml:space="preserve"> </w:t>
      </w:r>
      <w:r>
        <w:rPr>
          <w:rFonts w:eastAsia="Times New Roman"/>
          <w:color w:val="333333"/>
          <w:shd w:val="clear" w:color="auto" w:fill="FFFFFF"/>
        </w:rPr>
        <w:t>approximately 550,000 people,</w:t>
      </w:r>
      <w:r w:rsidRPr="004866EA">
        <w:rPr>
          <w:rFonts w:eastAsia="Times New Roman"/>
          <w:color w:val="333333"/>
          <w:shd w:val="clear" w:color="auto" w:fill="FFFFFF"/>
        </w:rPr>
        <w:t xml:space="preserve"> across 177,</w:t>
      </w:r>
      <w:r>
        <w:rPr>
          <w:rFonts w:eastAsia="Times New Roman"/>
          <w:color w:val="333333"/>
          <w:shd w:val="clear" w:color="auto" w:fill="FFFFFF"/>
        </w:rPr>
        <w:t>611</w:t>
      </w:r>
      <w:r w:rsidRPr="004866EA">
        <w:rPr>
          <w:rFonts w:eastAsia="Times New Roman"/>
          <w:color w:val="333333"/>
          <w:shd w:val="clear" w:color="auto" w:fill="FFFFFF"/>
        </w:rPr>
        <w:t xml:space="preserve"> apartments within 335 housing developments</w:t>
      </w:r>
      <w:r w:rsidRPr="004866EA">
        <w:t>; and</w:t>
      </w:r>
    </w:p>
    <w:p w14:paraId="6BB2C222" w14:textId="77777777" w:rsidR="00690766" w:rsidRDefault="00690766" w:rsidP="00690766">
      <w:pPr>
        <w:spacing w:line="480" w:lineRule="auto"/>
        <w:ind w:firstLine="720"/>
        <w:jc w:val="both"/>
      </w:pPr>
      <w:r>
        <w:t>Whereas,</w:t>
      </w:r>
      <w:r w:rsidRPr="004866EA">
        <w:rPr>
          <w:rFonts w:ascii="Roboto" w:eastAsia="Times New Roman" w:hAnsi="Roboto"/>
          <w:color w:val="333333"/>
          <w:shd w:val="clear" w:color="auto" w:fill="FFFFFF"/>
        </w:rPr>
        <w:t xml:space="preserve"> </w:t>
      </w:r>
      <w:r>
        <w:rPr>
          <w:rFonts w:eastAsia="Times New Roman"/>
          <w:color w:val="333333"/>
          <w:shd w:val="clear" w:color="auto" w:fill="FFFFFF"/>
        </w:rPr>
        <w:t>Formed</w:t>
      </w:r>
      <w:r w:rsidRPr="004866EA">
        <w:rPr>
          <w:rFonts w:eastAsia="Times New Roman"/>
          <w:color w:val="333333"/>
          <w:shd w:val="clear" w:color="auto" w:fill="FFFFFF"/>
        </w:rPr>
        <w:t xml:space="preserve"> in 1935</w:t>
      </w:r>
      <w:r>
        <w:rPr>
          <w:rFonts w:eastAsia="Times New Roman"/>
          <w:color w:val="333333"/>
          <w:shd w:val="clear" w:color="auto" w:fill="FFFFFF"/>
        </w:rPr>
        <w:t xml:space="preserve"> with a mission statement of</w:t>
      </w:r>
      <w:r w:rsidRPr="004866EA">
        <w:rPr>
          <w:rFonts w:eastAsia="Times New Roman"/>
          <w:color w:val="333333"/>
          <w:shd w:val="clear" w:color="auto" w:fill="FFFFFF"/>
        </w:rPr>
        <w:t xml:space="preserve"> provid</w:t>
      </w:r>
      <w:r>
        <w:rPr>
          <w:rFonts w:eastAsia="Times New Roman"/>
          <w:color w:val="333333"/>
          <w:shd w:val="clear" w:color="auto" w:fill="FFFFFF"/>
        </w:rPr>
        <w:t>ing</w:t>
      </w:r>
      <w:r w:rsidRPr="004866EA">
        <w:rPr>
          <w:rFonts w:eastAsia="Times New Roman"/>
          <w:color w:val="333333"/>
          <w:shd w:val="clear" w:color="auto" w:fill="FFFFFF"/>
        </w:rPr>
        <w:t xml:space="preserve"> decent, affordable housing for low- and moderate-income New Yorkers</w:t>
      </w:r>
      <w:r>
        <w:rPr>
          <w:rFonts w:ascii="Roboto" w:eastAsia="Times New Roman" w:hAnsi="Roboto"/>
          <w:color w:val="333333"/>
          <w:shd w:val="clear" w:color="auto" w:fill="FFFFFF"/>
        </w:rPr>
        <w:t xml:space="preserve">, </w:t>
      </w:r>
      <w:r w:rsidRPr="004866EA">
        <w:rPr>
          <w:rFonts w:eastAsia="Times New Roman"/>
          <w:color w:val="333333"/>
          <w:shd w:val="clear" w:color="auto" w:fill="FFFFFF"/>
        </w:rPr>
        <w:t>NYCHA has suffered</w:t>
      </w:r>
      <w:r>
        <w:rPr>
          <w:rFonts w:eastAsia="Times New Roman"/>
          <w:color w:val="333333"/>
          <w:shd w:val="clear" w:color="auto" w:fill="FFFFFF"/>
        </w:rPr>
        <w:t xml:space="preserve"> from decades of disinvestment at the Federal, State, and City level</w:t>
      </w:r>
      <w:r>
        <w:t xml:space="preserve">; and </w:t>
      </w:r>
    </w:p>
    <w:p w14:paraId="43CE8E6F" w14:textId="77777777" w:rsidR="00690766" w:rsidRPr="00EF1CAC" w:rsidRDefault="00690766" w:rsidP="00690766">
      <w:pPr>
        <w:spacing w:line="480" w:lineRule="auto"/>
        <w:ind w:firstLine="720"/>
        <w:jc w:val="both"/>
        <w:rPr>
          <w:rFonts w:eastAsia="Times New Roman"/>
        </w:rPr>
      </w:pPr>
      <w:r>
        <w:t xml:space="preserve">Whereas, In 2015, a New York State Comptroller’s audit found that </w:t>
      </w:r>
      <w:r w:rsidRPr="00EF1CAC">
        <w:rPr>
          <w:rFonts w:eastAsia="Times New Roman"/>
          <w:color w:val="212529"/>
          <w:shd w:val="clear" w:color="auto" w:fill="FFFFFF"/>
        </w:rPr>
        <w:t xml:space="preserve">NYCHA did not </w:t>
      </w:r>
      <w:r>
        <w:rPr>
          <w:rFonts w:eastAsia="Times New Roman"/>
          <w:color w:val="212529"/>
          <w:shd w:val="clear" w:color="auto" w:fill="FFFFFF"/>
        </w:rPr>
        <w:t xml:space="preserve">sufficiently </w:t>
      </w:r>
      <w:r w:rsidRPr="00EF1CAC">
        <w:rPr>
          <w:rFonts w:eastAsia="Times New Roman"/>
          <w:color w:val="212529"/>
          <w:shd w:val="clear" w:color="auto" w:fill="FFFFFF"/>
        </w:rPr>
        <w:t xml:space="preserve">ensure that </w:t>
      </w:r>
      <w:r>
        <w:rPr>
          <w:rFonts w:eastAsia="Times New Roman"/>
          <w:color w:val="212529"/>
          <w:shd w:val="clear" w:color="auto" w:fill="FFFFFF"/>
        </w:rPr>
        <w:t>work orders</w:t>
      </w:r>
      <w:r w:rsidRPr="00EF1CAC">
        <w:rPr>
          <w:rFonts w:eastAsia="Times New Roman"/>
          <w:color w:val="212529"/>
          <w:shd w:val="clear" w:color="auto" w:fill="FFFFFF"/>
        </w:rPr>
        <w:t xml:space="preserve"> were performed in a timely manner</w:t>
      </w:r>
      <w:r>
        <w:rPr>
          <w:rFonts w:eastAsia="Times New Roman"/>
          <w:color w:val="212529"/>
          <w:shd w:val="clear" w:color="auto" w:fill="FFFFFF"/>
        </w:rPr>
        <w:t xml:space="preserve">, </w:t>
      </w:r>
      <w:r w:rsidRPr="00EF1CAC">
        <w:rPr>
          <w:rFonts w:eastAsia="Times New Roman"/>
          <w:color w:val="212529"/>
          <w:shd w:val="clear" w:color="auto" w:fill="FFFFFF"/>
        </w:rPr>
        <w:t>did not establish time frames for or adequately track the completion</w:t>
      </w:r>
      <w:r>
        <w:rPr>
          <w:rFonts w:eastAsia="Times New Roman"/>
          <w:color w:val="212529"/>
          <w:shd w:val="clear" w:color="auto" w:fill="FFFFFF"/>
        </w:rPr>
        <w:t xml:space="preserve"> and closure of work orders, and did not sufficiently track whether residents were satisfied with the services provided, or considered their complaints to be resolved; and </w:t>
      </w:r>
    </w:p>
    <w:p w14:paraId="663B0A5E" w14:textId="77777777" w:rsidR="00690766" w:rsidRDefault="00690766" w:rsidP="00690766">
      <w:pPr>
        <w:spacing w:line="480" w:lineRule="auto"/>
        <w:ind w:firstLine="720"/>
        <w:jc w:val="both"/>
      </w:pPr>
      <w:r>
        <w:t xml:space="preserve">Whereas, A New York Daily News article published in July of 2018 outlined strategies NYCHA staff employed to close work orders without performing repairs, including forging tenant signatures on inspections that were never completed, and attempting to gain entry to units during periods tenants were least likely to be home; and </w:t>
      </w:r>
    </w:p>
    <w:p w14:paraId="0209B462" w14:textId="77777777" w:rsidR="00690766" w:rsidRDefault="00690766" w:rsidP="00690766">
      <w:pPr>
        <w:spacing w:line="480" w:lineRule="auto"/>
        <w:ind w:firstLine="720"/>
        <w:jc w:val="both"/>
      </w:pPr>
      <w:r>
        <w:t xml:space="preserve">Whereas, There have been numerous well publicized incidents of NYCHA staff certifying individual apartments and entire developments to be free from lead contamination without ever checking the vast majority of units; and </w:t>
      </w:r>
    </w:p>
    <w:p w14:paraId="4959CD39" w14:textId="77777777" w:rsidR="00690766" w:rsidRDefault="00690766" w:rsidP="00690766">
      <w:pPr>
        <w:spacing w:line="480" w:lineRule="auto"/>
        <w:ind w:firstLine="720"/>
        <w:jc w:val="both"/>
      </w:pPr>
      <w:r>
        <w:t xml:space="preserve">Whereas, In October of 2021, NYCHA staff at the Washington Houses in East Harlem were found to be falsifying the results of mold inspections in order to artificially reduce the number of abatements they would be required to perform; and </w:t>
      </w:r>
    </w:p>
    <w:p w14:paraId="1522D157" w14:textId="77777777" w:rsidR="00690766" w:rsidRDefault="00690766" w:rsidP="00690766">
      <w:pPr>
        <w:spacing w:line="480" w:lineRule="auto"/>
        <w:ind w:firstLine="720"/>
        <w:jc w:val="both"/>
      </w:pPr>
      <w:r>
        <w:t xml:space="preserve">Whereas, Residents have also brought attention to NYCHA staffers closing heat and hot water tickets without outages being resolved, and pest related tickets being closed after insufficient work, such as plastic bags being placed over holes through which vermin were entering apartments; and </w:t>
      </w:r>
    </w:p>
    <w:p w14:paraId="73C5A19D" w14:textId="77777777" w:rsidR="00690766" w:rsidRDefault="00690766" w:rsidP="00690766">
      <w:pPr>
        <w:spacing w:line="480" w:lineRule="auto"/>
        <w:ind w:firstLine="720"/>
        <w:jc w:val="both"/>
      </w:pPr>
      <w:r>
        <w:t xml:space="preserve">Whereas, Inadequate access to heat and hot water, and exposure to lead paint, mold, and pest issues can have severe deleterious long-term consequences for the health and wellbeing of NYCHA residents; and </w:t>
      </w:r>
    </w:p>
    <w:p w14:paraId="7FD5E7E9" w14:textId="77777777" w:rsidR="00690766" w:rsidRDefault="00690766" w:rsidP="00690766">
      <w:pPr>
        <w:spacing w:line="480" w:lineRule="auto"/>
        <w:ind w:firstLine="720"/>
        <w:jc w:val="both"/>
      </w:pPr>
      <w:r>
        <w:t xml:space="preserve">Whereas,  A process by which NYCHA property managers can receive disciplinary action such as reduced vacation time, fines, demotion, and </w:t>
      </w:r>
      <w:r w:rsidRPr="00EF1CAC">
        <w:rPr>
          <w:color w:val="000000" w:themeColor="text1"/>
        </w:rPr>
        <w:t>firing if tenants make multiple requests with no response or adequate resolution within six months</w:t>
      </w:r>
      <w:r>
        <w:rPr>
          <w:color w:val="000000" w:themeColor="text1"/>
        </w:rPr>
        <w:t>, would ensure on site staff are accountable to NYCHA residents, and disincentivize the closure of work tickets through dishonest means</w:t>
      </w:r>
      <w:r>
        <w:t>; now, therefore, be it</w:t>
      </w:r>
    </w:p>
    <w:p w14:paraId="4C2EDACB" w14:textId="77777777" w:rsidR="00690766" w:rsidRDefault="00690766" w:rsidP="00690766">
      <w:pPr>
        <w:spacing w:line="480" w:lineRule="auto"/>
        <w:jc w:val="both"/>
      </w:pPr>
      <w:r>
        <w:tab/>
        <w:t xml:space="preserve">Resolved, That the Council of the City of New York calls upon </w:t>
      </w:r>
      <w:r w:rsidRPr="004866EA">
        <w:t>the N</w:t>
      </w:r>
      <w:r>
        <w:t xml:space="preserve">ew </w:t>
      </w:r>
      <w:r w:rsidRPr="004866EA">
        <w:t>Y</w:t>
      </w:r>
      <w:r>
        <w:t xml:space="preserve">ork </w:t>
      </w:r>
      <w:r w:rsidRPr="004866EA">
        <w:t>S</w:t>
      </w:r>
      <w:r>
        <w:t>tate</w:t>
      </w:r>
      <w:r w:rsidRPr="004866EA">
        <w:t xml:space="preserve"> Legislature and U.S. Department of Housing &amp; Urban Development to take strong action and increase NYCHA accountability by </w:t>
      </w:r>
      <w:r>
        <w:t>auditing</w:t>
      </w:r>
      <w:r w:rsidRPr="004866EA">
        <w:t xml:space="preserve"> the </w:t>
      </w:r>
      <w:r>
        <w:t>responsiveness of</w:t>
      </w:r>
      <w:r w:rsidRPr="004866EA">
        <w:t xml:space="preserve"> NYCHA managers to tenants</w:t>
      </w:r>
      <w:r>
        <w:t>.</w:t>
      </w:r>
    </w:p>
    <w:p w14:paraId="3C8C6F0B" w14:textId="77777777" w:rsidR="00690766" w:rsidRDefault="00690766" w:rsidP="00690766">
      <w:pPr>
        <w:spacing w:line="480" w:lineRule="auto"/>
        <w:jc w:val="both"/>
      </w:pPr>
    </w:p>
    <w:p w14:paraId="728CD5E8" w14:textId="77777777" w:rsidR="00690766" w:rsidRPr="008F6E36" w:rsidRDefault="00690766" w:rsidP="00690766">
      <w:pPr>
        <w:jc w:val="both"/>
        <w:rPr>
          <w:sz w:val="18"/>
          <w:szCs w:val="18"/>
        </w:rPr>
      </w:pPr>
      <w:r w:rsidRPr="008F6E36">
        <w:rPr>
          <w:sz w:val="18"/>
          <w:szCs w:val="18"/>
        </w:rPr>
        <w:t>NRC</w:t>
      </w:r>
    </w:p>
    <w:p w14:paraId="1FF7081D" w14:textId="77777777" w:rsidR="00690766" w:rsidRPr="008F6E36" w:rsidRDefault="00690766" w:rsidP="00690766">
      <w:pPr>
        <w:jc w:val="both"/>
        <w:rPr>
          <w:sz w:val="18"/>
          <w:szCs w:val="18"/>
        </w:rPr>
      </w:pPr>
      <w:r w:rsidRPr="008F6E36">
        <w:rPr>
          <w:sz w:val="18"/>
          <w:szCs w:val="18"/>
        </w:rPr>
        <w:t>LS#</w:t>
      </w:r>
      <w:r>
        <w:rPr>
          <w:sz w:val="18"/>
          <w:szCs w:val="18"/>
        </w:rPr>
        <w:t>7</w:t>
      </w:r>
      <w:r w:rsidRPr="008F6E36">
        <w:rPr>
          <w:sz w:val="18"/>
          <w:szCs w:val="18"/>
        </w:rPr>
        <w:t>90</w:t>
      </w:r>
      <w:r>
        <w:rPr>
          <w:sz w:val="18"/>
          <w:szCs w:val="18"/>
        </w:rPr>
        <w:t>2</w:t>
      </w:r>
    </w:p>
    <w:p w14:paraId="62FF0A7D" w14:textId="77777777" w:rsidR="00690766" w:rsidRDefault="00690766" w:rsidP="00690766">
      <w:pPr>
        <w:spacing w:line="480" w:lineRule="auto"/>
        <w:jc w:val="both"/>
      </w:pPr>
      <w:r>
        <w:rPr>
          <w:sz w:val="18"/>
          <w:szCs w:val="18"/>
        </w:rPr>
        <w:t>3</w:t>
      </w:r>
      <w:r w:rsidRPr="008F6E36">
        <w:rPr>
          <w:sz w:val="18"/>
          <w:szCs w:val="18"/>
        </w:rPr>
        <w:t>/</w:t>
      </w:r>
      <w:r>
        <w:rPr>
          <w:sz w:val="18"/>
          <w:szCs w:val="18"/>
        </w:rPr>
        <w:t>04</w:t>
      </w:r>
      <w:r w:rsidRPr="008F6E36">
        <w:rPr>
          <w:sz w:val="18"/>
          <w:szCs w:val="18"/>
        </w:rPr>
        <w:t>/202</w:t>
      </w:r>
      <w:r>
        <w:rPr>
          <w:sz w:val="18"/>
          <w:szCs w:val="18"/>
        </w:rPr>
        <w:t>2</w:t>
      </w:r>
      <w:r w:rsidRPr="008F6E36">
        <w:rPr>
          <w:sz w:val="18"/>
          <w:szCs w:val="18"/>
        </w:rPr>
        <w:tab/>
      </w:r>
    </w:p>
    <w:p w14:paraId="6FF30F8A" w14:textId="16E1B872" w:rsidR="00D80ADA" w:rsidRPr="00122C26" w:rsidRDefault="00D80ADA" w:rsidP="00122C26"/>
    <w:sectPr w:rsidR="00D80ADA" w:rsidRPr="00122C26" w:rsidSect="00BF4459">
      <w:headerReference w:type="default" r:id="rId13"/>
      <w:footerReference w:type="default" r:id="rId14"/>
      <w:pgSz w:w="12240" w:h="15840"/>
      <w:pgMar w:top="1152" w:right="1080" w:bottom="1152" w:left="1080" w:header="432" w:footer="432"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457D3" w16cex:dateUtc="2022-06-27T20:22:00Z"/>
  <w16cex:commentExtensible w16cex:durableId="2664581C" w16cex:dateUtc="2022-06-27T2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246466" w16cid:durableId="2664545E"/>
  <w16cid:commentId w16cid:paraId="364231A6" w16cid:durableId="266457D3"/>
  <w16cid:commentId w16cid:paraId="4C4425B1" w16cid:durableId="266458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10F10" w14:textId="77777777" w:rsidR="0026125A" w:rsidRDefault="0026125A" w:rsidP="00045CD2">
      <w:r>
        <w:separator/>
      </w:r>
    </w:p>
  </w:endnote>
  <w:endnote w:type="continuationSeparator" w:id="0">
    <w:p w14:paraId="0262A089" w14:textId="77777777" w:rsidR="0026125A" w:rsidRDefault="0026125A" w:rsidP="0004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yriadPro-Regular">
    <w:altName w:val="MS Gothic"/>
    <w:panose1 w:val="00000000000000000000"/>
    <w:charset w:val="80"/>
    <w:family w:val="swiss"/>
    <w:notTrueType/>
    <w:pitch w:val="default"/>
    <w:sig w:usb0="00000003" w:usb1="08070000" w:usb2="00000010" w:usb3="00000000" w:csb0="0002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177927"/>
      <w:docPartObj>
        <w:docPartGallery w:val="Page Numbers (Bottom of Page)"/>
        <w:docPartUnique/>
      </w:docPartObj>
    </w:sdtPr>
    <w:sdtEndPr>
      <w:rPr>
        <w:noProof/>
      </w:rPr>
    </w:sdtEndPr>
    <w:sdtContent>
      <w:p w14:paraId="277E1F8C" w14:textId="2446A481" w:rsidR="0026125A" w:rsidRDefault="0026125A">
        <w:pPr>
          <w:pStyle w:val="Footer"/>
          <w:jc w:val="center"/>
        </w:pPr>
        <w:r>
          <w:fldChar w:fldCharType="begin"/>
        </w:r>
        <w:r>
          <w:instrText xml:space="preserve"> PAGE   \* MERGEFORMAT </w:instrText>
        </w:r>
        <w:r>
          <w:fldChar w:fldCharType="separate"/>
        </w:r>
        <w:r w:rsidR="00E01012">
          <w:rPr>
            <w:noProof/>
          </w:rPr>
          <w:t>27</w:t>
        </w:r>
        <w:r>
          <w:rPr>
            <w:noProof/>
          </w:rPr>
          <w:fldChar w:fldCharType="end"/>
        </w:r>
      </w:p>
    </w:sdtContent>
  </w:sdt>
  <w:p w14:paraId="2C8D099D" w14:textId="77777777" w:rsidR="0026125A" w:rsidRDefault="0026125A">
    <w:pPr>
      <w:pStyle w:val="Footer"/>
    </w:pPr>
  </w:p>
  <w:p w14:paraId="34498BB1" w14:textId="77777777" w:rsidR="0026125A" w:rsidRDefault="0026125A"/>
  <w:p w14:paraId="62E35D51" w14:textId="77777777" w:rsidR="0026125A" w:rsidRDefault="0026125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7A42F" w14:textId="77777777" w:rsidR="0026125A" w:rsidRDefault="0026125A" w:rsidP="00045CD2">
      <w:r>
        <w:separator/>
      </w:r>
    </w:p>
  </w:footnote>
  <w:footnote w:type="continuationSeparator" w:id="0">
    <w:p w14:paraId="04973649" w14:textId="77777777" w:rsidR="0026125A" w:rsidRDefault="0026125A" w:rsidP="00045CD2">
      <w:r>
        <w:continuationSeparator/>
      </w:r>
    </w:p>
  </w:footnote>
  <w:footnote w:id="1">
    <w:p w14:paraId="4EEAA2FD" w14:textId="04887915" w:rsidR="0026125A" w:rsidRPr="00F50528" w:rsidRDefault="0026125A" w:rsidP="006743BF">
      <w:pPr>
        <w:pStyle w:val="FootnoteText"/>
        <w:rPr>
          <w:sz w:val="20"/>
          <w:szCs w:val="20"/>
        </w:rPr>
      </w:pPr>
      <w:r w:rsidRPr="00F50528">
        <w:rPr>
          <w:rStyle w:val="FootnoteReference"/>
          <w:sz w:val="20"/>
          <w:szCs w:val="20"/>
        </w:rPr>
        <w:footnoteRef/>
      </w:r>
      <w:r w:rsidRPr="00F50528">
        <w:rPr>
          <w:sz w:val="20"/>
          <w:szCs w:val="20"/>
        </w:rPr>
        <w:t xml:space="preserve"> </w:t>
      </w:r>
      <w:r w:rsidRPr="00F50528">
        <w:rPr>
          <w:i/>
          <w:sz w:val="20"/>
          <w:szCs w:val="20"/>
        </w:rPr>
        <w:t xml:space="preserve">See </w:t>
      </w:r>
      <w:r w:rsidRPr="00F50528">
        <w:rPr>
          <w:sz w:val="20"/>
          <w:szCs w:val="20"/>
        </w:rPr>
        <w:t xml:space="preserve">NYC311, </w:t>
      </w:r>
      <w:hyperlink r:id="rId1" w:history="1">
        <w:r w:rsidRPr="00F50528">
          <w:rPr>
            <w:rStyle w:val="Hyperlink"/>
            <w:sz w:val="20"/>
            <w:szCs w:val="20"/>
          </w:rPr>
          <w:t>https://portal.311.nyc.gov</w:t>
        </w:r>
      </w:hyperlink>
      <w:r w:rsidRPr="00F50528">
        <w:rPr>
          <w:sz w:val="20"/>
          <w:szCs w:val="20"/>
        </w:rPr>
        <w:t xml:space="preserve"> (last accessed June 23, 2022).</w:t>
      </w:r>
    </w:p>
  </w:footnote>
  <w:footnote w:id="2">
    <w:p w14:paraId="34CFA642" w14:textId="11B28E0B" w:rsidR="0026125A" w:rsidRPr="00F50528" w:rsidRDefault="0026125A" w:rsidP="006743BF">
      <w:pPr>
        <w:pStyle w:val="FootnoteText"/>
        <w:rPr>
          <w:sz w:val="20"/>
          <w:szCs w:val="20"/>
        </w:rPr>
      </w:pPr>
      <w:r w:rsidRPr="00F50528">
        <w:rPr>
          <w:rStyle w:val="FootnoteReference"/>
          <w:sz w:val="20"/>
          <w:szCs w:val="20"/>
        </w:rPr>
        <w:footnoteRef/>
      </w:r>
      <w:r w:rsidRPr="00F50528">
        <w:rPr>
          <w:sz w:val="20"/>
          <w:szCs w:val="20"/>
        </w:rPr>
        <w:t xml:space="preserve"> </w:t>
      </w:r>
      <w:r w:rsidRPr="00F50528">
        <w:rPr>
          <w:i/>
          <w:sz w:val="20"/>
          <w:szCs w:val="20"/>
        </w:rPr>
        <w:t xml:space="preserve">See </w:t>
      </w:r>
      <w:r w:rsidRPr="00F50528">
        <w:rPr>
          <w:sz w:val="20"/>
          <w:szCs w:val="20"/>
        </w:rPr>
        <w:t xml:space="preserve">NYC Department of Information Technology and Telecommunications, </w:t>
      </w:r>
      <w:r w:rsidRPr="00F50528">
        <w:rPr>
          <w:i/>
          <w:sz w:val="20"/>
          <w:szCs w:val="20"/>
        </w:rPr>
        <w:t>Who We Are</w:t>
      </w:r>
      <w:r w:rsidRPr="00F50528">
        <w:rPr>
          <w:sz w:val="20"/>
          <w:szCs w:val="20"/>
        </w:rPr>
        <w:t xml:space="preserve">, </w:t>
      </w:r>
      <w:hyperlink r:id="rId2" w:history="1">
        <w:r w:rsidRPr="00F50528">
          <w:rPr>
            <w:rStyle w:val="Hyperlink"/>
            <w:sz w:val="20"/>
            <w:szCs w:val="20"/>
          </w:rPr>
          <w:t>https://www1.nyc.gov/site/doitt/about/who-we-are.page</w:t>
        </w:r>
      </w:hyperlink>
      <w:r w:rsidRPr="00F50528">
        <w:rPr>
          <w:rStyle w:val="Hyperlink"/>
          <w:sz w:val="20"/>
          <w:szCs w:val="20"/>
        </w:rPr>
        <w:t xml:space="preserve"> </w:t>
      </w:r>
      <w:r w:rsidRPr="00F50528">
        <w:rPr>
          <w:rStyle w:val="Hyperlink"/>
          <w:color w:val="auto"/>
          <w:sz w:val="20"/>
          <w:szCs w:val="20"/>
          <w:u w:val="none"/>
        </w:rPr>
        <w:t>(last accessed June 23, 2022)</w:t>
      </w:r>
      <w:r w:rsidRPr="00F50528">
        <w:rPr>
          <w:sz w:val="20"/>
          <w:szCs w:val="20"/>
        </w:rPr>
        <w:t>.</w:t>
      </w:r>
    </w:p>
  </w:footnote>
  <w:footnote w:id="3">
    <w:p w14:paraId="4F34CF8D" w14:textId="22BDED67" w:rsidR="0026125A" w:rsidRPr="00F50528" w:rsidRDefault="0026125A" w:rsidP="00121308">
      <w:pPr>
        <w:pStyle w:val="FootnoteText"/>
        <w:rPr>
          <w:sz w:val="20"/>
          <w:szCs w:val="20"/>
        </w:rPr>
      </w:pPr>
      <w:r w:rsidRPr="00F50528">
        <w:rPr>
          <w:rStyle w:val="FootnoteReference"/>
          <w:sz w:val="20"/>
          <w:szCs w:val="20"/>
        </w:rPr>
        <w:footnoteRef/>
      </w:r>
      <w:r w:rsidRPr="00F50528">
        <w:rPr>
          <w:sz w:val="20"/>
          <w:szCs w:val="20"/>
        </w:rPr>
        <w:t xml:space="preserve"> </w:t>
      </w:r>
      <w:r w:rsidRPr="00F50528">
        <w:rPr>
          <w:i/>
          <w:sz w:val="20"/>
          <w:szCs w:val="20"/>
        </w:rPr>
        <w:t xml:space="preserve">See </w:t>
      </w:r>
      <w:r w:rsidRPr="00F50528">
        <w:rPr>
          <w:sz w:val="20"/>
          <w:szCs w:val="20"/>
        </w:rPr>
        <w:t>City of New York,</w:t>
      </w:r>
      <w:r w:rsidRPr="00F50528">
        <w:rPr>
          <w:i/>
          <w:sz w:val="20"/>
          <w:szCs w:val="20"/>
        </w:rPr>
        <w:t xml:space="preserve"> Preliminary Mayor’s Management Report</w:t>
      </w:r>
      <w:r w:rsidRPr="00F50528">
        <w:rPr>
          <w:sz w:val="20"/>
          <w:szCs w:val="20"/>
        </w:rPr>
        <w:t xml:space="preserve">, at 123 (February 2022), </w:t>
      </w:r>
      <w:r w:rsidRPr="00F50528">
        <w:rPr>
          <w:i/>
          <w:sz w:val="20"/>
          <w:szCs w:val="20"/>
        </w:rPr>
        <w:t>available at</w:t>
      </w:r>
      <w:r w:rsidRPr="00F50528">
        <w:rPr>
          <w:sz w:val="20"/>
          <w:szCs w:val="20"/>
        </w:rPr>
        <w:t xml:space="preserve"> </w:t>
      </w:r>
      <w:hyperlink r:id="rId3" w:history="1">
        <w:r w:rsidRPr="00F50528">
          <w:rPr>
            <w:rStyle w:val="Hyperlink"/>
            <w:sz w:val="20"/>
            <w:szCs w:val="20"/>
          </w:rPr>
          <w:t>https://www1.nyc.gov/assets/operations/downloads/pdf/mmr2021/311.pdf</w:t>
        </w:r>
      </w:hyperlink>
      <w:r w:rsidRPr="00F50528">
        <w:rPr>
          <w:sz w:val="20"/>
          <w:szCs w:val="20"/>
        </w:rPr>
        <w:t xml:space="preserve">. </w:t>
      </w:r>
    </w:p>
  </w:footnote>
  <w:footnote w:id="4">
    <w:p w14:paraId="5481A1F0" w14:textId="6EFD8232" w:rsidR="0026125A" w:rsidRPr="00F50528" w:rsidRDefault="0026125A">
      <w:pPr>
        <w:pStyle w:val="FootnoteText"/>
        <w:rPr>
          <w:i/>
          <w:sz w:val="20"/>
          <w:szCs w:val="20"/>
        </w:rPr>
      </w:pPr>
      <w:r w:rsidRPr="00F50528">
        <w:rPr>
          <w:rStyle w:val="FootnoteReference"/>
          <w:sz w:val="20"/>
          <w:szCs w:val="20"/>
        </w:rPr>
        <w:footnoteRef/>
      </w:r>
      <w:r w:rsidRPr="00F50528">
        <w:rPr>
          <w:sz w:val="20"/>
          <w:szCs w:val="20"/>
        </w:rPr>
        <w:t xml:space="preserve"> </w:t>
      </w:r>
      <w:r w:rsidRPr="00F50528">
        <w:rPr>
          <w:i/>
          <w:sz w:val="20"/>
          <w:szCs w:val="20"/>
        </w:rPr>
        <w:t xml:space="preserve">See id. </w:t>
      </w:r>
      <w:r w:rsidRPr="00F50528">
        <w:rPr>
          <w:sz w:val="20"/>
          <w:szCs w:val="20"/>
        </w:rPr>
        <w:t>at 125.</w:t>
      </w:r>
    </w:p>
  </w:footnote>
  <w:footnote w:id="5">
    <w:p w14:paraId="575F4744" w14:textId="525A5FF5" w:rsidR="0026125A" w:rsidRPr="00F50528" w:rsidRDefault="0026125A" w:rsidP="00986F56">
      <w:pPr>
        <w:pStyle w:val="FootnoteText"/>
        <w:rPr>
          <w:i/>
          <w:sz w:val="20"/>
          <w:szCs w:val="20"/>
        </w:rPr>
      </w:pPr>
      <w:r w:rsidRPr="00F50528">
        <w:rPr>
          <w:rStyle w:val="FootnoteReference"/>
          <w:sz w:val="20"/>
          <w:szCs w:val="20"/>
        </w:rPr>
        <w:footnoteRef/>
      </w:r>
      <w:r w:rsidRPr="00F50528">
        <w:rPr>
          <w:sz w:val="20"/>
          <w:szCs w:val="20"/>
        </w:rPr>
        <w:t xml:space="preserve"> </w:t>
      </w:r>
      <w:r w:rsidRPr="00F50528">
        <w:rPr>
          <w:i/>
          <w:sz w:val="20"/>
          <w:szCs w:val="20"/>
        </w:rPr>
        <w:t>See id.</w:t>
      </w:r>
    </w:p>
  </w:footnote>
  <w:footnote w:id="6">
    <w:p w14:paraId="5CAA1485" w14:textId="7B6B377A" w:rsidR="0026125A" w:rsidRPr="00F50528" w:rsidRDefault="0026125A">
      <w:pPr>
        <w:pStyle w:val="FootnoteText"/>
        <w:rPr>
          <w:i/>
          <w:sz w:val="20"/>
          <w:szCs w:val="20"/>
        </w:rPr>
      </w:pPr>
      <w:r w:rsidRPr="00F50528">
        <w:rPr>
          <w:rStyle w:val="FootnoteReference"/>
          <w:sz w:val="20"/>
          <w:szCs w:val="20"/>
        </w:rPr>
        <w:footnoteRef/>
      </w:r>
      <w:r w:rsidRPr="00F50528">
        <w:rPr>
          <w:sz w:val="20"/>
          <w:szCs w:val="20"/>
        </w:rPr>
        <w:t xml:space="preserve"> </w:t>
      </w:r>
      <w:r w:rsidRPr="00F50528">
        <w:rPr>
          <w:i/>
          <w:sz w:val="20"/>
          <w:szCs w:val="20"/>
        </w:rPr>
        <w:t>See id.</w:t>
      </w:r>
    </w:p>
  </w:footnote>
  <w:footnote w:id="7">
    <w:p w14:paraId="0FC6DAF3" w14:textId="77777777" w:rsidR="0026125A" w:rsidRDefault="0026125A" w:rsidP="00A53036">
      <w:pPr>
        <w:pStyle w:val="FootnoteText"/>
      </w:pPr>
      <w:r>
        <w:rPr>
          <w:rStyle w:val="FootnoteReference"/>
        </w:rPr>
        <w:footnoteRef/>
      </w:r>
      <w:r>
        <w:t xml:space="preserve"> </w:t>
      </w:r>
      <w:r w:rsidRPr="00CC5D26">
        <w:rPr>
          <w:sz w:val="20"/>
          <w:szCs w:val="20"/>
        </w:rPr>
        <w:t xml:space="preserve">The Council’s data team did an analysis of 311 operations using OpenData information on 311 services, available at </w:t>
      </w:r>
      <w:hyperlink r:id="rId4" w:history="1">
        <w:r w:rsidRPr="00CC5D26">
          <w:rPr>
            <w:rStyle w:val="Hyperlink"/>
            <w:sz w:val="20"/>
            <w:szCs w:val="20"/>
          </w:rPr>
          <w:t>https://council.nyc.gov/data/311-services/</w:t>
        </w:r>
      </w:hyperlink>
      <w:r w:rsidRPr="00CC5D26">
        <w:rPr>
          <w:sz w:val="20"/>
          <w:szCs w:val="20"/>
        </w:rPr>
        <w:t xml:space="preserve">; as well as an analysis of a report published as part of the Mayor’s Management Report published in 2021 and 2022, available at </w:t>
      </w:r>
      <w:hyperlink r:id="rId5" w:history="1">
        <w:r w:rsidRPr="00CC5D26">
          <w:rPr>
            <w:rStyle w:val="Hyperlink"/>
            <w:sz w:val="20"/>
            <w:szCs w:val="20"/>
          </w:rPr>
          <w:t>https://www1.nyc.gov/assets/operations/downloads/pdf/mmr2021/311.pdf</w:t>
        </w:r>
      </w:hyperlink>
      <w:r w:rsidRPr="00CC5D26">
        <w:rPr>
          <w:sz w:val="20"/>
          <w:szCs w:val="20"/>
        </w:rPr>
        <w:t xml:space="preserve">; </w:t>
      </w:r>
      <w:hyperlink r:id="rId6" w:history="1">
        <w:r w:rsidRPr="00CC5D26">
          <w:rPr>
            <w:rStyle w:val="Hyperlink"/>
            <w:sz w:val="20"/>
            <w:szCs w:val="20"/>
          </w:rPr>
          <w:t>https://dmmr.nyc.gov/city-services/basic-services-for-all-new-yorkers/311</w:t>
        </w:r>
      </w:hyperlink>
      <w:r w:rsidRPr="00CC5D26">
        <w:rPr>
          <w:sz w:val="20"/>
          <w:szCs w:val="20"/>
        </w:rPr>
        <w:t>.</w:t>
      </w:r>
    </w:p>
  </w:footnote>
  <w:footnote w:id="8">
    <w:p w14:paraId="40D89977" w14:textId="77777777" w:rsidR="0026125A" w:rsidRPr="00CC5D26" w:rsidRDefault="0026125A" w:rsidP="00FC372D">
      <w:pPr>
        <w:pStyle w:val="FootnoteText"/>
        <w:rPr>
          <w:i/>
          <w:sz w:val="20"/>
          <w:szCs w:val="20"/>
        </w:rPr>
      </w:pPr>
      <w:r w:rsidRPr="00CC5D26">
        <w:rPr>
          <w:rStyle w:val="FootnoteReference"/>
          <w:sz w:val="20"/>
          <w:szCs w:val="20"/>
        </w:rPr>
        <w:footnoteRef/>
      </w:r>
      <w:r w:rsidRPr="00CC5D26">
        <w:rPr>
          <w:sz w:val="20"/>
          <w:szCs w:val="20"/>
        </w:rPr>
        <w:t xml:space="preserve"> </w:t>
      </w:r>
      <w:r w:rsidRPr="00CC5D26">
        <w:rPr>
          <w:i/>
          <w:sz w:val="20"/>
          <w:szCs w:val="20"/>
        </w:rPr>
        <w:t>Id.</w:t>
      </w:r>
    </w:p>
  </w:footnote>
  <w:footnote w:id="9">
    <w:p w14:paraId="233643BF" w14:textId="77777777" w:rsidR="0026125A" w:rsidRPr="00CC5D26" w:rsidRDefault="0026125A" w:rsidP="00A53036">
      <w:pPr>
        <w:pStyle w:val="FootnoteText"/>
        <w:rPr>
          <w:sz w:val="20"/>
          <w:szCs w:val="20"/>
        </w:rPr>
      </w:pPr>
      <w:r w:rsidRPr="00CC5D26">
        <w:rPr>
          <w:rStyle w:val="FootnoteReference"/>
          <w:sz w:val="20"/>
          <w:szCs w:val="20"/>
        </w:rPr>
        <w:footnoteRef/>
      </w:r>
      <w:r w:rsidRPr="00CC5D26">
        <w:rPr>
          <w:sz w:val="20"/>
          <w:szCs w:val="20"/>
        </w:rPr>
        <w:t xml:space="preserve"> </w:t>
      </w:r>
      <w:r w:rsidRPr="00CC5D26">
        <w:rPr>
          <w:i/>
          <w:sz w:val="20"/>
          <w:szCs w:val="20"/>
        </w:rPr>
        <w:t>Id.</w:t>
      </w:r>
    </w:p>
  </w:footnote>
  <w:footnote w:id="10">
    <w:p w14:paraId="07B649DA" w14:textId="77777777" w:rsidR="0026125A" w:rsidRPr="00CC5D26" w:rsidRDefault="0026125A" w:rsidP="00F50528">
      <w:pPr>
        <w:pStyle w:val="FootnoteText"/>
        <w:rPr>
          <w:sz w:val="20"/>
          <w:szCs w:val="20"/>
        </w:rPr>
      </w:pPr>
      <w:r w:rsidRPr="00CC5D26">
        <w:rPr>
          <w:rStyle w:val="FootnoteReference"/>
          <w:sz w:val="20"/>
          <w:szCs w:val="20"/>
        </w:rPr>
        <w:footnoteRef/>
      </w:r>
      <w:r w:rsidRPr="00CC5D26">
        <w:rPr>
          <w:sz w:val="20"/>
          <w:szCs w:val="20"/>
        </w:rPr>
        <w:t xml:space="preserve"> Jan. 17, 2019 Committee Report, </w:t>
      </w:r>
      <w:r w:rsidRPr="00CC5D26">
        <w:rPr>
          <w:i/>
          <w:sz w:val="20"/>
          <w:szCs w:val="20"/>
        </w:rPr>
        <w:t xml:space="preserve">supra </w:t>
      </w:r>
      <w:r w:rsidRPr="00CC5D26">
        <w:rPr>
          <w:sz w:val="20"/>
          <w:szCs w:val="20"/>
        </w:rPr>
        <w:t xml:space="preserve">note 5 at 7 (Citing DoITT Request for Systems Integration Services for 311 Customer Service Management System Replacement and Re-Architecture Project, April 28, 2015, </w:t>
      </w:r>
      <w:r w:rsidRPr="00CC5D26">
        <w:rPr>
          <w:i/>
          <w:sz w:val="20"/>
          <w:szCs w:val="20"/>
        </w:rPr>
        <w:t xml:space="preserve">available at </w:t>
      </w:r>
      <w:hyperlink r:id="rId7" w:history="1">
        <w:r w:rsidRPr="00CC5D26">
          <w:rPr>
            <w:rStyle w:val="Hyperlink"/>
            <w:sz w:val="20"/>
            <w:szCs w:val="20"/>
          </w:rPr>
          <w:t>https://www1.nyc.gov/assets/doitt/downloads/pdf/311-rfs.pdf</w:t>
        </w:r>
      </w:hyperlink>
      <w:r w:rsidRPr="00CC5D26">
        <w:rPr>
          <w:sz w:val="20"/>
          <w:szCs w:val="20"/>
        </w:rPr>
        <w:t xml:space="preserve">; Matthew Flamm, </w:t>
      </w:r>
      <w:r w:rsidRPr="00CC5D26">
        <w:rPr>
          <w:i/>
          <w:sz w:val="20"/>
          <w:szCs w:val="20"/>
        </w:rPr>
        <w:t>City’s 311 Hotline is Getting Some Help of Its Own</w:t>
      </w:r>
      <w:r w:rsidRPr="00CC5D26">
        <w:rPr>
          <w:sz w:val="20"/>
          <w:szCs w:val="20"/>
        </w:rPr>
        <w:t xml:space="preserve">, </w:t>
      </w:r>
      <w:r w:rsidRPr="00CC5D26">
        <w:rPr>
          <w:smallCaps/>
          <w:sz w:val="20"/>
          <w:szCs w:val="20"/>
        </w:rPr>
        <w:t>Crain’s N.Y. Bus.</w:t>
      </w:r>
      <w:r w:rsidRPr="00CC5D26">
        <w:rPr>
          <w:sz w:val="20"/>
          <w:szCs w:val="20"/>
        </w:rPr>
        <w:t xml:space="preserve">, April 30, 2015, available at </w:t>
      </w:r>
      <w:hyperlink r:id="rId8" w:history="1">
        <w:r w:rsidRPr="00CC5D26">
          <w:rPr>
            <w:rStyle w:val="Hyperlink"/>
            <w:sz w:val="20"/>
            <w:szCs w:val="20"/>
          </w:rPr>
          <w:t>https://www.crainsnewyork.com/article/20150430/TECHNOLOGY/150429832/city-s-311-hotline-is-getting-some-help-of-its-own</w:t>
        </w:r>
      </w:hyperlink>
      <w:r w:rsidRPr="00CC5D26">
        <w:rPr>
          <w:sz w:val="20"/>
          <w:szCs w:val="20"/>
        </w:rPr>
        <w:t xml:space="preserve">; Task Order Number 1426-001A, NYC 311 CSMS Replacement and Re-Architecture for Department of Information Technology and Telecommunications, available at </w:t>
      </w:r>
      <w:hyperlink r:id="rId9" w:history="1">
        <w:r w:rsidRPr="00CC5D26">
          <w:rPr>
            <w:rStyle w:val="Hyperlink"/>
            <w:sz w:val="20"/>
            <w:szCs w:val="20"/>
          </w:rPr>
          <w:t>https://www.scribd.com/document/342938208/NTP-and-NYC-311-IBM-Task-Order-1426-001A-signed-Redacted-v2?secret_password=RtVgjUFEdELXT1pukn65</w:t>
        </w:r>
      </w:hyperlink>
      <w:r w:rsidRPr="00CC5D26">
        <w:rPr>
          <w:sz w:val="20"/>
          <w:szCs w:val="20"/>
        </w:rPr>
        <w:t xml:space="preserve">; Matthew Flamm, </w:t>
      </w:r>
      <w:r w:rsidRPr="00CC5D26">
        <w:rPr>
          <w:i/>
          <w:sz w:val="20"/>
          <w:szCs w:val="20"/>
        </w:rPr>
        <w:t>IBM's Watson will soon answer your 311 calls</w:t>
      </w:r>
      <w:r w:rsidRPr="00CC5D26">
        <w:rPr>
          <w:sz w:val="20"/>
          <w:szCs w:val="20"/>
        </w:rPr>
        <w:t xml:space="preserve">, </w:t>
      </w:r>
      <w:r w:rsidRPr="00CC5D26">
        <w:rPr>
          <w:smallCaps/>
          <w:sz w:val="20"/>
          <w:szCs w:val="20"/>
        </w:rPr>
        <w:t xml:space="preserve">Crain’s N.Y. Bus. </w:t>
      </w:r>
      <w:r w:rsidRPr="00CC5D26">
        <w:rPr>
          <w:sz w:val="20"/>
          <w:szCs w:val="20"/>
        </w:rPr>
        <w:t xml:space="preserve">Jan. 11, 2017, available at </w:t>
      </w:r>
      <w:hyperlink r:id="rId10" w:history="1">
        <w:r w:rsidRPr="00CC5D26">
          <w:rPr>
            <w:rStyle w:val="Hyperlink"/>
            <w:sz w:val="20"/>
            <w:szCs w:val="20"/>
          </w:rPr>
          <w:t>https://www.crainsnewyork.com/article/20170112/TECHNOLOGY/170119941/ibm-s-watson-will-soon-answer-your-311-calls-as-part-of-a-24-million-upgrade-to-the-system</w:t>
        </w:r>
      </w:hyperlink>
      <w:r w:rsidRPr="00CC5D26">
        <w:rPr>
          <w:sz w:val="20"/>
          <w:szCs w:val="20"/>
        </w:rPr>
        <w:t>).</w:t>
      </w:r>
    </w:p>
  </w:footnote>
  <w:footnote w:id="11">
    <w:p w14:paraId="773BEDB5" w14:textId="77777777" w:rsidR="0026125A" w:rsidRPr="00CC5D26" w:rsidRDefault="0026125A" w:rsidP="00F50528">
      <w:pPr>
        <w:pStyle w:val="FootnoteText"/>
        <w:rPr>
          <w:sz w:val="20"/>
          <w:szCs w:val="20"/>
        </w:rPr>
      </w:pPr>
      <w:r w:rsidRPr="00CC5D26">
        <w:rPr>
          <w:rStyle w:val="FootnoteReference"/>
          <w:sz w:val="20"/>
          <w:szCs w:val="20"/>
        </w:rPr>
        <w:footnoteRef/>
      </w:r>
      <w:r w:rsidRPr="00CC5D26">
        <w:rPr>
          <w:sz w:val="20"/>
          <w:szCs w:val="20"/>
        </w:rPr>
        <w:t xml:space="preserve"> </w:t>
      </w:r>
      <w:r w:rsidRPr="00CC5D26">
        <w:rPr>
          <w:i/>
          <w:sz w:val="20"/>
          <w:szCs w:val="20"/>
        </w:rPr>
        <w:t>See</w:t>
      </w:r>
      <w:r w:rsidRPr="00CC5D26">
        <w:rPr>
          <w:sz w:val="20"/>
          <w:szCs w:val="20"/>
        </w:rPr>
        <w:t xml:space="preserve"> City of New York Office of Management and Budget, Record 116683 Certificate 70092 Project DP-1, on file with Committee on Technology staff.</w:t>
      </w:r>
    </w:p>
  </w:footnote>
  <w:footnote w:id="12">
    <w:p w14:paraId="511B3DD3" w14:textId="77777777" w:rsidR="0026125A" w:rsidRPr="00CC5D26" w:rsidRDefault="0026125A" w:rsidP="00F50528">
      <w:pPr>
        <w:pStyle w:val="FootnoteText"/>
        <w:rPr>
          <w:sz w:val="20"/>
          <w:szCs w:val="20"/>
        </w:rPr>
      </w:pPr>
      <w:r w:rsidRPr="00CC5D26">
        <w:rPr>
          <w:rStyle w:val="FootnoteReference"/>
          <w:sz w:val="20"/>
          <w:szCs w:val="20"/>
        </w:rPr>
        <w:footnoteRef/>
      </w:r>
      <w:r w:rsidRPr="00CC5D26">
        <w:rPr>
          <w:sz w:val="20"/>
          <w:szCs w:val="20"/>
        </w:rPr>
        <w:t xml:space="preserve"> Testimony of DOITT Commissioner Jessica Tisch, before the Committees on Land Use and Technology, </w:t>
      </w:r>
      <w:r w:rsidRPr="00CC5D26">
        <w:rPr>
          <w:smallCaps/>
          <w:sz w:val="20"/>
          <w:szCs w:val="20"/>
        </w:rPr>
        <w:t>The New York City Council</w:t>
      </w:r>
      <w:r w:rsidRPr="00CC5D26">
        <w:rPr>
          <w:sz w:val="20"/>
          <w:szCs w:val="20"/>
        </w:rPr>
        <w:t xml:space="preserve">, March 10, 2021, available at </w:t>
      </w:r>
      <w:hyperlink r:id="rId11" w:history="1">
        <w:r w:rsidRPr="00CC5D26">
          <w:rPr>
            <w:rStyle w:val="Hyperlink"/>
            <w:sz w:val="20"/>
            <w:szCs w:val="20"/>
          </w:rPr>
          <w:t>https://legistar.council.nyc.gov/MeetingDetail.aspx?ID=846442&amp;GUID=5EFAFC84-31CD-4429-9DD5-6459FA872F49&amp;Options=info|&amp;Search</w:t>
        </w:r>
      </w:hyperlink>
      <w:r w:rsidRPr="00CC5D26">
        <w:rPr>
          <w:sz w:val="20"/>
          <w:szCs w:val="20"/>
        </w:rPr>
        <w:t xml:space="preserve">=. </w:t>
      </w:r>
    </w:p>
  </w:footnote>
  <w:footnote w:id="13">
    <w:p w14:paraId="1D1FB846" w14:textId="77777777" w:rsidR="0026125A" w:rsidRPr="00CC5D26" w:rsidRDefault="0026125A" w:rsidP="00F50528">
      <w:pPr>
        <w:pStyle w:val="FootnoteText"/>
        <w:rPr>
          <w:sz w:val="20"/>
          <w:szCs w:val="20"/>
        </w:rPr>
      </w:pPr>
      <w:r w:rsidRPr="00CC5D26">
        <w:rPr>
          <w:rStyle w:val="FootnoteReference"/>
          <w:sz w:val="20"/>
          <w:szCs w:val="20"/>
        </w:rPr>
        <w:footnoteRef/>
      </w:r>
      <w:r w:rsidRPr="00CC5D26">
        <w:rPr>
          <w:sz w:val="20"/>
          <w:szCs w:val="20"/>
        </w:rPr>
        <w:t xml:space="preserve"> </w:t>
      </w:r>
      <w:r w:rsidRPr="00CC5D26">
        <w:rPr>
          <w:i/>
          <w:sz w:val="20"/>
          <w:szCs w:val="20"/>
        </w:rPr>
        <w:t>Id.</w:t>
      </w:r>
      <w:r w:rsidRPr="00CC5D26">
        <w:rPr>
          <w:sz w:val="20"/>
          <w:szCs w:val="20"/>
        </w:rPr>
        <w:t xml:space="preserve"> </w:t>
      </w:r>
    </w:p>
  </w:footnote>
  <w:footnote w:id="14">
    <w:p w14:paraId="77AEBD0C" w14:textId="77777777" w:rsidR="0026125A" w:rsidRPr="00CC5D26" w:rsidRDefault="0026125A" w:rsidP="00A71C04">
      <w:pPr>
        <w:pStyle w:val="FootnoteText"/>
        <w:rPr>
          <w:sz w:val="20"/>
          <w:szCs w:val="20"/>
        </w:rPr>
      </w:pPr>
      <w:r w:rsidRPr="00CC5D26">
        <w:rPr>
          <w:rStyle w:val="FootnoteReference"/>
          <w:sz w:val="20"/>
          <w:szCs w:val="20"/>
        </w:rPr>
        <w:footnoteRef/>
      </w:r>
      <w:r w:rsidRPr="00CC5D26">
        <w:rPr>
          <w:sz w:val="20"/>
          <w:szCs w:val="20"/>
        </w:rPr>
        <w:t xml:space="preserve"> </w:t>
      </w:r>
      <w:r w:rsidRPr="00CC5D26">
        <w:rPr>
          <w:i/>
          <w:sz w:val="20"/>
          <w:szCs w:val="20"/>
        </w:rPr>
        <w:t>NYC 311 Ratings and Reviews</w:t>
      </w:r>
      <w:r w:rsidRPr="00CC5D26">
        <w:rPr>
          <w:sz w:val="20"/>
          <w:szCs w:val="20"/>
        </w:rPr>
        <w:t xml:space="preserve">, </w:t>
      </w:r>
      <w:r w:rsidRPr="00CC5D26">
        <w:rPr>
          <w:smallCaps/>
          <w:sz w:val="20"/>
          <w:szCs w:val="20"/>
        </w:rPr>
        <w:t>Apple App Store</w:t>
      </w:r>
      <w:r w:rsidRPr="00CC5D26">
        <w:rPr>
          <w:sz w:val="20"/>
          <w:szCs w:val="20"/>
        </w:rPr>
        <w:t xml:space="preserve">, last accessed Oct 25, 2021, available at </w:t>
      </w:r>
      <w:hyperlink r:id="rId12" w:anchor="see-all/reviews" w:history="1">
        <w:r w:rsidRPr="00CC5D26">
          <w:rPr>
            <w:rStyle w:val="Hyperlink"/>
            <w:sz w:val="20"/>
            <w:szCs w:val="20"/>
          </w:rPr>
          <w:t>https://apps.apple.com/us/app/nyc-311/id324897619#see-all/reviews</w:t>
        </w:r>
      </w:hyperlink>
      <w:r w:rsidRPr="00CC5D26">
        <w:rPr>
          <w:sz w:val="20"/>
          <w:szCs w:val="20"/>
        </w:rPr>
        <w:t xml:space="preserve">; </w:t>
      </w:r>
      <w:r w:rsidRPr="00CC5D26">
        <w:rPr>
          <w:i/>
          <w:sz w:val="20"/>
          <w:szCs w:val="20"/>
        </w:rPr>
        <w:t>NYC 311</w:t>
      </w:r>
      <w:r w:rsidRPr="00CC5D26">
        <w:rPr>
          <w:sz w:val="20"/>
          <w:szCs w:val="20"/>
        </w:rPr>
        <w:t xml:space="preserve">, </w:t>
      </w:r>
      <w:r w:rsidRPr="00CC5D26">
        <w:rPr>
          <w:smallCaps/>
          <w:sz w:val="20"/>
          <w:szCs w:val="20"/>
        </w:rPr>
        <w:t>Google Play</w:t>
      </w:r>
      <w:r w:rsidRPr="00CC5D26">
        <w:rPr>
          <w:sz w:val="20"/>
          <w:szCs w:val="20"/>
        </w:rPr>
        <w:t xml:space="preserve">, last accessed Oct 25, 2021, available at </w:t>
      </w:r>
      <w:hyperlink r:id="rId13" w:history="1">
        <w:r w:rsidRPr="00CC5D26">
          <w:rPr>
            <w:rStyle w:val="Hyperlink"/>
            <w:sz w:val="20"/>
            <w:szCs w:val="20"/>
          </w:rPr>
          <w:t>https://play.google.com/store/apps/details?id=gov.nyc.doitt.ThreeOneOne&amp;hl=en_US&amp;gl=US&amp;showAllReviews=tru</w:t>
        </w:r>
      </w:hyperlink>
      <w:r w:rsidRPr="00CC5D26">
        <w:rPr>
          <w:sz w:val="20"/>
          <w:szCs w:val="20"/>
        </w:rPr>
        <w:t xml:space="preserve">. </w:t>
      </w:r>
    </w:p>
  </w:footnote>
  <w:footnote w:id="15">
    <w:p w14:paraId="05976D40" w14:textId="77777777" w:rsidR="0026125A" w:rsidRPr="00CC5D26" w:rsidRDefault="0026125A" w:rsidP="00A71C04">
      <w:pPr>
        <w:pStyle w:val="FootnoteText"/>
        <w:rPr>
          <w:sz w:val="20"/>
          <w:szCs w:val="20"/>
        </w:rPr>
      </w:pPr>
      <w:r w:rsidRPr="00CC5D26">
        <w:rPr>
          <w:rStyle w:val="FootnoteReference"/>
          <w:sz w:val="20"/>
          <w:szCs w:val="20"/>
        </w:rPr>
        <w:footnoteRef/>
      </w:r>
      <w:r w:rsidRPr="00CC5D26">
        <w:rPr>
          <w:sz w:val="20"/>
          <w:szCs w:val="20"/>
        </w:rPr>
        <w:t xml:space="preserve"> </w:t>
      </w:r>
      <w:r w:rsidRPr="00CC5D26">
        <w:rPr>
          <w:i/>
          <w:sz w:val="20"/>
          <w:szCs w:val="20"/>
        </w:rPr>
        <w:t>Id.</w:t>
      </w:r>
    </w:p>
  </w:footnote>
  <w:footnote w:id="16">
    <w:p w14:paraId="1D46D558" w14:textId="77777777" w:rsidR="0026125A" w:rsidRPr="00CC5D26" w:rsidRDefault="0026125A" w:rsidP="00A71C04">
      <w:pPr>
        <w:pStyle w:val="FootnoteText"/>
        <w:rPr>
          <w:sz w:val="20"/>
          <w:szCs w:val="20"/>
        </w:rPr>
      </w:pPr>
      <w:r w:rsidRPr="00CC5D26">
        <w:rPr>
          <w:rStyle w:val="FootnoteReference"/>
          <w:sz w:val="20"/>
          <w:szCs w:val="20"/>
        </w:rPr>
        <w:footnoteRef/>
      </w:r>
      <w:r w:rsidRPr="00CC5D26">
        <w:rPr>
          <w:sz w:val="20"/>
          <w:szCs w:val="20"/>
        </w:rPr>
        <w:t xml:space="preserve"> </w:t>
      </w:r>
      <w:r w:rsidRPr="00CC5D26">
        <w:rPr>
          <w:i/>
          <w:sz w:val="20"/>
          <w:szCs w:val="20"/>
        </w:rPr>
        <w:t>Id.</w:t>
      </w:r>
    </w:p>
  </w:footnote>
  <w:footnote w:id="17">
    <w:p w14:paraId="7EB569D5" w14:textId="7D48A6E7" w:rsidR="0026125A" w:rsidRPr="00F50528" w:rsidRDefault="0026125A" w:rsidP="002128BC">
      <w:pPr>
        <w:pStyle w:val="FootnoteText"/>
        <w:rPr>
          <w:sz w:val="20"/>
          <w:szCs w:val="20"/>
        </w:rPr>
      </w:pPr>
      <w:r w:rsidRPr="00F50528">
        <w:rPr>
          <w:rStyle w:val="FootnoteReference"/>
          <w:sz w:val="20"/>
          <w:szCs w:val="20"/>
        </w:rPr>
        <w:footnoteRef/>
      </w:r>
      <w:r w:rsidRPr="00F50528">
        <w:rPr>
          <w:sz w:val="20"/>
          <w:szCs w:val="20"/>
        </w:rPr>
        <w:t xml:space="preserve"> </w:t>
      </w:r>
      <w:r w:rsidRPr="00F50528">
        <w:rPr>
          <w:i/>
          <w:sz w:val="20"/>
          <w:szCs w:val="20"/>
        </w:rPr>
        <w:t xml:space="preserve">See </w:t>
      </w:r>
      <w:r w:rsidRPr="00F50528">
        <w:rPr>
          <w:sz w:val="20"/>
          <w:szCs w:val="20"/>
        </w:rPr>
        <w:t xml:space="preserve">Local Law 30 of 2017, </w:t>
      </w:r>
      <w:r w:rsidRPr="00F50528">
        <w:rPr>
          <w:i/>
          <w:sz w:val="20"/>
          <w:szCs w:val="20"/>
        </w:rPr>
        <w:t xml:space="preserve">available at </w:t>
      </w:r>
      <w:hyperlink r:id="rId14" w:history="1">
        <w:r w:rsidRPr="00F50528">
          <w:rPr>
            <w:rStyle w:val="Hyperlink"/>
            <w:sz w:val="20"/>
            <w:szCs w:val="20"/>
          </w:rPr>
          <w:t>https://legistar.council.nyc.gov/LegislationDetail.aspx?ID=2735477&amp;GUID=D0A0ECA1-4D71-47EB-B44D-5919777ED818&amp;Options=Advanced&amp;Search</w:t>
        </w:r>
      </w:hyperlink>
      <w:r w:rsidRPr="00F50528">
        <w:rPr>
          <w:sz w:val="20"/>
          <w:szCs w:val="20"/>
        </w:rPr>
        <w:t>.</w:t>
      </w:r>
    </w:p>
  </w:footnote>
  <w:footnote w:id="18">
    <w:p w14:paraId="10AA0904" w14:textId="65BDF8FC" w:rsidR="0026125A" w:rsidRPr="00F50528" w:rsidRDefault="0026125A" w:rsidP="002128BC">
      <w:pPr>
        <w:pStyle w:val="FootnoteText"/>
        <w:rPr>
          <w:sz w:val="20"/>
          <w:szCs w:val="20"/>
        </w:rPr>
      </w:pPr>
      <w:r w:rsidRPr="00F50528">
        <w:rPr>
          <w:rStyle w:val="FootnoteReference"/>
          <w:sz w:val="20"/>
          <w:szCs w:val="20"/>
        </w:rPr>
        <w:footnoteRef/>
      </w:r>
      <w:r w:rsidRPr="00F50528">
        <w:rPr>
          <w:sz w:val="20"/>
          <w:szCs w:val="20"/>
        </w:rPr>
        <w:t xml:space="preserve"> </w:t>
      </w:r>
      <w:r w:rsidRPr="00F50528">
        <w:rPr>
          <w:i/>
          <w:sz w:val="20"/>
          <w:szCs w:val="20"/>
        </w:rPr>
        <w:t xml:space="preserve">See </w:t>
      </w:r>
      <w:r w:rsidRPr="00F50528">
        <w:rPr>
          <w:sz w:val="20"/>
          <w:szCs w:val="20"/>
        </w:rPr>
        <w:t>N.Y.C. Admin. Code § 23-1101.</w:t>
      </w:r>
    </w:p>
  </w:footnote>
  <w:footnote w:id="19">
    <w:p w14:paraId="6628A303" w14:textId="3F3F7F62" w:rsidR="0026125A" w:rsidRPr="00F50528" w:rsidRDefault="0026125A" w:rsidP="002128BC">
      <w:pPr>
        <w:pStyle w:val="FootnoteText"/>
        <w:rPr>
          <w:sz w:val="20"/>
          <w:szCs w:val="20"/>
        </w:rPr>
      </w:pPr>
      <w:r w:rsidRPr="00F50528">
        <w:rPr>
          <w:rStyle w:val="FootnoteReference"/>
          <w:sz w:val="20"/>
          <w:szCs w:val="20"/>
        </w:rPr>
        <w:footnoteRef/>
      </w:r>
      <w:r w:rsidRPr="00F50528">
        <w:rPr>
          <w:sz w:val="20"/>
          <w:szCs w:val="20"/>
        </w:rPr>
        <w:t xml:space="preserve"> </w:t>
      </w:r>
      <w:r w:rsidRPr="00F50528">
        <w:rPr>
          <w:i/>
          <w:sz w:val="20"/>
          <w:szCs w:val="20"/>
        </w:rPr>
        <w:t xml:space="preserve">See </w:t>
      </w:r>
      <w:r w:rsidRPr="00F50528">
        <w:rPr>
          <w:sz w:val="20"/>
          <w:szCs w:val="20"/>
        </w:rPr>
        <w:t>Local Law 30 Report for Calendar Year 2020, at 1 (June 30, 2021),</w:t>
      </w:r>
      <w:r w:rsidRPr="00F50528">
        <w:rPr>
          <w:i/>
          <w:sz w:val="20"/>
          <w:szCs w:val="20"/>
        </w:rPr>
        <w:t xml:space="preserve"> available at </w:t>
      </w:r>
      <w:hyperlink r:id="rId15" w:history="1">
        <w:r w:rsidRPr="00F50528">
          <w:rPr>
            <w:rStyle w:val="Hyperlink"/>
            <w:sz w:val="20"/>
            <w:szCs w:val="20"/>
          </w:rPr>
          <w:t>https://a860-gpp.nyc.gov/concern/parent/1544br19b/file_sets/hh63sz27r</w:t>
        </w:r>
      </w:hyperlink>
      <w:r w:rsidRPr="00F50528">
        <w:rPr>
          <w:sz w:val="20"/>
          <w:szCs w:val="20"/>
        </w:rPr>
        <w:t>.</w:t>
      </w:r>
    </w:p>
  </w:footnote>
  <w:footnote w:id="20">
    <w:p w14:paraId="55B2899E" w14:textId="5DC1C1E3" w:rsidR="0026125A" w:rsidRPr="00F50528" w:rsidRDefault="0026125A" w:rsidP="002128BC">
      <w:pPr>
        <w:pStyle w:val="FootnoteText"/>
        <w:rPr>
          <w:sz w:val="20"/>
          <w:szCs w:val="20"/>
        </w:rPr>
      </w:pPr>
      <w:r w:rsidRPr="00F50528">
        <w:rPr>
          <w:rStyle w:val="FootnoteReference"/>
          <w:sz w:val="20"/>
          <w:szCs w:val="20"/>
        </w:rPr>
        <w:footnoteRef/>
      </w:r>
      <w:r w:rsidRPr="00F50528">
        <w:rPr>
          <w:sz w:val="20"/>
          <w:szCs w:val="20"/>
        </w:rPr>
        <w:t xml:space="preserve"> </w:t>
      </w:r>
      <w:r w:rsidRPr="00F50528">
        <w:rPr>
          <w:i/>
          <w:sz w:val="20"/>
          <w:szCs w:val="20"/>
        </w:rPr>
        <w:t xml:space="preserve">See </w:t>
      </w:r>
      <w:r w:rsidRPr="00F50528">
        <w:rPr>
          <w:sz w:val="20"/>
          <w:szCs w:val="20"/>
        </w:rPr>
        <w:t>N.Y.C. Admin. Code § 23-301(b).</w:t>
      </w:r>
    </w:p>
  </w:footnote>
  <w:footnote w:id="21">
    <w:p w14:paraId="3D5645F2" w14:textId="3B9B1382" w:rsidR="0026125A" w:rsidRPr="00F50528" w:rsidRDefault="0026125A" w:rsidP="002128BC">
      <w:pPr>
        <w:pStyle w:val="FootnoteText"/>
        <w:rPr>
          <w:sz w:val="20"/>
          <w:szCs w:val="20"/>
        </w:rPr>
      </w:pPr>
      <w:r w:rsidRPr="00F50528">
        <w:rPr>
          <w:rStyle w:val="FootnoteReference"/>
          <w:sz w:val="20"/>
          <w:szCs w:val="20"/>
        </w:rPr>
        <w:footnoteRef/>
      </w:r>
      <w:r w:rsidRPr="00F50528">
        <w:rPr>
          <w:sz w:val="20"/>
          <w:szCs w:val="20"/>
        </w:rPr>
        <w:t xml:space="preserve"> </w:t>
      </w:r>
      <w:r w:rsidRPr="00F50528">
        <w:rPr>
          <w:i/>
          <w:sz w:val="20"/>
          <w:szCs w:val="20"/>
        </w:rPr>
        <w:t>See id</w:t>
      </w:r>
      <w:r w:rsidRPr="00F50528">
        <w:rPr>
          <w:sz w:val="20"/>
          <w:szCs w:val="20"/>
        </w:rPr>
        <w:t xml:space="preserve">. </w:t>
      </w:r>
    </w:p>
  </w:footnote>
  <w:footnote w:id="22">
    <w:p w14:paraId="31C61CB2" w14:textId="7D786007" w:rsidR="0026125A" w:rsidRPr="00F50528" w:rsidRDefault="0026125A" w:rsidP="002128BC">
      <w:pPr>
        <w:pStyle w:val="FootnoteText"/>
        <w:rPr>
          <w:sz w:val="20"/>
          <w:szCs w:val="20"/>
        </w:rPr>
      </w:pPr>
      <w:r w:rsidRPr="00F50528">
        <w:rPr>
          <w:rStyle w:val="FootnoteReference"/>
          <w:sz w:val="20"/>
          <w:szCs w:val="20"/>
        </w:rPr>
        <w:footnoteRef/>
      </w:r>
      <w:r w:rsidRPr="00F50528">
        <w:rPr>
          <w:sz w:val="20"/>
          <w:szCs w:val="20"/>
        </w:rPr>
        <w:t xml:space="preserve"> </w:t>
      </w:r>
      <w:r w:rsidRPr="00F50528">
        <w:rPr>
          <w:i/>
          <w:sz w:val="20"/>
          <w:szCs w:val="20"/>
        </w:rPr>
        <w:t xml:space="preserve">See </w:t>
      </w:r>
      <w:r w:rsidRPr="00F50528">
        <w:rPr>
          <w:sz w:val="20"/>
          <w:szCs w:val="20"/>
        </w:rPr>
        <w:t>Charter § 15(c)(5); Local Law 30 Report for Calendar Year 2020, at 7 (June 30, 2021),</w:t>
      </w:r>
      <w:r w:rsidRPr="00F50528">
        <w:rPr>
          <w:i/>
          <w:sz w:val="20"/>
          <w:szCs w:val="20"/>
        </w:rPr>
        <w:t xml:space="preserve"> available at </w:t>
      </w:r>
      <w:hyperlink r:id="rId16" w:history="1">
        <w:r w:rsidRPr="00F50528">
          <w:rPr>
            <w:rStyle w:val="Hyperlink"/>
            <w:sz w:val="20"/>
            <w:szCs w:val="20"/>
          </w:rPr>
          <w:t>https://a860-gpp.nyc.gov/concern/parent/1544br19b/file_sets/hh63sz27r</w:t>
        </w:r>
      </w:hyperlink>
      <w:r w:rsidRPr="00F50528">
        <w:rPr>
          <w:sz w:val="20"/>
          <w:szCs w:val="20"/>
        </w:rPr>
        <w:t>.</w:t>
      </w:r>
    </w:p>
  </w:footnote>
  <w:footnote w:id="23">
    <w:p w14:paraId="24FC96D6" w14:textId="77777777" w:rsidR="0026125A" w:rsidRPr="00F50528" w:rsidRDefault="0026125A" w:rsidP="00EC1340">
      <w:pPr>
        <w:pStyle w:val="FootnoteText"/>
        <w:rPr>
          <w:sz w:val="20"/>
          <w:szCs w:val="20"/>
        </w:rPr>
      </w:pPr>
      <w:r w:rsidRPr="00F50528">
        <w:rPr>
          <w:rStyle w:val="FootnoteReference"/>
          <w:sz w:val="20"/>
          <w:szCs w:val="20"/>
        </w:rPr>
        <w:footnoteRef/>
      </w:r>
      <w:r w:rsidRPr="00F50528">
        <w:rPr>
          <w:sz w:val="20"/>
          <w:szCs w:val="20"/>
        </w:rPr>
        <w:t xml:space="preserve"> N.Y.C. Admin. Code § 23-1102(b).</w:t>
      </w:r>
    </w:p>
  </w:footnote>
  <w:footnote w:id="24">
    <w:p w14:paraId="0933683C" w14:textId="77777777" w:rsidR="0026125A" w:rsidRPr="00F50528" w:rsidRDefault="0026125A" w:rsidP="00EC1340">
      <w:pPr>
        <w:pStyle w:val="FootnoteText"/>
        <w:rPr>
          <w:sz w:val="20"/>
          <w:szCs w:val="20"/>
        </w:rPr>
      </w:pPr>
      <w:r w:rsidRPr="00F50528">
        <w:rPr>
          <w:rStyle w:val="FootnoteReference"/>
          <w:sz w:val="20"/>
          <w:szCs w:val="20"/>
        </w:rPr>
        <w:footnoteRef/>
      </w:r>
      <w:r w:rsidRPr="00F50528">
        <w:rPr>
          <w:sz w:val="20"/>
          <w:szCs w:val="20"/>
        </w:rPr>
        <w:t xml:space="preserve"> N.Y.C. Admin. Code § 23-1102(d).</w:t>
      </w:r>
    </w:p>
  </w:footnote>
  <w:footnote w:id="25">
    <w:p w14:paraId="4CA14F1F" w14:textId="66A1F4F4" w:rsidR="0026125A" w:rsidRPr="00F50528" w:rsidRDefault="0026125A">
      <w:pPr>
        <w:pStyle w:val="FootnoteText"/>
        <w:rPr>
          <w:sz w:val="20"/>
          <w:szCs w:val="20"/>
        </w:rPr>
      </w:pPr>
      <w:r w:rsidRPr="00F50528">
        <w:rPr>
          <w:rStyle w:val="FootnoteReference"/>
          <w:sz w:val="20"/>
          <w:szCs w:val="20"/>
        </w:rPr>
        <w:footnoteRef/>
      </w:r>
      <w:r w:rsidRPr="00F50528">
        <w:rPr>
          <w:sz w:val="20"/>
          <w:szCs w:val="20"/>
        </w:rPr>
        <w:t xml:space="preserve"> Local Law 30 Report for Calendar Year 2020, at 282 (June 30, 2021),</w:t>
      </w:r>
      <w:r w:rsidRPr="00F50528">
        <w:rPr>
          <w:i/>
          <w:sz w:val="20"/>
          <w:szCs w:val="20"/>
        </w:rPr>
        <w:t xml:space="preserve"> available at </w:t>
      </w:r>
      <w:hyperlink r:id="rId17" w:history="1">
        <w:r w:rsidRPr="00F50528">
          <w:rPr>
            <w:rStyle w:val="Hyperlink"/>
            <w:sz w:val="20"/>
            <w:szCs w:val="20"/>
          </w:rPr>
          <w:t>https://a860-gpp.nyc.gov/concern/parent/1544br19b/file_sets/hh63sz27r</w:t>
        </w:r>
      </w:hyperlink>
      <w:r w:rsidRPr="00F50528">
        <w:rPr>
          <w:sz w:val="20"/>
          <w:szCs w:val="20"/>
        </w:rPr>
        <w:t>.</w:t>
      </w:r>
    </w:p>
  </w:footnote>
  <w:footnote w:id="26">
    <w:p w14:paraId="57C458D1" w14:textId="0C601642" w:rsidR="0026125A" w:rsidRPr="00F50528" w:rsidRDefault="0026125A">
      <w:pPr>
        <w:pStyle w:val="FootnoteText"/>
        <w:rPr>
          <w:i/>
          <w:sz w:val="20"/>
          <w:szCs w:val="20"/>
        </w:rPr>
      </w:pPr>
      <w:r w:rsidRPr="00F50528">
        <w:rPr>
          <w:rStyle w:val="FootnoteReference"/>
          <w:sz w:val="20"/>
          <w:szCs w:val="20"/>
        </w:rPr>
        <w:footnoteRef/>
      </w:r>
      <w:r w:rsidRPr="00F50528">
        <w:rPr>
          <w:sz w:val="20"/>
          <w:szCs w:val="20"/>
        </w:rPr>
        <w:t xml:space="preserve"> </w:t>
      </w:r>
      <w:r w:rsidRPr="00F50528">
        <w:rPr>
          <w:i/>
          <w:sz w:val="20"/>
          <w:szCs w:val="20"/>
        </w:rPr>
        <w:t xml:space="preserve">Id. </w:t>
      </w:r>
      <w:r w:rsidRPr="00F50528">
        <w:rPr>
          <w:sz w:val="20"/>
          <w:szCs w:val="20"/>
        </w:rPr>
        <w:t>at 281</w:t>
      </w:r>
      <w:r w:rsidRPr="00F50528">
        <w:rPr>
          <w:i/>
          <w:sz w:val="20"/>
          <w:szCs w:val="20"/>
        </w:rPr>
        <w:t>.</w:t>
      </w:r>
    </w:p>
  </w:footnote>
  <w:footnote w:id="27">
    <w:p w14:paraId="28813C46" w14:textId="446288BB" w:rsidR="0026125A" w:rsidRPr="00F50528" w:rsidRDefault="0026125A">
      <w:pPr>
        <w:pStyle w:val="FootnoteText"/>
        <w:rPr>
          <w:sz w:val="20"/>
          <w:szCs w:val="20"/>
        </w:rPr>
      </w:pPr>
      <w:r w:rsidRPr="00F50528">
        <w:rPr>
          <w:rStyle w:val="FootnoteReference"/>
          <w:sz w:val="20"/>
          <w:szCs w:val="20"/>
        </w:rPr>
        <w:footnoteRef/>
      </w:r>
      <w:r w:rsidRPr="00F50528">
        <w:rPr>
          <w:sz w:val="20"/>
          <w:szCs w:val="20"/>
        </w:rPr>
        <w:t xml:space="preserve"> </w:t>
      </w:r>
      <w:r w:rsidRPr="00F50528">
        <w:rPr>
          <w:i/>
          <w:sz w:val="20"/>
          <w:szCs w:val="20"/>
        </w:rPr>
        <w:t xml:space="preserve">Id. </w:t>
      </w:r>
      <w:r w:rsidRPr="00F50528">
        <w:rPr>
          <w:sz w:val="20"/>
          <w:szCs w:val="20"/>
        </w:rPr>
        <w:t>at 285.</w:t>
      </w:r>
    </w:p>
  </w:footnote>
  <w:footnote w:id="28">
    <w:p w14:paraId="1BECC919" w14:textId="27593CBE" w:rsidR="0026125A" w:rsidRPr="00F50528" w:rsidRDefault="0026125A">
      <w:pPr>
        <w:pStyle w:val="FootnoteText"/>
        <w:rPr>
          <w:i/>
          <w:sz w:val="20"/>
          <w:szCs w:val="20"/>
        </w:rPr>
      </w:pPr>
      <w:r w:rsidRPr="00F50528">
        <w:rPr>
          <w:rStyle w:val="FootnoteReference"/>
          <w:sz w:val="20"/>
          <w:szCs w:val="20"/>
        </w:rPr>
        <w:footnoteRef/>
      </w:r>
      <w:r w:rsidRPr="00F50528">
        <w:rPr>
          <w:sz w:val="20"/>
          <w:szCs w:val="20"/>
        </w:rPr>
        <w:t xml:space="preserve"> </w:t>
      </w:r>
      <w:r w:rsidRPr="00F50528">
        <w:rPr>
          <w:i/>
          <w:sz w:val="20"/>
          <w:szCs w:val="20"/>
        </w:rPr>
        <w:t>Id.</w:t>
      </w:r>
    </w:p>
  </w:footnote>
  <w:footnote w:id="29">
    <w:p w14:paraId="773C2E0E" w14:textId="7E025377" w:rsidR="0026125A" w:rsidRPr="00F50528" w:rsidRDefault="0026125A">
      <w:pPr>
        <w:pStyle w:val="FootnoteText"/>
        <w:rPr>
          <w:i/>
          <w:sz w:val="20"/>
          <w:szCs w:val="20"/>
        </w:rPr>
      </w:pPr>
      <w:r w:rsidRPr="00F50528">
        <w:rPr>
          <w:rStyle w:val="FootnoteReference"/>
          <w:sz w:val="20"/>
          <w:szCs w:val="20"/>
        </w:rPr>
        <w:footnoteRef/>
      </w:r>
      <w:r w:rsidRPr="00F50528">
        <w:rPr>
          <w:sz w:val="20"/>
          <w:szCs w:val="20"/>
        </w:rPr>
        <w:t xml:space="preserve"> </w:t>
      </w:r>
      <w:r w:rsidRPr="00F50528">
        <w:rPr>
          <w:i/>
          <w:sz w:val="20"/>
          <w:szCs w:val="20"/>
        </w:rPr>
        <w:t>Id.</w:t>
      </w:r>
    </w:p>
  </w:footnote>
  <w:footnote w:id="30">
    <w:p w14:paraId="5B8236D2" w14:textId="7825C95E" w:rsidR="0026125A" w:rsidRPr="00F50528" w:rsidRDefault="0026125A">
      <w:pPr>
        <w:pStyle w:val="FootnoteText"/>
        <w:rPr>
          <w:i/>
          <w:sz w:val="20"/>
          <w:szCs w:val="20"/>
        </w:rPr>
      </w:pPr>
      <w:r w:rsidRPr="00F50528">
        <w:rPr>
          <w:rStyle w:val="FootnoteReference"/>
          <w:sz w:val="20"/>
          <w:szCs w:val="20"/>
        </w:rPr>
        <w:footnoteRef/>
      </w:r>
      <w:r w:rsidRPr="00F50528">
        <w:rPr>
          <w:sz w:val="20"/>
          <w:szCs w:val="20"/>
        </w:rPr>
        <w:t xml:space="preserve"> </w:t>
      </w:r>
      <w:r w:rsidRPr="00F50528">
        <w:rPr>
          <w:i/>
          <w:sz w:val="20"/>
          <w:szCs w:val="20"/>
        </w:rPr>
        <w:t>Id.</w:t>
      </w:r>
    </w:p>
  </w:footnote>
  <w:footnote w:id="31">
    <w:p w14:paraId="324B0974" w14:textId="45A10D3D" w:rsidR="0026125A" w:rsidRPr="00F50528" w:rsidRDefault="0026125A">
      <w:pPr>
        <w:pStyle w:val="FootnoteText"/>
        <w:rPr>
          <w:i/>
          <w:sz w:val="20"/>
          <w:szCs w:val="20"/>
        </w:rPr>
      </w:pPr>
      <w:r w:rsidRPr="00F50528">
        <w:rPr>
          <w:rStyle w:val="FootnoteReference"/>
          <w:sz w:val="20"/>
          <w:szCs w:val="20"/>
        </w:rPr>
        <w:footnoteRef/>
      </w:r>
      <w:r w:rsidRPr="00F50528">
        <w:rPr>
          <w:sz w:val="20"/>
          <w:szCs w:val="20"/>
        </w:rPr>
        <w:t xml:space="preserve"> </w:t>
      </w:r>
      <w:r w:rsidRPr="00F50528">
        <w:rPr>
          <w:i/>
          <w:sz w:val="20"/>
          <w:szCs w:val="20"/>
        </w:rPr>
        <w:t>Id.</w:t>
      </w:r>
    </w:p>
  </w:footnote>
  <w:footnote w:id="32">
    <w:p w14:paraId="065FF043" w14:textId="514FF224" w:rsidR="0026125A" w:rsidRPr="00F50528" w:rsidRDefault="0026125A">
      <w:pPr>
        <w:pStyle w:val="FootnoteText"/>
        <w:rPr>
          <w:i/>
          <w:sz w:val="20"/>
          <w:szCs w:val="20"/>
        </w:rPr>
      </w:pPr>
      <w:r w:rsidRPr="00F50528">
        <w:rPr>
          <w:rStyle w:val="FootnoteReference"/>
          <w:sz w:val="20"/>
          <w:szCs w:val="20"/>
        </w:rPr>
        <w:footnoteRef/>
      </w:r>
      <w:r w:rsidRPr="00F50528">
        <w:rPr>
          <w:sz w:val="20"/>
          <w:szCs w:val="20"/>
        </w:rPr>
        <w:t xml:space="preserve"> </w:t>
      </w:r>
      <w:r w:rsidRPr="00F50528">
        <w:rPr>
          <w:i/>
          <w:sz w:val="20"/>
          <w:szCs w:val="20"/>
        </w:rPr>
        <w:t>Id.</w:t>
      </w:r>
    </w:p>
  </w:footnote>
  <w:footnote w:id="33">
    <w:p w14:paraId="7222055A" w14:textId="22C28503" w:rsidR="0026125A" w:rsidRPr="00F50528" w:rsidRDefault="0026125A" w:rsidP="00EC1340">
      <w:pPr>
        <w:pStyle w:val="FootnoteText"/>
        <w:rPr>
          <w:sz w:val="20"/>
          <w:szCs w:val="20"/>
        </w:rPr>
      </w:pPr>
      <w:r w:rsidRPr="00F50528">
        <w:rPr>
          <w:rStyle w:val="FootnoteReference"/>
          <w:sz w:val="20"/>
          <w:szCs w:val="20"/>
        </w:rPr>
        <w:footnoteRef/>
      </w:r>
      <w:r w:rsidRPr="00F50528">
        <w:rPr>
          <w:sz w:val="20"/>
          <w:szCs w:val="20"/>
        </w:rPr>
        <w:t xml:space="preserve"> </w:t>
      </w:r>
      <w:r w:rsidRPr="00F50528">
        <w:rPr>
          <w:i/>
          <w:sz w:val="20"/>
          <w:szCs w:val="20"/>
        </w:rPr>
        <w:t xml:space="preserve">See id. </w:t>
      </w:r>
      <w:r w:rsidRPr="00F50528">
        <w:rPr>
          <w:sz w:val="20"/>
          <w:szCs w:val="20"/>
        </w:rPr>
        <w:t>at 289.</w:t>
      </w:r>
    </w:p>
  </w:footnote>
  <w:footnote w:id="34">
    <w:p w14:paraId="1E34474E" w14:textId="310D8FC6" w:rsidR="0026125A" w:rsidRPr="00F50528" w:rsidRDefault="0026125A" w:rsidP="00EC1340">
      <w:pPr>
        <w:pStyle w:val="FootnoteText"/>
        <w:rPr>
          <w:sz w:val="20"/>
          <w:szCs w:val="20"/>
        </w:rPr>
      </w:pPr>
      <w:r w:rsidRPr="00F50528">
        <w:rPr>
          <w:rStyle w:val="FootnoteReference"/>
          <w:sz w:val="20"/>
          <w:szCs w:val="20"/>
        </w:rPr>
        <w:footnoteRef/>
      </w:r>
      <w:r w:rsidRPr="00F50528">
        <w:rPr>
          <w:sz w:val="20"/>
          <w:szCs w:val="20"/>
        </w:rPr>
        <w:t xml:space="preserve"> </w:t>
      </w:r>
      <w:r w:rsidRPr="00F50528">
        <w:rPr>
          <w:i/>
          <w:sz w:val="20"/>
          <w:szCs w:val="20"/>
        </w:rPr>
        <w:t>See id.</w:t>
      </w:r>
    </w:p>
  </w:footnote>
  <w:footnote w:id="35">
    <w:p w14:paraId="749F0303" w14:textId="07D75110" w:rsidR="0026125A" w:rsidRPr="00F50528" w:rsidRDefault="0026125A">
      <w:pPr>
        <w:pStyle w:val="FootnoteText"/>
        <w:rPr>
          <w:i/>
          <w:sz w:val="20"/>
          <w:szCs w:val="20"/>
        </w:rPr>
      </w:pPr>
      <w:r w:rsidRPr="00F50528">
        <w:rPr>
          <w:rStyle w:val="FootnoteReference"/>
          <w:sz w:val="20"/>
          <w:szCs w:val="20"/>
        </w:rPr>
        <w:footnoteRef/>
      </w:r>
      <w:r w:rsidRPr="00F50528">
        <w:rPr>
          <w:sz w:val="20"/>
          <w:szCs w:val="20"/>
        </w:rPr>
        <w:t xml:space="preserve"> </w:t>
      </w:r>
      <w:r w:rsidRPr="00F50528">
        <w:rPr>
          <w:i/>
          <w:sz w:val="20"/>
          <w:szCs w:val="20"/>
        </w:rPr>
        <w:t>Id.</w:t>
      </w:r>
    </w:p>
  </w:footnote>
  <w:footnote w:id="36">
    <w:p w14:paraId="5021B934" w14:textId="77777777" w:rsidR="0026125A" w:rsidRPr="00F50528" w:rsidRDefault="0026125A" w:rsidP="00EC1340">
      <w:pPr>
        <w:pStyle w:val="FootnoteText"/>
        <w:rPr>
          <w:sz w:val="20"/>
          <w:szCs w:val="20"/>
        </w:rPr>
      </w:pPr>
      <w:r w:rsidRPr="00F50528">
        <w:rPr>
          <w:rStyle w:val="FootnoteReference"/>
          <w:sz w:val="20"/>
          <w:szCs w:val="20"/>
        </w:rPr>
        <w:footnoteRef/>
      </w:r>
      <w:r w:rsidRPr="00F50528">
        <w:rPr>
          <w:sz w:val="20"/>
          <w:szCs w:val="20"/>
        </w:rPr>
        <w:t xml:space="preserve"> </w:t>
      </w:r>
      <w:r w:rsidRPr="00F50528">
        <w:rPr>
          <w:i/>
          <w:sz w:val="20"/>
          <w:szCs w:val="20"/>
        </w:rPr>
        <w:t xml:space="preserve">Id. </w:t>
      </w:r>
      <w:r w:rsidRPr="00F50528">
        <w:rPr>
          <w:sz w:val="20"/>
          <w:szCs w:val="20"/>
        </w:rPr>
        <w:t xml:space="preserve">at 35. </w:t>
      </w:r>
    </w:p>
  </w:footnote>
  <w:footnote w:id="37">
    <w:p w14:paraId="38CAD28A" w14:textId="77777777" w:rsidR="0026125A" w:rsidRPr="00F50528" w:rsidRDefault="0026125A" w:rsidP="00EC1340">
      <w:pPr>
        <w:pStyle w:val="FootnoteText"/>
        <w:rPr>
          <w:i/>
          <w:sz w:val="20"/>
          <w:szCs w:val="20"/>
        </w:rPr>
      </w:pPr>
      <w:r w:rsidRPr="00F50528">
        <w:rPr>
          <w:rStyle w:val="FootnoteReference"/>
          <w:sz w:val="20"/>
          <w:szCs w:val="20"/>
        </w:rPr>
        <w:footnoteRef/>
      </w:r>
      <w:r w:rsidRPr="00F50528">
        <w:rPr>
          <w:sz w:val="20"/>
          <w:szCs w:val="20"/>
        </w:rPr>
        <w:t xml:space="preserve"> </w:t>
      </w:r>
      <w:r w:rsidRPr="00F50528">
        <w:rPr>
          <w:i/>
          <w:sz w:val="20"/>
          <w:szCs w:val="20"/>
        </w:rPr>
        <w:t>Id.</w:t>
      </w:r>
    </w:p>
  </w:footnote>
  <w:footnote w:id="38">
    <w:p w14:paraId="7E9CD3C0" w14:textId="190A84B5" w:rsidR="0026125A" w:rsidRPr="00F50528" w:rsidRDefault="0026125A">
      <w:pPr>
        <w:pStyle w:val="FootnoteText"/>
        <w:rPr>
          <w:sz w:val="20"/>
          <w:szCs w:val="20"/>
        </w:rPr>
      </w:pPr>
      <w:r w:rsidRPr="00F50528">
        <w:rPr>
          <w:rStyle w:val="FootnoteReference"/>
          <w:sz w:val="20"/>
          <w:szCs w:val="20"/>
        </w:rPr>
        <w:footnoteRef/>
      </w:r>
      <w:r w:rsidRPr="00F50528">
        <w:rPr>
          <w:sz w:val="20"/>
          <w:szCs w:val="20"/>
        </w:rPr>
        <w:t xml:space="preserve"> </w:t>
      </w:r>
      <w:r w:rsidRPr="00F50528">
        <w:rPr>
          <w:i/>
          <w:sz w:val="20"/>
          <w:szCs w:val="20"/>
        </w:rPr>
        <w:t xml:space="preserve">See </w:t>
      </w:r>
      <w:r w:rsidRPr="00F50528">
        <w:rPr>
          <w:sz w:val="20"/>
          <w:szCs w:val="20"/>
        </w:rPr>
        <w:t>Gabriel Sandoval,</w:t>
      </w:r>
      <w:r w:rsidRPr="00F50528">
        <w:rPr>
          <w:i/>
          <w:sz w:val="20"/>
          <w:szCs w:val="20"/>
        </w:rPr>
        <w:t xml:space="preserve"> 311 Tone deaf on language options for non-native English speakers</w:t>
      </w:r>
      <w:r w:rsidRPr="00F50528">
        <w:rPr>
          <w:sz w:val="20"/>
          <w:szCs w:val="20"/>
        </w:rPr>
        <w:t xml:space="preserve">, </w:t>
      </w:r>
      <w:r w:rsidRPr="00F50528">
        <w:rPr>
          <w:smallCaps/>
          <w:sz w:val="20"/>
          <w:szCs w:val="20"/>
        </w:rPr>
        <w:t>The City</w:t>
      </w:r>
      <w:r w:rsidRPr="00F50528">
        <w:rPr>
          <w:sz w:val="20"/>
          <w:szCs w:val="20"/>
        </w:rPr>
        <w:t xml:space="preserve"> (Dec. 16, 2019), </w:t>
      </w:r>
      <w:hyperlink r:id="rId18" w:history="1">
        <w:r w:rsidRPr="00F50528">
          <w:rPr>
            <w:rStyle w:val="Hyperlink"/>
            <w:sz w:val="20"/>
            <w:szCs w:val="20"/>
          </w:rPr>
          <w:t>https://thecity.nyc/2019/12/311-tone-deaf-on-language-options-for-non-english-speakers.html</w:t>
        </w:r>
      </w:hyperlink>
      <w:r w:rsidRPr="00F50528">
        <w:rPr>
          <w:sz w:val="20"/>
          <w:szCs w:val="20"/>
        </w:rPr>
        <w:t>.</w:t>
      </w:r>
    </w:p>
  </w:footnote>
  <w:footnote w:id="39">
    <w:p w14:paraId="5B719FCC" w14:textId="2F0A644A" w:rsidR="0026125A" w:rsidRPr="00F50528" w:rsidRDefault="0026125A">
      <w:pPr>
        <w:pStyle w:val="FootnoteText"/>
        <w:rPr>
          <w:sz w:val="20"/>
          <w:szCs w:val="20"/>
        </w:rPr>
      </w:pPr>
      <w:r w:rsidRPr="00F50528">
        <w:rPr>
          <w:rStyle w:val="FootnoteReference"/>
          <w:sz w:val="20"/>
          <w:szCs w:val="20"/>
        </w:rPr>
        <w:footnoteRef/>
      </w:r>
      <w:r w:rsidRPr="00F50528">
        <w:rPr>
          <w:sz w:val="20"/>
          <w:szCs w:val="20"/>
        </w:rPr>
        <w:t xml:space="preserve"> </w:t>
      </w:r>
      <w:r w:rsidRPr="00F50528">
        <w:rPr>
          <w:i/>
          <w:sz w:val="20"/>
          <w:szCs w:val="20"/>
        </w:rPr>
        <w:t xml:space="preserve">Id. </w:t>
      </w:r>
    </w:p>
  </w:footnote>
  <w:footnote w:id="40">
    <w:p w14:paraId="34175DF2" w14:textId="21B2E45A" w:rsidR="0026125A" w:rsidRPr="00F50528" w:rsidRDefault="0026125A">
      <w:pPr>
        <w:pStyle w:val="FootnoteText"/>
        <w:rPr>
          <w:i/>
          <w:sz w:val="20"/>
          <w:szCs w:val="20"/>
        </w:rPr>
      </w:pPr>
      <w:r w:rsidRPr="00F50528">
        <w:rPr>
          <w:rStyle w:val="FootnoteReference"/>
          <w:sz w:val="20"/>
          <w:szCs w:val="20"/>
        </w:rPr>
        <w:footnoteRef/>
      </w:r>
      <w:r w:rsidRPr="00F50528">
        <w:rPr>
          <w:sz w:val="20"/>
          <w:szCs w:val="20"/>
        </w:rPr>
        <w:t xml:space="preserve"> </w:t>
      </w:r>
      <w:r w:rsidRPr="00F50528">
        <w:rPr>
          <w:i/>
          <w:sz w:val="20"/>
          <w:szCs w:val="20"/>
        </w:rPr>
        <w:t>Id.</w:t>
      </w:r>
    </w:p>
  </w:footnote>
  <w:footnote w:id="41">
    <w:p w14:paraId="7929A5F6" w14:textId="2DD629FF" w:rsidR="0026125A" w:rsidRPr="00F50528" w:rsidRDefault="0026125A">
      <w:pPr>
        <w:pStyle w:val="FootnoteText"/>
        <w:rPr>
          <w:i/>
          <w:sz w:val="20"/>
          <w:szCs w:val="20"/>
        </w:rPr>
      </w:pPr>
      <w:r w:rsidRPr="00F50528">
        <w:rPr>
          <w:rStyle w:val="FootnoteReference"/>
          <w:sz w:val="20"/>
          <w:szCs w:val="20"/>
        </w:rPr>
        <w:footnoteRef/>
      </w:r>
      <w:r w:rsidRPr="00F50528">
        <w:rPr>
          <w:sz w:val="20"/>
          <w:szCs w:val="20"/>
        </w:rPr>
        <w:t xml:space="preserve"> </w:t>
      </w:r>
      <w:r w:rsidRPr="00F50528">
        <w:rPr>
          <w:i/>
          <w:sz w:val="20"/>
          <w:szCs w:val="20"/>
        </w:rPr>
        <w:t>Id.</w:t>
      </w:r>
    </w:p>
  </w:footnote>
  <w:footnote w:id="42">
    <w:p w14:paraId="57FBB905" w14:textId="3CEB5CFA" w:rsidR="0026125A" w:rsidRPr="00F50528" w:rsidRDefault="0026125A" w:rsidP="00EC1340">
      <w:pPr>
        <w:pStyle w:val="FootnoteText"/>
        <w:rPr>
          <w:sz w:val="20"/>
          <w:szCs w:val="20"/>
        </w:rPr>
      </w:pPr>
      <w:r w:rsidRPr="00F50528">
        <w:rPr>
          <w:rStyle w:val="FootnoteReference"/>
          <w:sz w:val="20"/>
          <w:szCs w:val="20"/>
        </w:rPr>
        <w:footnoteRef/>
      </w:r>
      <w:r w:rsidRPr="00F50528">
        <w:rPr>
          <w:sz w:val="20"/>
          <w:szCs w:val="20"/>
        </w:rPr>
        <w:t xml:space="preserve"> Testimony before the Committee on Governmental Operations, New York City Council, (Oct. 25, 2018), </w:t>
      </w:r>
      <w:r w:rsidRPr="00F50528">
        <w:rPr>
          <w:i/>
          <w:sz w:val="20"/>
          <w:szCs w:val="20"/>
        </w:rPr>
        <w:t xml:space="preserve">available at </w:t>
      </w:r>
      <w:hyperlink r:id="rId19" w:history="1">
        <w:r w:rsidRPr="00F50528">
          <w:rPr>
            <w:rStyle w:val="Hyperlink"/>
            <w:sz w:val="20"/>
            <w:szCs w:val="20"/>
          </w:rPr>
          <w:t>https://legistar.council.nyc.gov/LegislationDetail.aspx?ID=3698345&amp;GUID=D53B67F7-5F3F-47C5-B753-EC74797E5072&amp;Options=&amp;Search</w:t>
        </w:r>
      </w:hyperlink>
      <w:r w:rsidRPr="00F50528">
        <w:rPr>
          <w:sz w:val="20"/>
          <w:szCs w:val="20"/>
        </w:rPr>
        <w:t>.</w:t>
      </w:r>
    </w:p>
  </w:footnote>
  <w:footnote w:id="43">
    <w:p w14:paraId="6EF5DA31" w14:textId="77777777" w:rsidR="0026125A" w:rsidRPr="00F50528" w:rsidRDefault="0026125A" w:rsidP="00EC1340">
      <w:pPr>
        <w:pStyle w:val="FootnoteText"/>
        <w:rPr>
          <w:sz w:val="20"/>
          <w:szCs w:val="20"/>
        </w:rPr>
      </w:pPr>
      <w:r w:rsidRPr="00F50528">
        <w:rPr>
          <w:rStyle w:val="FootnoteReference"/>
          <w:sz w:val="20"/>
          <w:szCs w:val="20"/>
        </w:rPr>
        <w:footnoteRef/>
      </w:r>
      <w:r w:rsidRPr="00F50528">
        <w:rPr>
          <w:sz w:val="20"/>
          <w:szCs w:val="20"/>
        </w:rPr>
        <w:t xml:space="preserve"> Testimony before the Committee on Governmental Operations, New York City Council, (Jan. 17, 2019), </w:t>
      </w:r>
      <w:r w:rsidRPr="00F50528">
        <w:rPr>
          <w:i/>
          <w:sz w:val="20"/>
          <w:szCs w:val="20"/>
        </w:rPr>
        <w:t xml:space="preserve">available at </w:t>
      </w:r>
      <w:hyperlink r:id="rId20" w:history="1">
        <w:r w:rsidRPr="00F50528">
          <w:rPr>
            <w:rStyle w:val="Hyperlink"/>
            <w:sz w:val="20"/>
            <w:szCs w:val="20"/>
          </w:rPr>
          <w:t>https://legistar.council.nyc.gov/MeetingDetail.aspx?ID=668221&amp;GUID=0F82BE58-10B4-4F58-98A1-28215D28C10F&amp;Options=info&amp;Search</w:t>
        </w:r>
      </w:hyperlink>
      <w:r w:rsidRPr="00F50528">
        <w:rPr>
          <w:sz w:val="20"/>
          <w:szCs w:val="20"/>
        </w:rPr>
        <w:t xml:space="preserve">=.    </w:t>
      </w:r>
    </w:p>
  </w:footnote>
  <w:footnote w:id="44">
    <w:p w14:paraId="3ACDC41C" w14:textId="6B5E5D59" w:rsidR="0026125A" w:rsidRPr="00F50528" w:rsidRDefault="0026125A" w:rsidP="00EC1340">
      <w:pPr>
        <w:pStyle w:val="FootnoteText"/>
        <w:rPr>
          <w:sz w:val="20"/>
          <w:szCs w:val="20"/>
        </w:rPr>
      </w:pPr>
      <w:r w:rsidRPr="00F50528">
        <w:rPr>
          <w:rStyle w:val="FootnoteReference"/>
          <w:sz w:val="20"/>
          <w:szCs w:val="20"/>
        </w:rPr>
        <w:footnoteRef/>
      </w:r>
      <w:r w:rsidRPr="00F50528">
        <w:rPr>
          <w:sz w:val="20"/>
          <w:szCs w:val="20"/>
        </w:rPr>
        <w:t xml:space="preserve"> </w:t>
      </w:r>
      <w:r w:rsidRPr="00F50528">
        <w:rPr>
          <w:i/>
          <w:sz w:val="20"/>
          <w:szCs w:val="20"/>
        </w:rPr>
        <w:t xml:space="preserve">Id. </w:t>
      </w:r>
      <w:r w:rsidRPr="00F50528">
        <w:rPr>
          <w:sz w:val="20"/>
          <w:szCs w:val="20"/>
        </w:rPr>
        <w:t xml:space="preserve">at 35-39 (exchange with Speaker Johnson). </w:t>
      </w:r>
    </w:p>
  </w:footnote>
  <w:footnote w:id="45">
    <w:p w14:paraId="29A9B036" w14:textId="71B0A38B" w:rsidR="0026125A" w:rsidRPr="00F50528" w:rsidRDefault="0026125A">
      <w:pPr>
        <w:pStyle w:val="FootnoteText"/>
        <w:rPr>
          <w:sz w:val="20"/>
          <w:szCs w:val="20"/>
        </w:rPr>
      </w:pPr>
      <w:r w:rsidRPr="00F50528">
        <w:rPr>
          <w:rStyle w:val="FootnoteReference"/>
          <w:sz w:val="20"/>
          <w:szCs w:val="20"/>
        </w:rPr>
        <w:footnoteRef/>
      </w:r>
      <w:r w:rsidRPr="00F50528">
        <w:rPr>
          <w:sz w:val="20"/>
          <w:szCs w:val="20"/>
        </w:rPr>
        <w:t xml:space="preserve"> Local Law 26 of 2021, </w:t>
      </w:r>
      <w:r w:rsidRPr="00F50528">
        <w:rPr>
          <w:i/>
          <w:sz w:val="20"/>
          <w:szCs w:val="20"/>
        </w:rPr>
        <w:t xml:space="preserve">available at </w:t>
      </w:r>
      <w:hyperlink r:id="rId21" w:history="1">
        <w:r w:rsidRPr="00F50528">
          <w:rPr>
            <w:rStyle w:val="Hyperlink"/>
            <w:sz w:val="20"/>
            <w:szCs w:val="20"/>
          </w:rPr>
          <w:t>https://legistar.council.nyc.gov/LegislationDetail.aspx?ID=3923896&amp;GUID=86783671-B200-46DF-9F5F-72811EE3737E&amp;Options=Advanced&amp;Search</w:t>
        </w:r>
      </w:hyperlink>
      <w:r w:rsidRPr="00F50528">
        <w:rPr>
          <w:sz w:val="20"/>
          <w:szCs w:val="20"/>
        </w:rPr>
        <w:t>.</w:t>
      </w:r>
    </w:p>
  </w:footnote>
  <w:footnote w:id="46">
    <w:p w14:paraId="4DF41EC5" w14:textId="738F5EBC" w:rsidR="0026125A" w:rsidRPr="00F50528" w:rsidRDefault="0026125A">
      <w:pPr>
        <w:pStyle w:val="FootnoteText"/>
        <w:rPr>
          <w:sz w:val="20"/>
          <w:szCs w:val="20"/>
        </w:rPr>
      </w:pPr>
      <w:r w:rsidRPr="00F50528">
        <w:rPr>
          <w:rStyle w:val="FootnoteReference"/>
          <w:sz w:val="20"/>
          <w:szCs w:val="20"/>
        </w:rPr>
        <w:footnoteRef/>
      </w:r>
      <w:r w:rsidRPr="00F50528">
        <w:rPr>
          <w:sz w:val="20"/>
          <w:szCs w:val="20"/>
        </w:rPr>
        <w:t xml:space="preserve"> </w:t>
      </w:r>
      <w:r w:rsidRPr="00F50528">
        <w:rPr>
          <w:i/>
          <w:sz w:val="20"/>
          <w:szCs w:val="20"/>
        </w:rPr>
        <w:t>Id.</w:t>
      </w:r>
    </w:p>
  </w:footnote>
  <w:footnote w:id="47">
    <w:p w14:paraId="2BE26F12" w14:textId="0D13C735" w:rsidR="0026125A" w:rsidRPr="00F50528" w:rsidRDefault="0026125A" w:rsidP="00F50528">
      <w:pPr>
        <w:pStyle w:val="FootnoteText"/>
        <w:rPr>
          <w:sz w:val="20"/>
          <w:szCs w:val="20"/>
        </w:rPr>
      </w:pPr>
      <w:r w:rsidRPr="00F50528">
        <w:rPr>
          <w:rStyle w:val="FootnoteReference"/>
          <w:sz w:val="20"/>
          <w:szCs w:val="20"/>
        </w:rPr>
        <w:footnoteRef/>
      </w:r>
      <w:r w:rsidRPr="00F50528">
        <w:rPr>
          <w:sz w:val="20"/>
          <w:szCs w:val="20"/>
        </w:rPr>
        <w:t xml:space="preserve"> </w:t>
      </w:r>
      <w:r w:rsidRPr="00F50528">
        <w:rPr>
          <w:i/>
          <w:sz w:val="20"/>
          <w:szCs w:val="20"/>
        </w:rPr>
        <w:t xml:space="preserve">See </w:t>
      </w:r>
      <w:r w:rsidRPr="00F50528">
        <w:rPr>
          <w:sz w:val="20"/>
          <w:szCs w:val="20"/>
        </w:rPr>
        <w:t xml:space="preserve">NYC311, Customer Satisfaction Surveys in Designated Citywide Languages, at 3 (July 1, 2022), </w:t>
      </w:r>
      <w:hyperlink r:id="rId22" w:history="1">
        <w:r w:rsidRPr="00F50528">
          <w:rPr>
            <w:rStyle w:val="Hyperlink"/>
            <w:sz w:val="20"/>
            <w:szCs w:val="20"/>
          </w:rPr>
          <w:t>https://www1.nyc.gov/assets/doitt/downloads/pdf/reports/311-customer-satisfaction-surveys-designated-languages-2021.pdf</w:t>
        </w:r>
      </w:hyperlink>
      <w:r w:rsidRPr="00F50528">
        <w:rPr>
          <w:sz w:val="20"/>
          <w:szCs w:val="20"/>
        </w:rPr>
        <w:t>.</w:t>
      </w:r>
    </w:p>
  </w:footnote>
  <w:footnote w:id="48">
    <w:p w14:paraId="3CF634E2" w14:textId="389C0450" w:rsidR="0026125A" w:rsidRPr="00F50528" w:rsidRDefault="0026125A">
      <w:pPr>
        <w:pStyle w:val="FootnoteText"/>
        <w:rPr>
          <w:i/>
          <w:sz w:val="20"/>
          <w:szCs w:val="20"/>
        </w:rPr>
      </w:pPr>
      <w:r w:rsidRPr="00F50528">
        <w:rPr>
          <w:rStyle w:val="FootnoteReference"/>
          <w:sz w:val="20"/>
          <w:szCs w:val="20"/>
        </w:rPr>
        <w:footnoteRef/>
      </w:r>
      <w:r w:rsidRPr="00F50528">
        <w:rPr>
          <w:sz w:val="20"/>
          <w:szCs w:val="20"/>
        </w:rPr>
        <w:t xml:space="preserve"> </w:t>
      </w:r>
      <w:r w:rsidRPr="00F50528">
        <w:rPr>
          <w:i/>
          <w:sz w:val="20"/>
          <w:szCs w:val="20"/>
        </w:rPr>
        <w:t>Id.</w:t>
      </w:r>
    </w:p>
  </w:footnote>
  <w:footnote w:id="49">
    <w:p w14:paraId="05BA49E7" w14:textId="4776C2E5" w:rsidR="0026125A" w:rsidRPr="00F50528" w:rsidRDefault="0026125A">
      <w:pPr>
        <w:pStyle w:val="FootnoteText"/>
        <w:rPr>
          <w:i/>
          <w:sz w:val="20"/>
          <w:szCs w:val="20"/>
        </w:rPr>
      </w:pPr>
      <w:r w:rsidRPr="00F50528">
        <w:rPr>
          <w:rStyle w:val="FootnoteReference"/>
          <w:sz w:val="20"/>
          <w:szCs w:val="20"/>
        </w:rPr>
        <w:footnoteRef/>
      </w:r>
      <w:r w:rsidRPr="00F50528">
        <w:rPr>
          <w:sz w:val="20"/>
          <w:szCs w:val="20"/>
        </w:rPr>
        <w:t xml:space="preserve"> </w:t>
      </w:r>
      <w:r w:rsidRPr="00F50528">
        <w:rPr>
          <w:i/>
          <w:sz w:val="20"/>
          <w:szCs w:val="20"/>
        </w:rPr>
        <w:t>Id.</w:t>
      </w:r>
    </w:p>
  </w:footnote>
  <w:footnote w:id="50">
    <w:p w14:paraId="5EDE7257" w14:textId="37E98B86" w:rsidR="0026125A" w:rsidRPr="00F50528" w:rsidRDefault="0026125A">
      <w:pPr>
        <w:pStyle w:val="FootnoteText"/>
        <w:rPr>
          <w:i/>
          <w:sz w:val="20"/>
          <w:szCs w:val="20"/>
        </w:rPr>
      </w:pPr>
      <w:r w:rsidRPr="00F50528">
        <w:rPr>
          <w:rStyle w:val="FootnoteReference"/>
          <w:sz w:val="20"/>
          <w:szCs w:val="20"/>
        </w:rPr>
        <w:footnoteRef/>
      </w:r>
      <w:r w:rsidRPr="00F50528">
        <w:rPr>
          <w:sz w:val="20"/>
          <w:szCs w:val="20"/>
        </w:rPr>
        <w:t xml:space="preserve"> </w:t>
      </w:r>
      <w:r w:rsidRPr="00F50528">
        <w:rPr>
          <w:i/>
          <w:sz w:val="20"/>
          <w:szCs w:val="20"/>
        </w:rPr>
        <w:t>Id.</w:t>
      </w:r>
    </w:p>
  </w:footnote>
  <w:footnote w:id="51">
    <w:p w14:paraId="3506168D" w14:textId="77777777" w:rsidR="0026125A" w:rsidRPr="00F50528" w:rsidRDefault="0026125A" w:rsidP="006743BF">
      <w:pPr>
        <w:rPr>
          <w:sz w:val="20"/>
          <w:szCs w:val="20"/>
        </w:rPr>
      </w:pPr>
      <w:r w:rsidRPr="00F50528">
        <w:rPr>
          <w:rStyle w:val="FootnoteReference"/>
          <w:sz w:val="20"/>
          <w:szCs w:val="20"/>
        </w:rPr>
        <w:footnoteRef/>
      </w:r>
      <w:r w:rsidRPr="00F50528">
        <w:rPr>
          <w:sz w:val="20"/>
          <w:szCs w:val="20"/>
        </w:rPr>
        <w:t xml:space="preserve">  Ferre-Sadurni, Luis, “The Rise and Fall of New York Public Housing: An Oral History,” The New York Times, </w:t>
      </w:r>
      <w:r w:rsidRPr="00F50528">
        <w:rPr>
          <w:i/>
          <w:iCs/>
          <w:sz w:val="20"/>
          <w:szCs w:val="20"/>
        </w:rPr>
        <w:t xml:space="preserve">available at </w:t>
      </w:r>
      <w:r w:rsidRPr="00F50528">
        <w:rPr>
          <w:color w:val="0000FF"/>
          <w:sz w:val="20"/>
          <w:szCs w:val="20"/>
          <w:u w:val="single"/>
        </w:rPr>
        <w:t>https://www.nytimes.com/interactive/2018/06/25/nyregion/new-york-city-public-housing-history.html.</w:t>
      </w:r>
    </w:p>
  </w:footnote>
  <w:footnote w:id="52">
    <w:p w14:paraId="459BF757" w14:textId="77777777" w:rsidR="0026125A" w:rsidRPr="00F50528" w:rsidRDefault="0026125A" w:rsidP="006743BF">
      <w:pPr>
        <w:rPr>
          <w:sz w:val="20"/>
          <w:szCs w:val="20"/>
        </w:rPr>
      </w:pPr>
      <w:r w:rsidRPr="00F50528">
        <w:rPr>
          <w:rStyle w:val="FootnoteReference"/>
          <w:sz w:val="20"/>
          <w:szCs w:val="20"/>
        </w:rPr>
        <w:footnoteRef/>
      </w:r>
      <w:r w:rsidRPr="00F50528">
        <w:rPr>
          <w:sz w:val="20"/>
          <w:szCs w:val="20"/>
        </w:rPr>
        <w:t xml:space="preserve"> Housing Act of 1937, </w:t>
      </w:r>
      <w:r w:rsidRPr="00F50528">
        <w:rPr>
          <w:i/>
          <w:iCs/>
          <w:sz w:val="20"/>
          <w:szCs w:val="20"/>
        </w:rPr>
        <w:t>available at</w:t>
      </w:r>
      <w:r w:rsidRPr="00F50528">
        <w:rPr>
          <w:sz w:val="20"/>
          <w:szCs w:val="20"/>
        </w:rPr>
        <w:t xml:space="preserve"> </w:t>
      </w:r>
      <w:hyperlink r:id="rId23" w:history="1">
        <w:r w:rsidRPr="00F50528">
          <w:rPr>
            <w:color w:val="0000FF"/>
            <w:sz w:val="20"/>
            <w:szCs w:val="20"/>
            <w:u w:val="single"/>
          </w:rPr>
          <w:t>https</w:t>
        </w:r>
      </w:hyperlink>
      <w:hyperlink r:id="rId24" w:history="1">
        <w:r w:rsidRPr="00F50528">
          <w:rPr>
            <w:color w:val="0000FF"/>
            <w:sz w:val="20"/>
            <w:szCs w:val="20"/>
            <w:u w:val="single"/>
          </w:rPr>
          <w:t>://</w:t>
        </w:r>
      </w:hyperlink>
      <w:hyperlink r:id="rId25" w:history="1">
        <w:r w:rsidRPr="00F50528">
          <w:rPr>
            <w:color w:val="0000FF"/>
            <w:sz w:val="20"/>
            <w:szCs w:val="20"/>
            <w:u w:val="single"/>
          </w:rPr>
          <w:t>www</w:t>
        </w:r>
      </w:hyperlink>
      <w:hyperlink r:id="rId26" w:history="1">
        <w:r w:rsidRPr="00F50528">
          <w:rPr>
            <w:color w:val="0000FF"/>
            <w:sz w:val="20"/>
            <w:szCs w:val="20"/>
            <w:u w:val="single"/>
          </w:rPr>
          <w:t>.</w:t>
        </w:r>
      </w:hyperlink>
      <w:hyperlink r:id="rId27" w:history="1">
        <w:r w:rsidRPr="00F50528">
          <w:rPr>
            <w:color w:val="0000FF"/>
            <w:sz w:val="20"/>
            <w:szCs w:val="20"/>
            <w:u w:val="single"/>
          </w:rPr>
          <w:t>gpo</w:t>
        </w:r>
      </w:hyperlink>
      <w:hyperlink r:id="rId28" w:history="1">
        <w:r w:rsidRPr="00F50528">
          <w:rPr>
            <w:color w:val="0000FF"/>
            <w:sz w:val="20"/>
            <w:szCs w:val="20"/>
            <w:u w:val="single"/>
          </w:rPr>
          <w:t>.</w:t>
        </w:r>
      </w:hyperlink>
      <w:hyperlink r:id="rId29" w:history="1">
        <w:r w:rsidRPr="00F50528">
          <w:rPr>
            <w:color w:val="0000FF"/>
            <w:sz w:val="20"/>
            <w:szCs w:val="20"/>
            <w:u w:val="single"/>
          </w:rPr>
          <w:t>gov</w:t>
        </w:r>
      </w:hyperlink>
      <w:hyperlink r:id="rId30" w:history="1">
        <w:r w:rsidRPr="00F50528">
          <w:rPr>
            <w:color w:val="0000FF"/>
            <w:sz w:val="20"/>
            <w:szCs w:val="20"/>
            <w:u w:val="single"/>
          </w:rPr>
          <w:t>/</w:t>
        </w:r>
      </w:hyperlink>
      <w:hyperlink r:id="rId31" w:history="1">
        <w:r w:rsidRPr="00F50528">
          <w:rPr>
            <w:color w:val="0000FF"/>
            <w:sz w:val="20"/>
            <w:szCs w:val="20"/>
            <w:u w:val="single"/>
          </w:rPr>
          <w:t>fdsys</w:t>
        </w:r>
      </w:hyperlink>
      <w:hyperlink r:id="rId32" w:history="1">
        <w:r w:rsidRPr="00F50528">
          <w:rPr>
            <w:color w:val="0000FF"/>
            <w:sz w:val="20"/>
            <w:szCs w:val="20"/>
            <w:u w:val="single"/>
          </w:rPr>
          <w:t>/</w:t>
        </w:r>
      </w:hyperlink>
      <w:hyperlink r:id="rId33" w:history="1">
        <w:r w:rsidRPr="00F50528">
          <w:rPr>
            <w:color w:val="0000FF"/>
            <w:sz w:val="20"/>
            <w:szCs w:val="20"/>
            <w:u w:val="single"/>
          </w:rPr>
          <w:t>pkg</w:t>
        </w:r>
      </w:hyperlink>
      <w:hyperlink r:id="rId34" w:history="1">
        <w:r w:rsidRPr="00F50528">
          <w:rPr>
            <w:color w:val="0000FF"/>
            <w:sz w:val="20"/>
            <w:szCs w:val="20"/>
            <w:u w:val="single"/>
          </w:rPr>
          <w:t>/</w:t>
        </w:r>
      </w:hyperlink>
      <w:hyperlink r:id="rId35" w:history="1">
        <w:r w:rsidRPr="00F50528">
          <w:rPr>
            <w:color w:val="0000FF"/>
            <w:sz w:val="20"/>
            <w:szCs w:val="20"/>
            <w:u w:val="single"/>
          </w:rPr>
          <w:t>USCODE</w:t>
        </w:r>
      </w:hyperlink>
      <w:hyperlink r:id="rId36" w:history="1">
        <w:r w:rsidRPr="00F50528">
          <w:rPr>
            <w:color w:val="0000FF"/>
            <w:sz w:val="20"/>
            <w:szCs w:val="20"/>
            <w:u w:val="single"/>
          </w:rPr>
          <w:t>-2009-</w:t>
        </w:r>
      </w:hyperlink>
      <w:hyperlink r:id="rId37" w:history="1">
        <w:r w:rsidRPr="00F50528">
          <w:rPr>
            <w:color w:val="0000FF"/>
            <w:sz w:val="20"/>
            <w:szCs w:val="20"/>
            <w:u w:val="single"/>
          </w:rPr>
          <w:t>title</w:t>
        </w:r>
      </w:hyperlink>
      <w:hyperlink r:id="rId38" w:history="1">
        <w:r w:rsidRPr="00F50528">
          <w:rPr>
            <w:color w:val="0000FF"/>
            <w:sz w:val="20"/>
            <w:szCs w:val="20"/>
            <w:u w:val="single"/>
          </w:rPr>
          <w:t>42/</w:t>
        </w:r>
      </w:hyperlink>
      <w:hyperlink r:id="rId39" w:history="1">
        <w:r w:rsidRPr="00F50528">
          <w:rPr>
            <w:color w:val="0000FF"/>
            <w:sz w:val="20"/>
            <w:szCs w:val="20"/>
            <w:u w:val="single"/>
          </w:rPr>
          <w:t>pdf</w:t>
        </w:r>
      </w:hyperlink>
      <w:hyperlink r:id="rId40" w:history="1">
        <w:r w:rsidRPr="00F50528">
          <w:rPr>
            <w:color w:val="0000FF"/>
            <w:sz w:val="20"/>
            <w:szCs w:val="20"/>
            <w:u w:val="single"/>
          </w:rPr>
          <w:t>/</w:t>
        </w:r>
      </w:hyperlink>
      <w:hyperlink r:id="rId41" w:history="1">
        <w:r w:rsidRPr="00F50528">
          <w:rPr>
            <w:color w:val="0000FF"/>
            <w:sz w:val="20"/>
            <w:szCs w:val="20"/>
            <w:u w:val="single"/>
          </w:rPr>
          <w:t>USCODE</w:t>
        </w:r>
      </w:hyperlink>
      <w:hyperlink r:id="rId42" w:history="1">
        <w:r w:rsidRPr="00F50528">
          <w:rPr>
            <w:color w:val="0000FF"/>
            <w:sz w:val="20"/>
            <w:szCs w:val="20"/>
            <w:u w:val="single"/>
          </w:rPr>
          <w:t>-2009-</w:t>
        </w:r>
      </w:hyperlink>
      <w:hyperlink r:id="rId43" w:history="1">
        <w:r w:rsidRPr="00F50528">
          <w:rPr>
            <w:color w:val="0000FF"/>
            <w:sz w:val="20"/>
            <w:szCs w:val="20"/>
            <w:u w:val="single"/>
          </w:rPr>
          <w:t>title</w:t>
        </w:r>
      </w:hyperlink>
      <w:hyperlink r:id="rId44" w:history="1">
        <w:r w:rsidRPr="00F50528">
          <w:rPr>
            <w:color w:val="0000FF"/>
            <w:sz w:val="20"/>
            <w:szCs w:val="20"/>
            <w:u w:val="single"/>
          </w:rPr>
          <w:t>42-</w:t>
        </w:r>
      </w:hyperlink>
      <w:hyperlink r:id="rId45" w:history="1">
        <w:r w:rsidRPr="00F50528">
          <w:rPr>
            <w:color w:val="0000FF"/>
            <w:sz w:val="20"/>
            <w:szCs w:val="20"/>
            <w:u w:val="single"/>
          </w:rPr>
          <w:t>chap</w:t>
        </w:r>
      </w:hyperlink>
      <w:hyperlink r:id="rId46" w:history="1">
        <w:r w:rsidRPr="00F50528">
          <w:rPr>
            <w:color w:val="0000FF"/>
            <w:sz w:val="20"/>
            <w:szCs w:val="20"/>
            <w:u w:val="single"/>
          </w:rPr>
          <w:t>8.</w:t>
        </w:r>
      </w:hyperlink>
      <w:hyperlink r:id="rId47" w:history="1">
        <w:r w:rsidRPr="00F50528">
          <w:rPr>
            <w:color w:val="0000FF"/>
            <w:sz w:val="20"/>
            <w:szCs w:val="20"/>
            <w:u w:val="single"/>
          </w:rPr>
          <w:t>pdf</w:t>
        </w:r>
      </w:hyperlink>
      <w:r w:rsidRPr="00F50528">
        <w:rPr>
          <w:sz w:val="20"/>
          <w:szCs w:val="20"/>
        </w:rPr>
        <w:t xml:space="preserve">. </w:t>
      </w:r>
    </w:p>
  </w:footnote>
  <w:footnote w:id="53">
    <w:p w14:paraId="0B6C8F76" w14:textId="77777777" w:rsidR="0026125A" w:rsidRPr="00F50528" w:rsidRDefault="0026125A" w:rsidP="006743BF">
      <w:pPr>
        <w:rPr>
          <w:sz w:val="20"/>
          <w:szCs w:val="20"/>
        </w:rPr>
      </w:pPr>
      <w:r w:rsidRPr="00F50528">
        <w:rPr>
          <w:rStyle w:val="FootnoteReference"/>
          <w:sz w:val="20"/>
          <w:szCs w:val="20"/>
        </w:rPr>
        <w:footnoteRef/>
      </w:r>
      <w:r w:rsidRPr="00F50528">
        <w:rPr>
          <w:sz w:val="20"/>
          <w:szCs w:val="20"/>
        </w:rPr>
        <w:t xml:space="preserve"> Marcuse, 353-54; J.A. Stoloff, A Brief History of Public Housing, Paper presented at August 14 meeting of the American Sociological Association, at 3 (2004).</w:t>
      </w:r>
    </w:p>
  </w:footnote>
  <w:footnote w:id="54">
    <w:p w14:paraId="5EC866F3" w14:textId="77777777" w:rsidR="0026125A" w:rsidRPr="00F50528" w:rsidRDefault="0026125A" w:rsidP="006743BF">
      <w:pPr>
        <w:rPr>
          <w:sz w:val="20"/>
          <w:szCs w:val="20"/>
        </w:rPr>
      </w:pPr>
      <w:r w:rsidRPr="00F50528">
        <w:rPr>
          <w:rStyle w:val="FootnoteReference"/>
          <w:sz w:val="20"/>
          <w:szCs w:val="20"/>
        </w:rPr>
        <w:footnoteRef/>
      </w:r>
      <w:r w:rsidRPr="00F50528">
        <w:rPr>
          <w:sz w:val="20"/>
          <w:szCs w:val="20"/>
        </w:rPr>
        <w:t xml:space="preserve"> Marcuse, 354; Stoloff, 1; </w:t>
      </w:r>
      <w:r w:rsidRPr="00F50528">
        <w:rPr>
          <w:i/>
          <w:iCs/>
          <w:sz w:val="20"/>
          <w:szCs w:val="20"/>
        </w:rPr>
        <w:t>see also</w:t>
      </w:r>
      <w:r w:rsidRPr="00F50528">
        <w:rPr>
          <w:sz w:val="20"/>
          <w:szCs w:val="20"/>
        </w:rPr>
        <w:t xml:space="preserve"> Judith D. Feins, et al., Revised Methods of Providing Federal Funds for Public Housing Agencies, US Department of Housing and Urban Development, at 9 (1994).</w:t>
      </w:r>
    </w:p>
  </w:footnote>
  <w:footnote w:id="55">
    <w:p w14:paraId="49226440" w14:textId="77777777" w:rsidR="0026125A" w:rsidRPr="00F50528" w:rsidRDefault="0026125A" w:rsidP="006743BF">
      <w:pPr>
        <w:rPr>
          <w:sz w:val="20"/>
          <w:szCs w:val="20"/>
        </w:rPr>
      </w:pPr>
      <w:r w:rsidRPr="00F50528">
        <w:rPr>
          <w:rStyle w:val="FootnoteReference"/>
          <w:sz w:val="20"/>
          <w:szCs w:val="20"/>
        </w:rPr>
        <w:footnoteRef/>
      </w:r>
      <w:r w:rsidRPr="00F50528">
        <w:rPr>
          <w:sz w:val="20"/>
          <w:szCs w:val="20"/>
        </w:rPr>
        <w:t xml:space="preserve"> </w:t>
      </w:r>
      <w:r w:rsidRPr="00F50528">
        <w:rPr>
          <w:i/>
          <w:iCs/>
          <w:sz w:val="20"/>
          <w:szCs w:val="20"/>
        </w:rPr>
        <w:t>See</w:t>
      </w:r>
      <w:r w:rsidRPr="00F50528">
        <w:rPr>
          <w:sz w:val="20"/>
          <w:szCs w:val="20"/>
        </w:rPr>
        <w:t xml:space="preserve"> NYCHA 2022 Fact Sheet, </w:t>
      </w:r>
      <w:r w:rsidRPr="00F50528">
        <w:rPr>
          <w:i/>
          <w:iCs/>
          <w:sz w:val="20"/>
          <w:szCs w:val="20"/>
        </w:rPr>
        <w:t>available at</w:t>
      </w:r>
      <w:r w:rsidRPr="00F50528">
        <w:rPr>
          <w:sz w:val="20"/>
          <w:szCs w:val="20"/>
        </w:rPr>
        <w:t xml:space="preserve"> </w:t>
      </w:r>
      <w:hyperlink r:id="rId48" w:history="1">
        <w:r w:rsidRPr="00F50528">
          <w:rPr>
            <w:rStyle w:val="Hyperlink"/>
            <w:color w:val="0000FF"/>
            <w:sz w:val="20"/>
            <w:szCs w:val="20"/>
          </w:rPr>
          <w:t>https://www1.nyc.gov/assets/nycha/downloads/pdf/NYCHA_Fact_Sheet_2022.pdf</w:t>
        </w:r>
      </w:hyperlink>
      <w:r w:rsidRPr="00F50528">
        <w:rPr>
          <w:color w:val="0000FF"/>
          <w:sz w:val="20"/>
          <w:szCs w:val="20"/>
        </w:rPr>
        <w:t>.</w:t>
      </w:r>
      <w:r w:rsidRPr="00F50528">
        <w:rPr>
          <w:sz w:val="20"/>
          <w:szCs w:val="20"/>
        </w:rPr>
        <w:t xml:space="preserve"> </w:t>
      </w:r>
    </w:p>
  </w:footnote>
  <w:footnote w:id="56">
    <w:p w14:paraId="476CBB46" w14:textId="77777777" w:rsidR="0026125A" w:rsidRPr="00F50528" w:rsidRDefault="0026125A" w:rsidP="006743BF">
      <w:pPr>
        <w:rPr>
          <w:sz w:val="20"/>
          <w:szCs w:val="20"/>
        </w:rPr>
      </w:pPr>
      <w:r w:rsidRPr="00F50528">
        <w:rPr>
          <w:rStyle w:val="FootnoteReference"/>
          <w:sz w:val="20"/>
          <w:szCs w:val="20"/>
        </w:rPr>
        <w:footnoteRef/>
      </w:r>
      <w:r w:rsidRPr="00F50528">
        <w:rPr>
          <w:sz w:val="20"/>
          <w:szCs w:val="20"/>
        </w:rPr>
        <w:t xml:space="preserve"> U.S. HUD, Rental Assistance Demonstration (RAD), </w:t>
      </w:r>
      <w:hyperlink r:id="rId49" w:history="1">
        <w:r w:rsidRPr="00F50528">
          <w:rPr>
            <w:color w:val="0000FF"/>
            <w:sz w:val="20"/>
            <w:szCs w:val="20"/>
            <w:u w:val="single"/>
          </w:rPr>
          <w:t>https</w:t>
        </w:r>
      </w:hyperlink>
      <w:hyperlink r:id="rId50" w:history="1">
        <w:r w:rsidRPr="00F50528">
          <w:rPr>
            <w:color w:val="0000FF"/>
            <w:sz w:val="20"/>
            <w:szCs w:val="20"/>
            <w:u w:val="single"/>
          </w:rPr>
          <w:t>://</w:t>
        </w:r>
      </w:hyperlink>
      <w:hyperlink r:id="rId51" w:history="1">
        <w:r w:rsidRPr="00F50528">
          <w:rPr>
            <w:color w:val="0000FF"/>
            <w:sz w:val="20"/>
            <w:szCs w:val="20"/>
            <w:u w:val="single"/>
          </w:rPr>
          <w:t>www</w:t>
        </w:r>
      </w:hyperlink>
      <w:hyperlink r:id="rId52" w:history="1">
        <w:r w:rsidRPr="00F50528">
          <w:rPr>
            <w:color w:val="0000FF"/>
            <w:sz w:val="20"/>
            <w:szCs w:val="20"/>
            <w:u w:val="single"/>
          </w:rPr>
          <w:t>.</w:t>
        </w:r>
      </w:hyperlink>
      <w:hyperlink r:id="rId53" w:history="1">
        <w:r w:rsidRPr="00F50528">
          <w:rPr>
            <w:color w:val="0000FF"/>
            <w:sz w:val="20"/>
            <w:szCs w:val="20"/>
            <w:u w:val="single"/>
          </w:rPr>
          <w:t>hud</w:t>
        </w:r>
      </w:hyperlink>
      <w:hyperlink r:id="rId54" w:history="1">
        <w:r w:rsidRPr="00F50528">
          <w:rPr>
            <w:color w:val="0000FF"/>
            <w:sz w:val="20"/>
            <w:szCs w:val="20"/>
            <w:u w:val="single"/>
          </w:rPr>
          <w:t>.</w:t>
        </w:r>
      </w:hyperlink>
      <w:hyperlink r:id="rId55" w:history="1">
        <w:r w:rsidRPr="00F50528">
          <w:rPr>
            <w:color w:val="0000FF"/>
            <w:sz w:val="20"/>
            <w:szCs w:val="20"/>
            <w:u w:val="single"/>
          </w:rPr>
          <w:t>gov</w:t>
        </w:r>
      </w:hyperlink>
      <w:hyperlink r:id="rId56" w:history="1">
        <w:r w:rsidRPr="00F50528">
          <w:rPr>
            <w:color w:val="0000FF"/>
            <w:sz w:val="20"/>
            <w:szCs w:val="20"/>
            <w:u w:val="single"/>
          </w:rPr>
          <w:t>/</w:t>
        </w:r>
      </w:hyperlink>
      <w:hyperlink r:id="rId57" w:history="1">
        <w:r w:rsidRPr="00F50528">
          <w:rPr>
            <w:color w:val="0000FF"/>
            <w:sz w:val="20"/>
            <w:szCs w:val="20"/>
            <w:u w:val="single"/>
          </w:rPr>
          <w:t>RAD</w:t>
        </w:r>
      </w:hyperlink>
      <w:r w:rsidRPr="00F50528">
        <w:rPr>
          <w:sz w:val="20"/>
          <w:szCs w:val="20"/>
        </w:rPr>
        <w:t xml:space="preserve"> (last accessed Apr. 28, 2022).</w:t>
      </w:r>
    </w:p>
  </w:footnote>
  <w:footnote w:id="57">
    <w:p w14:paraId="315945F8" w14:textId="77777777" w:rsidR="0026125A" w:rsidRPr="00F50528" w:rsidRDefault="0026125A" w:rsidP="006743BF">
      <w:pPr>
        <w:rPr>
          <w:sz w:val="20"/>
          <w:szCs w:val="20"/>
        </w:rPr>
      </w:pPr>
      <w:r w:rsidRPr="00F50528">
        <w:rPr>
          <w:rStyle w:val="FootnoteReference"/>
          <w:sz w:val="20"/>
          <w:szCs w:val="20"/>
        </w:rPr>
        <w:footnoteRef/>
      </w:r>
      <w:r w:rsidRPr="00F50528">
        <w:rPr>
          <w:sz w:val="20"/>
          <w:szCs w:val="20"/>
        </w:rPr>
        <w:t xml:space="preserve"> </w:t>
      </w:r>
      <w:r w:rsidRPr="00F50528">
        <w:rPr>
          <w:i/>
          <w:iCs/>
          <w:sz w:val="20"/>
          <w:szCs w:val="20"/>
        </w:rPr>
        <w:t>Id.</w:t>
      </w:r>
      <w:r w:rsidRPr="00F50528">
        <w:rPr>
          <w:sz w:val="20"/>
          <w:szCs w:val="20"/>
        </w:rPr>
        <w:t xml:space="preserve">; </w:t>
      </w:r>
      <w:r w:rsidRPr="00F50528">
        <w:rPr>
          <w:i/>
          <w:iCs/>
          <w:sz w:val="20"/>
          <w:szCs w:val="20"/>
        </w:rPr>
        <w:t>see also</w:t>
      </w:r>
      <w:r w:rsidRPr="00F50528">
        <w:rPr>
          <w:sz w:val="20"/>
          <w:szCs w:val="20"/>
        </w:rPr>
        <w:t xml:space="preserve"> HUD Exchange, </w:t>
      </w:r>
      <w:r w:rsidRPr="00F50528">
        <w:rPr>
          <w:i/>
          <w:iCs/>
          <w:sz w:val="20"/>
          <w:szCs w:val="20"/>
        </w:rPr>
        <w:t>Rental Assistance Demonstration (RAD)</w:t>
      </w:r>
      <w:r w:rsidRPr="00F50528">
        <w:rPr>
          <w:sz w:val="20"/>
          <w:szCs w:val="20"/>
        </w:rPr>
        <w:t xml:space="preserve">, </w:t>
      </w:r>
      <w:hyperlink r:id="rId58" w:history="1">
        <w:r w:rsidRPr="00F50528">
          <w:rPr>
            <w:color w:val="0000FF"/>
            <w:sz w:val="20"/>
            <w:szCs w:val="20"/>
            <w:u w:val="single"/>
          </w:rPr>
          <w:t>https</w:t>
        </w:r>
      </w:hyperlink>
      <w:hyperlink r:id="rId59" w:history="1">
        <w:r w:rsidRPr="00F50528">
          <w:rPr>
            <w:color w:val="0000FF"/>
            <w:sz w:val="20"/>
            <w:szCs w:val="20"/>
            <w:u w:val="single"/>
          </w:rPr>
          <w:t>://</w:t>
        </w:r>
      </w:hyperlink>
      <w:hyperlink r:id="rId60" w:history="1">
        <w:r w:rsidRPr="00F50528">
          <w:rPr>
            <w:color w:val="0000FF"/>
            <w:sz w:val="20"/>
            <w:szCs w:val="20"/>
            <w:u w:val="single"/>
          </w:rPr>
          <w:t>www</w:t>
        </w:r>
      </w:hyperlink>
      <w:hyperlink r:id="rId61" w:history="1">
        <w:r w:rsidRPr="00F50528">
          <w:rPr>
            <w:color w:val="0000FF"/>
            <w:sz w:val="20"/>
            <w:szCs w:val="20"/>
            <w:u w:val="single"/>
          </w:rPr>
          <w:t>.</w:t>
        </w:r>
      </w:hyperlink>
      <w:hyperlink r:id="rId62" w:history="1">
        <w:r w:rsidRPr="00F50528">
          <w:rPr>
            <w:color w:val="0000FF"/>
            <w:sz w:val="20"/>
            <w:szCs w:val="20"/>
            <w:u w:val="single"/>
          </w:rPr>
          <w:t>hudexchange</w:t>
        </w:r>
      </w:hyperlink>
      <w:hyperlink r:id="rId63" w:history="1">
        <w:r w:rsidRPr="00F50528">
          <w:rPr>
            <w:color w:val="0000FF"/>
            <w:sz w:val="20"/>
            <w:szCs w:val="20"/>
            <w:u w:val="single"/>
          </w:rPr>
          <w:t>.</w:t>
        </w:r>
      </w:hyperlink>
      <w:hyperlink r:id="rId64" w:history="1">
        <w:r w:rsidRPr="00F50528">
          <w:rPr>
            <w:color w:val="0000FF"/>
            <w:sz w:val="20"/>
            <w:szCs w:val="20"/>
            <w:u w:val="single"/>
          </w:rPr>
          <w:t>info</w:t>
        </w:r>
      </w:hyperlink>
      <w:hyperlink r:id="rId65" w:history="1">
        <w:r w:rsidRPr="00F50528">
          <w:rPr>
            <w:color w:val="0000FF"/>
            <w:sz w:val="20"/>
            <w:szCs w:val="20"/>
            <w:u w:val="single"/>
          </w:rPr>
          <w:t>/</w:t>
        </w:r>
      </w:hyperlink>
      <w:hyperlink r:id="rId66" w:history="1">
        <w:r w:rsidRPr="00F50528">
          <w:rPr>
            <w:color w:val="0000FF"/>
            <w:sz w:val="20"/>
            <w:szCs w:val="20"/>
            <w:u w:val="single"/>
          </w:rPr>
          <w:t>programs</w:t>
        </w:r>
      </w:hyperlink>
      <w:hyperlink r:id="rId67" w:history="1">
        <w:r w:rsidRPr="00F50528">
          <w:rPr>
            <w:color w:val="0000FF"/>
            <w:sz w:val="20"/>
            <w:szCs w:val="20"/>
            <w:u w:val="single"/>
          </w:rPr>
          <w:t>/</w:t>
        </w:r>
      </w:hyperlink>
      <w:hyperlink r:id="rId68" w:history="1">
        <w:r w:rsidRPr="00F50528">
          <w:rPr>
            <w:color w:val="0000FF"/>
            <w:sz w:val="20"/>
            <w:szCs w:val="20"/>
            <w:u w:val="single"/>
          </w:rPr>
          <w:t>rad</w:t>
        </w:r>
      </w:hyperlink>
      <w:hyperlink r:id="rId69" w:history="1">
        <w:r w:rsidRPr="00F50528">
          <w:rPr>
            <w:color w:val="0000FF"/>
            <w:sz w:val="20"/>
            <w:szCs w:val="20"/>
            <w:u w:val="single"/>
          </w:rPr>
          <w:t>/</w:t>
        </w:r>
      </w:hyperlink>
      <w:r w:rsidRPr="00F50528">
        <w:rPr>
          <w:sz w:val="20"/>
          <w:szCs w:val="20"/>
        </w:rPr>
        <w:t xml:space="preserve"> (last accessed Apr. 28, 2022).</w:t>
      </w:r>
    </w:p>
  </w:footnote>
  <w:footnote w:id="58">
    <w:p w14:paraId="48DE1741" w14:textId="77777777" w:rsidR="0026125A" w:rsidRPr="00F50528" w:rsidRDefault="0026125A" w:rsidP="006743BF">
      <w:pPr>
        <w:rPr>
          <w:sz w:val="20"/>
          <w:szCs w:val="20"/>
        </w:rPr>
      </w:pPr>
      <w:r w:rsidRPr="00F50528">
        <w:rPr>
          <w:rStyle w:val="FootnoteReference"/>
          <w:sz w:val="20"/>
          <w:szCs w:val="20"/>
        </w:rPr>
        <w:footnoteRef/>
      </w:r>
      <w:r w:rsidRPr="00F50528">
        <w:rPr>
          <w:sz w:val="20"/>
          <w:szCs w:val="20"/>
        </w:rPr>
        <w:t xml:space="preserve"> </w:t>
      </w:r>
      <w:r w:rsidRPr="00F50528">
        <w:rPr>
          <w:i/>
          <w:iCs/>
          <w:sz w:val="20"/>
          <w:szCs w:val="20"/>
        </w:rPr>
        <w:t>See</w:t>
      </w:r>
      <w:r w:rsidRPr="00F50528">
        <w:rPr>
          <w:sz w:val="20"/>
          <w:szCs w:val="20"/>
        </w:rPr>
        <w:t xml:space="preserve"> </w:t>
      </w:r>
      <w:r w:rsidRPr="00F50528">
        <w:rPr>
          <w:i/>
          <w:iCs/>
          <w:sz w:val="20"/>
          <w:szCs w:val="20"/>
        </w:rPr>
        <w:t>id</w:t>
      </w:r>
      <w:r w:rsidRPr="00F50528">
        <w:rPr>
          <w:sz w:val="20"/>
          <w:szCs w:val="20"/>
        </w:rPr>
        <w:t xml:space="preserve">.; </w:t>
      </w:r>
      <w:r w:rsidRPr="00F50528">
        <w:rPr>
          <w:i/>
          <w:iCs/>
          <w:sz w:val="20"/>
          <w:szCs w:val="20"/>
        </w:rPr>
        <w:t>see also</w:t>
      </w:r>
      <w:r w:rsidRPr="00F50528">
        <w:rPr>
          <w:sz w:val="20"/>
          <w:szCs w:val="20"/>
        </w:rPr>
        <w:t xml:space="preserve"> Community Service Society et al., </w:t>
      </w:r>
      <w:r w:rsidRPr="00F50528">
        <w:rPr>
          <w:i/>
          <w:iCs/>
          <w:sz w:val="20"/>
          <w:szCs w:val="20"/>
        </w:rPr>
        <w:t>Resident Handbook: A Guide to NYCHA RAD Conversion</w:t>
      </w:r>
      <w:r w:rsidRPr="00F50528">
        <w:rPr>
          <w:sz w:val="20"/>
          <w:szCs w:val="20"/>
        </w:rPr>
        <w:t xml:space="preserve">, (March 2018), </w:t>
      </w:r>
      <w:r w:rsidRPr="00F50528">
        <w:rPr>
          <w:i/>
          <w:iCs/>
          <w:sz w:val="20"/>
          <w:szCs w:val="20"/>
        </w:rPr>
        <w:t>available at</w:t>
      </w:r>
      <w:r w:rsidRPr="00F50528">
        <w:rPr>
          <w:sz w:val="20"/>
          <w:szCs w:val="20"/>
        </w:rPr>
        <w:t xml:space="preserve"> https://smhttp-ssl-58547.nexcesscdn.net/nycss/images/uploads/pubs/RADHandbook1.pdf .</w:t>
      </w:r>
    </w:p>
  </w:footnote>
  <w:footnote w:id="59">
    <w:p w14:paraId="0B2F027E" w14:textId="6B10458B" w:rsidR="0026125A" w:rsidRPr="00F50528" w:rsidRDefault="0026125A" w:rsidP="006743BF">
      <w:pPr>
        <w:rPr>
          <w:sz w:val="20"/>
          <w:szCs w:val="20"/>
        </w:rPr>
      </w:pPr>
      <w:r w:rsidRPr="00F50528">
        <w:rPr>
          <w:rStyle w:val="FootnoteReference"/>
          <w:sz w:val="20"/>
          <w:szCs w:val="20"/>
        </w:rPr>
        <w:footnoteRef/>
      </w:r>
      <w:r w:rsidRPr="00F50528">
        <w:rPr>
          <w:sz w:val="20"/>
          <w:szCs w:val="20"/>
        </w:rPr>
        <w:t xml:space="preserve"> NYU Furman Center, </w:t>
      </w:r>
      <w:r w:rsidRPr="00F50528">
        <w:rPr>
          <w:i/>
          <w:iCs/>
          <w:sz w:val="20"/>
          <w:szCs w:val="20"/>
        </w:rPr>
        <w:t>Section 8 Housing Choice Voucher Program</w:t>
      </w:r>
      <w:r w:rsidRPr="00F50528">
        <w:rPr>
          <w:sz w:val="20"/>
          <w:szCs w:val="20"/>
        </w:rPr>
        <w:t xml:space="preserve">, </w:t>
      </w:r>
      <w:hyperlink r:id="rId70" w:history="1">
        <w:r w:rsidRPr="003B4550">
          <w:rPr>
            <w:rStyle w:val="Hyperlink"/>
            <w:sz w:val="20"/>
            <w:szCs w:val="20"/>
          </w:rPr>
          <w:t>https://furmancenter.org/coredata/directory/entry/section-8-housing-choice-voucher-program</w:t>
        </w:r>
      </w:hyperlink>
      <w:r w:rsidRPr="00F50528">
        <w:rPr>
          <w:sz w:val="20"/>
          <w:szCs w:val="20"/>
        </w:rPr>
        <w:t>.</w:t>
      </w:r>
      <w:r>
        <w:rPr>
          <w:sz w:val="20"/>
          <w:szCs w:val="20"/>
        </w:rPr>
        <w:t xml:space="preserve"> </w:t>
      </w:r>
    </w:p>
  </w:footnote>
  <w:footnote w:id="60">
    <w:p w14:paraId="257F4224" w14:textId="77777777" w:rsidR="0026125A" w:rsidRPr="00F50528" w:rsidRDefault="0026125A" w:rsidP="006743BF">
      <w:pPr>
        <w:rPr>
          <w:sz w:val="20"/>
          <w:szCs w:val="20"/>
        </w:rPr>
      </w:pPr>
      <w:r w:rsidRPr="00F50528">
        <w:rPr>
          <w:rStyle w:val="FootnoteReference"/>
          <w:sz w:val="20"/>
          <w:szCs w:val="20"/>
        </w:rPr>
        <w:footnoteRef/>
      </w:r>
      <w:r w:rsidRPr="00F50528">
        <w:rPr>
          <w:sz w:val="20"/>
          <w:szCs w:val="20"/>
        </w:rPr>
        <w:t xml:space="preserve"> NYU Furman Center, </w:t>
      </w:r>
      <w:r w:rsidRPr="00F50528">
        <w:rPr>
          <w:i/>
          <w:iCs/>
          <w:sz w:val="20"/>
          <w:szCs w:val="20"/>
        </w:rPr>
        <w:t>Section 8 Project-Based Voucher Program (PBV)</w:t>
      </w:r>
      <w:r w:rsidRPr="00F50528">
        <w:rPr>
          <w:sz w:val="20"/>
          <w:szCs w:val="20"/>
        </w:rPr>
        <w:t xml:space="preserve">, </w:t>
      </w:r>
      <w:hyperlink r:id="rId71" w:history="1">
        <w:r w:rsidRPr="00F50528">
          <w:rPr>
            <w:color w:val="0000FF"/>
            <w:sz w:val="20"/>
            <w:szCs w:val="20"/>
            <w:u w:val="single"/>
          </w:rPr>
          <w:t>https</w:t>
        </w:r>
      </w:hyperlink>
      <w:hyperlink r:id="rId72" w:history="1">
        <w:r w:rsidRPr="00F50528">
          <w:rPr>
            <w:color w:val="0000FF"/>
            <w:sz w:val="20"/>
            <w:szCs w:val="20"/>
            <w:u w:val="single"/>
          </w:rPr>
          <w:t>://</w:t>
        </w:r>
      </w:hyperlink>
      <w:hyperlink r:id="rId73" w:history="1">
        <w:r w:rsidRPr="00F50528">
          <w:rPr>
            <w:color w:val="0000FF"/>
            <w:sz w:val="20"/>
            <w:szCs w:val="20"/>
            <w:u w:val="single"/>
          </w:rPr>
          <w:t>furmancenter</w:t>
        </w:r>
      </w:hyperlink>
      <w:hyperlink r:id="rId74" w:history="1">
        <w:r w:rsidRPr="00F50528">
          <w:rPr>
            <w:color w:val="0000FF"/>
            <w:sz w:val="20"/>
            <w:szCs w:val="20"/>
            <w:u w:val="single"/>
          </w:rPr>
          <w:t>.</w:t>
        </w:r>
      </w:hyperlink>
      <w:hyperlink r:id="rId75" w:history="1">
        <w:r w:rsidRPr="00F50528">
          <w:rPr>
            <w:color w:val="0000FF"/>
            <w:sz w:val="20"/>
            <w:szCs w:val="20"/>
            <w:u w:val="single"/>
          </w:rPr>
          <w:t>org</w:t>
        </w:r>
      </w:hyperlink>
      <w:hyperlink r:id="rId76" w:history="1">
        <w:r w:rsidRPr="00F50528">
          <w:rPr>
            <w:color w:val="0000FF"/>
            <w:sz w:val="20"/>
            <w:szCs w:val="20"/>
            <w:u w:val="single"/>
          </w:rPr>
          <w:t>/</w:t>
        </w:r>
      </w:hyperlink>
      <w:hyperlink r:id="rId77" w:history="1">
        <w:r w:rsidRPr="00F50528">
          <w:rPr>
            <w:color w:val="0000FF"/>
            <w:sz w:val="20"/>
            <w:szCs w:val="20"/>
            <w:u w:val="single"/>
          </w:rPr>
          <w:t>coredata</w:t>
        </w:r>
      </w:hyperlink>
      <w:hyperlink r:id="rId78" w:history="1">
        <w:r w:rsidRPr="00F50528">
          <w:rPr>
            <w:color w:val="0000FF"/>
            <w:sz w:val="20"/>
            <w:szCs w:val="20"/>
            <w:u w:val="single"/>
          </w:rPr>
          <w:t>/</w:t>
        </w:r>
      </w:hyperlink>
      <w:hyperlink r:id="rId79" w:history="1">
        <w:r w:rsidRPr="00F50528">
          <w:rPr>
            <w:color w:val="0000FF"/>
            <w:sz w:val="20"/>
            <w:szCs w:val="20"/>
            <w:u w:val="single"/>
          </w:rPr>
          <w:t>directory</w:t>
        </w:r>
      </w:hyperlink>
      <w:hyperlink r:id="rId80" w:history="1">
        <w:r w:rsidRPr="00F50528">
          <w:rPr>
            <w:color w:val="0000FF"/>
            <w:sz w:val="20"/>
            <w:szCs w:val="20"/>
            <w:u w:val="single"/>
          </w:rPr>
          <w:t>/</w:t>
        </w:r>
      </w:hyperlink>
      <w:hyperlink r:id="rId81" w:history="1">
        <w:r w:rsidRPr="00F50528">
          <w:rPr>
            <w:color w:val="0000FF"/>
            <w:sz w:val="20"/>
            <w:szCs w:val="20"/>
            <w:u w:val="single"/>
          </w:rPr>
          <w:t>entry</w:t>
        </w:r>
      </w:hyperlink>
      <w:hyperlink r:id="rId82" w:history="1">
        <w:r w:rsidRPr="00F50528">
          <w:rPr>
            <w:color w:val="0000FF"/>
            <w:sz w:val="20"/>
            <w:szCs w:val="20"/>
            <w:u w:val="single"/>
          </w:rPr>
          <w:t>/</w:t>
        </w:r>
      </w:hyperlink>
      <w:hyperlink r:id="rId83" w:history="1">
        <w:r w:rsidRPr="00F50528">
          <w:rPr>
            <w:color w:val="0000FF"/>
            <w:sz w:val="20"/>
            <w:szCs w:val="20"/>
            <w:u w:val="single"/>
          </w:rPr>
          <w:t>project</w:t>
        </w:r>
      </w:hyperlink>
      <w:hyperlink r:id="rId84" w:history="1">
        <w:r w:rsidRPr="00F50528">
          <w:rPr>
            <w:color w:val="0000FF"/>
            <w:sz w:val="20"/>
            <w:szCs w:val="20"/>
            <w:u w:val="single"/>
          </w:rPr>
          <w:t>-</w:t>
        </w:r>
      </w:hyperlink>
      <w:hyperlink r:id="rId85" w:history="1">
        <w:r w:rsidRPr="00F50528">
          <w:rPr>
            <w:color w:val="0000FF"/>
            <w:sz w:val="20"/>
            <w:szCs w:val="20"/>
            <w:u w:val="single"/>
          </w:rPr>
          <w:t>based</w:t>
        </w:r>
      </w:hyperlink>
      <w:hyperlink r:id="rId86" w:history="1">
        <w:r w:rsidRPr="00F50528">
          <w:rPr>
            <w:color w:val="0000FF"/>
            <w:sz w:val="20"/>
            <w:szCs w:val="20"/>
            <w:u w:val="single"/>
          </w:rPr>
          <w:t>-</w:t>
        </w:r>
      </w:hyperlink>
      <w:hyperlink r:id="rId87" w:history="1">
        <w:r w:rsidRPr="00F50528">
          <w:rPr>
            <w:color w:val="0000FF"/>
            <w:sz w:val="20"/>
            <w:szCs w:val="20"/>
            <w:u w:val="single"/>
          </w:rPr>
          <w:t>section</w:t>
        </w:r>
      </w:hyperlink>
      <w:hyperlink r:id="rId88" w:history="1">
        <w:r w:rsidRPr="00F50528">
          <w:rPr>
            <w:color w:val="0000FF"/>
            <w:sz w:val="20"/>
            <w:szCs w:val="20"/>
            <w:u w:val="single"/>
          </w:rPr>
          <w:t>-8</w:t>
        </w:r>
      </w:hyperlink>
      <w:r w:rsidRPr="00F50528">
        <w:rPr>
          <w:sz w:val="20"/>
          <w:szCs w:val="20"/>
        </w:rPr>
        <w:t xml:space="preserve">. </w:t>
      </w:r>
    </w:p>
  </w:footnote>
  <w:footnote w:id="61">
    <w:p w14:paraId="1E19128E" w14:textId="77777777" w:rsidR="0026125A" w:rsidRPr="00F50528" w:rsidRDefault="0026125A" w:rsidP="006743BF">
      <w:pPr>
        <w:rPr>
          <w:sz w:val="20"/>
          <w:szCs w:val="20"/>
        </w:rPr>
      </w:pPr>
      <w:r w:rsidRPr="00F50528">
        <w:rPr>
          <w:rStyle w:val="FootnoteReference"/>
          <w:sz w:val="20"/>
          <w:szCs w:val="20"/>
        </w:rPr>
        <w:footnoteRef/>
      </w:r>
      <w:r w:rsidRPr="00F50528">
        <w:rPr>
          <w:sz w:val="20"/>
          <w:szCs w:val="20"/>
        </w:rPr>
        <w:t xml:space="preserve"> </w:t>
      </w:r>
      <w:r w:rsidRPr="00F50528">
        <w:rPr>
          <w:i/>
          <w:iCs/>
          <w:sz w:val="20"/>
          <w:szCs w:val="20"/>
        </w:rPr>
        <w:t>Id .</w:t>
      </w:r>
    </w:p>
  </w:footnote>
  <w:footnote w:id="62">
    <w:p w14:paraId="42E9A342" w14:textId="77777777" w:rsidR="0026125A" w:rsidRPr="00F50528" w:rsidRDefault="0026125A" w:rsidP="006743BF">
      <w:pPr>
        <w:rPr>
          <w:sz w:val="20"/>
          <w:szCs w:val="20"/>
        </w:rPr>
      </w:pPr>
      <w:r w:rsidRPr="00F50528">
        <w:rPr>
          <w:rStyle w:val="FootnoteReference"/>
          <w:sz w:val="20"/>
          <w:szCs w:val="20"/>
        </w:rPr>
        <w:footnoteRef/>
      </w:r>
      <w:r w:rsidRPr="00F50528">
        <w:rPr>
          <w:sz w:val="20"/>
          <w:szCs w:val="20"/>
        </w:rPr>
        <w:t xml:space="preserve"> Enterprise, Rental Assistance Demonstration (RAD) Lessons Learned at the Ocean Bay (Bayside) Apartments 2017-2018, available at: </w:t>
      </w:r>
      <w:hyperlink r:id="rId89" w:history="1">
        <w:r w:rsidRPr="00F50528">
          <w:rPr>
            <w:rStyle w:val="Hyperlink"/>
            <w:rFonts w:eastAsiaTheme="majorEastAsia"/>
            <w:sz w:val="20"/>
            <w:szCs w:val="20"/>
          </w:rPr>
          <w:t>https://www.enterprisecommunity.org/sites/default/files/2021-06/RAD-lessons-learned-at-ocean-bay.pdf</w:t>
        </w:r>
      </w:hyperlink>
    </w:p>
  </w:footnote>
  <w:footnote w:id="63">
    <w:p w14:paraId="1828F45E" w14:textId="77777777" w:rsidR="0026125A" w:rsidRPr="00F50528" w:rsidRDefault="0026125A" w:rsidP="006743BF">
      <w:pPr>
        <w:rPr>
          <w:sz w:val="20"/>
          <w:szCs w:val="20"/>
        </w:rPr>
      </w:pPr>
      <w:r w:rsidRPr="00F50528">
        <w:rPr>
          <w:rStyle w:val="FootnoteReference"/>
          <w:sz w:val="20"/>
          <w:szCs w:val="20"/>
        </w:rPr>
        <w:footnoteRef/>
      </w:r>
      <w:r w:rsidRPr="00F50528">
        <w:rPr>
          <w:sz w:val="20"/>
          <w:szCs w:val="20"/>
        </w:rPr>
        <w:t xml:space="preserve"> Enterprise, Rental Assistance Demonstration (RAD) Lessons Learned at the Ocean Bay (Bayside) Apartments 2017-2018, available at: </w:t>
      </w:r>
      <w:hyperlink r:id="rId90" w:history="1">
        <w:r w:rsidRPr="00F50528">
          <w:rPr>
            <w:rStyle w:val="Hyperlink"/>
            <w:rFonts w:eastAsiaTheme="majorEastAsia"/>
            <w:sz w:val="20"/>
            <w:szCs w:val="20"/>
          </w:rPr>
          <w:t>https://www.enterprisecommunity.org/sites/default/files/2021-06/RAD-lessons-learned-at-ocean-bay.pdf</w:t>
        </w:r>
      </w:hyperlink>
    </w:p>
  </w:footnote>
  <w:footnote w:id="64">
    <w:p w14:paraId="7633885F" w14:textId="77777777" w:rsidR="0026125A" w:rsidRPr="00F50528" w:rsidRDefault="0026125A" w:rsidP="006743BF">
      <w:pPr>
        <w:rPr>
          <w:sz w:val="20"/>
          <w:szCs w:val="20"/>
        </w:rPr>
      </w:pPr>
      <w:r w:rsidRPr="00F50528">
        <w:rPr>
          <w:rStyle w:val="FootnoteReference"/>
          <w:sz w:val="20"/>
          <w:szCs w:val="20"/>
        </w:rPr>
        <w:footnoteRef/>
      </w:r>
      <w:r w:rsidRPr="00F50528">
        <w:rPr>
          <w:sz w:val="20"/>
          <w:szCs w:val="20"/>
        </w:rPr>
        <w:t xml:space="preserve"> Enterprise, Rental Assistance Demonstration (RAD) Lessons Learned at the Ocean Bay (Bayside) Apartments 2017-2018, available at: </w:t>
      </w:r>
      <w:hyperlink r:id="rId91" w:history="1">
        <w:r w:rsidRPr="00F50528">
          <w:rPr>
            <w:rStyle w:val="Hyperlink"/>
            <w:rFonts w:eastAsiaTheme="majorEastAsia"/>
            <w:sz w:val="20"/>
            <w:szCs w:val="20"/>
          </w:rPr>
          <w:t>https://www.enterprisecommunity.org/sites/default/files/2021-06/RAD-lessons-learned-at-ocean-bay.pdf</w:t>
        </w:r>
      </w:hyperlink>
    </w:p>
  </w:footnote>
  <w:footnote w:id="65">
    <w:p w14:paraId="320396A1" w14:textId="77777777" w:rsidR="0026125A" w:rsidRPr="00F50528" w:rsidRDefault="0026125A" w:rsidP="006743BF">
      <w:pPr>
        <w:pStyle w:val="FootnoteText"/>
        <w:rPr>
          <w:sz w:val="20"/>
          <w:szCs w:val="20"/>
        </w:rPr>
      </w:pPr>
      <w:r w:rsidRPr="00F50528">
        <w:rPr>
          <w:rStyle w:val="FootnoteReference"/>
          <w:sz w:val="20"/>
          <w:szCs w:val="20"/>
        </w:rPr>
        <w:footnoteRef/>
      </w:r>
      <w:r w:rsidRPr="00F50528">
        <w:rPr>
          <w:sz w:val="20"/>
          <w:szCs w:val="20"/>
        </w:rPr>
        <w:t xml:space="preserve"> Enterprise, Rental Assistance Demonstration (RAD) Lessons Learned at the Ocean Bay (Bayside) Apartments 2017-2018, available at: </w:t>
      </w:r>
      <w:hyperlink r:id="rId92" w:history="1">
        <w:r w:rsidRPr="00F50528">
          <w:rPr>
            <w:rStyle w:val="Hyperlink"/>
            <w:rFonts w:eastAsiaTheme="majorEastAsia"/>
            <w:sz w:val="20"/>
            <w:szCs w:val="20"/>
          </w:rPr>
          <w:t>https://www.enterprisecommunity.org/sites/default/files/2021-06/RAD-lessons-learned-at-ocean-bay.pdf</w:t>
        </w:r>
      </w:hyperlink>
    </w:p>
  </w:footnote>
  <w:footnote w:id="66">
    <w:p w14:paraId="4EB66A8A" w14:textId="77777777" w:rsidR="0026125A" w:rsidRPr="00F50528" w:rsidRDefault="0026125A" w:rsidP="006743BF">
      <w:pPr>
        <w:pStyle w:val="FootnoteText"/>
        <w:rPr>
          <w:sz w:val="20"/>
          <w:szCs w:val="20"/>
        </w:rPr>
      </w:pPr>
      <w:r w:rsidRPr="00F50528">
        <w:rPr>
          <w:rStyle w:val="FootnoteReference"/>
          <w:sz w:val="20"/>
          <w:szCs w:val="20"/>
        </w:rPr>
        <w:footnoteRef/>
      </w:r>
      <w:r w:rsidRPr="00F50528">
        <w:rPr>
          <w:sz w:val="20"/>
          <w:szCs w:val="20"/>
        </w:rPr>
        <w:t xml:space="preserve"> Enterprise, Rental Assistance Demonstration (RAD) Lessons Learned at the Ocean Bay (Bayside) Apartments 2017-2018, available at: </w:t>
      </w:r>
      <w:hyperlink r:id="rId93" w:history="1">
        <w:r w:rsidRPr="00F50528">
          <w:rPr>
            <w:rStyle w:val="Hyperlink"/>
            <w:rFonts w:eastAsiaTheme="majorEastAsia"/>
            <w:sz w:val="20"/>
            <w:szCs w:val="20"/>
          </w:rPr>
          <w:t>https://www.enterprisecommunity.org/sites/default/files/2021-06/RAD-lessons-learned-at-ocean-bay.pdf</w:t>
        </w:r>
      </w:hyperlink>
    </w:p>
  </w:footnote>
  <w:footnote w:id="67">
    <w:p w14:paraId="472217FC" w14:textId="77777777" w:rsidR="0026125A" w:rsidRPr="00F50528" w:rsidRDefault="0026125A" w:rsidP="006743BF">
      <w:pPr>
        <w:pStyle w:val="FootnoteText"/>
        <w:rPr>
          <w:sz w:val="20"/>
          <w:szCs w:val="20"/>
        </w:rPr>
      </w:pPr>
      <w:r w:rsidRPr="00F50528">
        <w:rPr>
          <w:rStyle w:val="FootnoteReference"/>
          <w:sz w:val="20"/>
          <w:szCs w:val="20"/>
        </w:rPr>
        <w:footnoteRef/>
      </w:r>
      <w:r w:rsidRPr="00F50528">
        <w:rPr>
          <w:sz w:val="20"/>
          <w:szCs w:val="20"/>
        </w:rPr>
        <w:t xml:space="preserve"> NYCHA 2.0, available at </w:t>
      </w:r>
      <w:hyperlink r:id="rId94" w:anchor="/0" w:history="1">
        <w:r w:rsidRPr="00F50528">
          <w:rPr>
            <w:rStyle w:val="Hyperlink"/>
            <w:sz w:val="20"/>
            <w:szCs w:val="20"/>
          </w:rPr>
          <w:t>https://www1.nyc.gov/office-of-the-mayor/news/591-18/fixing-nycha-mayor-de-blasio-comprehensive-plan-renovate-nycha-apartments-and#/0</w:t>
        </w:r>
      </w:hyperlink>
      <w:r w:rsidRPr="00F50528">
        <w:rPr>
          <w:sz w:val="20"/>
          <w:szCs w:val="20"/>
        </w:rPr>
        <w:t xml:space="preserve">. </w:t>
      </w:r>
    </w:p>
  </w:footnote>
  <w:footnote w:id="68">
    <w:p w14:paraId="01FEEEF3" w14:textId="77777777" w:rsidR="0026125A" w:rsidRPr="00F50528" w:rsidRDefault="0026125A" w:rsidP="006743BF">
      <w:pPr>
        <w:rPr>
          <w:sz w:val="20"/>
          <w:szCs w:val="20"/>
        </w:rPr>
      </w:pPr>
      <w:r w:rsidRPr="00F50528">
        <w:rPr>
          <w:rStyle w:val="FootnoteReference"/>
          <w:sz w:val="20"/>
          <w:szCs w:val="20"/>
        </w:rPr>
        <w:footnoteRef/>
      </w:r>
      <w:r w:rsidRPr="00F50528">
        <w:rPr>
          <w:sz w:val="20"/>
          <w:szCs w:val="20"/>
        </w:rPr>
        <w:t xml:space="preserve"> NYCHA, Customer Contact Center, </w:t>
      </w:r>
      <w:hyperlink r:id="rId95" w:anchor="_blank" w:history="1">
        <w:r w:rsidRPr="00F50528">
          <w:rPr>
            <w:rStyle w:val="Hyperlink"/>
            <w:sz w:val="20"/>
            <w:szCs w:val="20"/>
          </w:rPr>
          <w:t>http://www1.nyc.gov/site/nycha/residents/customer-contact-center.page#_blank</w:t>
        </w:r>
      </w:hyperlink>
      <w:r w:rsidRPr="00F50528">
        <w:rPr>
          <w:sz w:val="20"/>
          <w:szCs w:val="20"/>
        </w:rPr>
        <w:t xml:space="preserve"> (</w:t>
      </w:r>
      <w:r w:rsidRPr="00F50528">
        <w:rPr>
          <w:i/>
          <w:sz w:val="20"/>
          <w:szCs w:val="20"/>
        </w:rPr>
        <w:t xml:space="preserve">last accessed </w:t>
      </w:r>
      <w:r w:rsidRPr="00F50528">
        <w:rPr>
          <w:sz w:val="20"/>
          <w:szCs w:val="20"/>
        </w:rPr>
        <w:t xml:space="preserve">June 23, 2022). </w:t>
      </w:r>
    </w:p>
  </w:footnote>
  <w:footnote w:id="69">
    <w:p w14:paraId="2C218FEF" w14:textId="77777777" w:rsidR="0026125A" w:rsidRPr="00F50528" w:rsidRDefault="0026125A" w:rsidP="006743BF">
      <w:pPr>
        <w:pStyle w:val="FootnoteText"/>
        <w:rPr>
          <w:sz w:val="20"/>
          <w:szCs w:val="20"/>
        </w:rPr>
      </w:pPr>
      <w:r w:rsidRPr="00F50528">
        <w:rPr>
          <w:rStyle w:val="FootnoteReference"/>
          <w:sz w:val="20"/>
          <w:szCs w:val="20"/>
        </w:rPr>
        <w:footnoteRef/>
      </w:r>
      <w:r w:rsidRPr="00F50528">
        <w:rPr>
          <w:sz w:val="20"/>
          <w:szCs w:val="20"/>
        </w:rPr>
        <w:t xml:space="preserve"> NYCHA staff uses an Asset and Management software called Siebel and Maximo to process service requests and maintenance orders. Maximo is a computerized database that tracks all types of maintenance work, including inspections, emergency response, preventive care, seasonal work, and corrective work.  The Siebel database keeps track of work orders that are initiated by residents at the CCC.</w:t>
      </w:r>
    </w:p>
  </w:footnote>
  <w:footnote w:id="70">
    <w:p w14:paraId="1E9B8B63" w14:textId="77777777" w:rsidR="0026125A" w:rsidRPr="00F50528" w:rsidRDefault="0026125A" w:rsidP="006743BF">
      <w:pPr>
        <w:pStyle w:val="FootnoteText"/>
        <w:rPr>
          <w:sz w:val="20"/>
          <w:szCs w:val="20"/>
        </w:rPr>
      </w:pPr>
      <w:r w:rsidRPr="00F50528">
        <w:rPr>
          <w:rStyle w:val="FootnoteReference"/>
          <w:sz w:val="20"/>
          <w:szCs w:val="20"/>
        </w:rPr>
        <w:footnoteRef/>
      </w:r>
      <w:r w:rsidRPr="00F50528">
        <w:rPr>
          <w:sz w:val="20"/>
          <w:szCs w:val="20"/>
        </w:rPr>
        <w:t xml:space="preserve"> </w:t>
      </w:r>
      <w:r w:rsidRPr="00F50528">
        <w:rPr>
          <w:i/>
          <w:sz w:val="20"/>
          <w:szCs w:val="20"/>
        </w:rPr>
        <w:t>Id.</w:t>
      </w:r>
    </w:p>
  </w:footnote>
  <w:footnote w:id="71">
    <w:p w14:paraId="503F0AFD" w14:textId="77777777" w:rsidR="0026125A" w:rsidRPr="00F50528" w:rsidRDefault="0026125A" w:rsidP="006743BF">
      <w:pPr>
        <w:pStyle w:val="FootnoteText"/>
        <w:rPr>
          <w:sz w:val="20"/>
          <w:szCs w:val="20"/>
        </w:rPr>
      </w:pPr>
      <w:r w:rsidRPr="00F50528">
        <w:rPr>
          <w:rStyle w:val="FootnoteReference"/>
          <w:sz w:val="20"/>
          <w:szCs w:val="20"/>
        </w:rPr>
        <w:footnoteRef/>
      </w:r>
      <w:r w:rsidRPr="00F50528">
        <w:rPr>
          <w:sz w:val="20"/>
          <w:szCs w:val="20"/>
        </w:rPr>
        <w:t xml:space="preserve"> </w:t>
      </w:r>
      <w:r w:rsidRPr="00F50528">
        <w:rPr>
          <w:i/>
          <w:sz w:val="20"/>
          <w:szCs w:val="20"/>
        </w:rPr>
        <w:t>Id.</w:t>
      </w:r>
    </w:p>
  </w:footnote>
  <w:footnote w:id="72">
    <w:p w14:paraId="1D956454" w14:textId="77777777" w:rsidR="0026125A" w:rsidRPr="00F50528" w:rsidRDefault="0026125A" w:rsidP="006743BF">
      <w:pPr>
        <w:pStyle w:val="FootnoteText"/>
        <w:rPr>
          <w:sz w:val="20"/>
          <w:szCs w:val="20"/>
        </w:rPr>
      </w:pPr>
      <w:r w:rsidRPr="00F50528">
        <w:rPr>
          <w:rStyle w:val="FootnoteReference"/>
          <w:sz w:val="20"/>
          <w:szCs w:val="20"/>
        </w:rPr>
        <w:footnoteRef/>
      </w:r>
      <w:r w:rsidRPr="00F50528">
        <w:rPr>
          <w:sz w:val="20"/>
          <w:szCs w:val="20"/>
        </w:rPr>
        <w:t xml:space="preserve"> </w:t>
      </w:r>
      <w:r w:rsidRPr="00F50528">
        <w:rPr>
          <w:i/>
          <w:sz w:val="20"/>
          <w:szCs w:val="20"/>
        </w:rPr>
        <w:t>Id.</w:t>
      </w:r>
    </w:p>
  </w:footnote>
  <w:footnote w:id="73">
    <w:p w14:paraId="0736AAE2" w14:textId="77777777" w:rsidR="0026125A" w:rsidRPr="00F50528" w:rsidRDefault="0026125A" w:rsidP="006743BF">
      <w:pPr>
        <w:pStyle w:val="FootnoteText"/>
        <w:rPr>
          <w:sz w:val="20"/>
          <w:szCs w:val="20"/>
        </w:rPr>
      </w:pPr>
      <w:r w:rsidRPr="00F50528">
        <w:rPr>
          <w:rStyle w:val="FootnoteReference"/>
          <w:sz w:val="20"/>
          <w:szCs w:val="20"/>
        </w:rPr>
        <w:footnoteRef/>
      </w:r>
      <w:r w:rsidRPr="00F50528">
        <w:rPr>
          <w:sz w:val="20"/>
          <w:szCs w:val="20"/>
        </w:rPr>
        <w:t xml:space="preserve"> Human Rights Watch, </w:t>
      </w:r>
      <w:r w:rsidRPr="00F50528">
        <w:rPr>
          <w:i/>
          <w:iCs/>
          <w:sz w:val="20"/>
          <w:szCs w:val="20"/>
        </w:rPr>
        <w:t xml:space="preserve">The Tenant Never Wins: Private Takeover of Public Housing Puts Rights at Risk in New York City, </w:t>
      </w:r>
      <w:r w:rsidRPr="00F50528">
        <w:rPr>
          <w:iCs/>
          <w:sz w:val="20"/>
          <w:szCs w:val="20"/>
        </w:rPr>
        <w:t>(Jan. 27, 2022)</w:t>
      </w:r>
      <w:r w:rsidRPr="00F50528">
        <w:rPr>
          <w:i/>
          <w:iCs/>
          <w:sz w:val="20"/>
          <w:szCs w:val="20"/>
        </w:rPr>
        <w:t xml:space="preserve">, </w:t>
      </w:r>
      <w:r w:rsidRPr="00F50528">
        <w:rPr>
          <w:i/>
          <w:sz w:val="20"/>
          <w:szCs w:val="20"/>
        </w:rPr>
        <w:t>available at</w:t>
      </w:r>
      <w:r w:rsidRPr="00F50528">
        <w:rPr>
          <w:sz w:val="20"/>
          <w:szCs w:val="20"/>
        </w:rPr>
        <w:t xml:space="preserve">: </w:t>
      </w:r>
      <w:hyperlink r:id="rId96" w:anchor=":~:text=The%20Effects%20of%20Funding%20Cuts%20on%20NYCHA&amp;text=Multiple%20NYCHA%20residents%20told%20Human,heat%2C%20and%20peeling%20lead%20paint" w:history="1">
        <w:r w:rsidRPr="00F50528">
          <w:rPr>
            <w:rStyle w:val="Hyperlink"/>
            <w:sz w:val="20"/>
            <w:szCs w:val="20"/>
          </w:rPr>
          <w:t>https://www.hrw.org/report/2022/01/27/tenant-never-wins/private-takeover-public-housing-puts-rights-risk-new-york-city#:~:text=The%20Effects%20of%20Funding%20Cuts%20on%20NYCHA&amp;text=Multiple%20NYCHA%20residents%20told%20Human,heat%2C%20and%20peeling%20lead%20paint</w:t>
        </w:r>
      </w:hyperlink>
      <w:r w:rsidRPr="00F50528">
        <w:rPr>
          <w:sz w:val="20"/>
          <w:szCs w:val="20"/>
        </w:rPr>
        <w:t xml:space="preserve">. </w:t>
      </w:r>
    </w:p>
  </w:footnote>
  <w:footnote w:id="74">
    <w:p w14:paraId="574654B3" w14:textId="77777777" w:rsidR="0026125A" w:rsidRPr="00F50528" w:rsidRDefault="0026125A" w:rsidP="006743BF">
      <w:pPr>
        <w:pStyle w:val="FootnoteText"/>
        <w:rPr>
          <w:sz w:val="20"/>
          <w:szCs w:val="20"/>
        </w:rPr>
      </w:pPr>
      <w:r w:rsidRPr="00F50528">
        <w:rPr>
          <w:rStyle w:val="FootnoteReference"/>
          <w:sz w:val="20"/>
          <w:szCs w:val="20"/>
        </w:rPr>
        <w:footnoteRef/>
      </w:r>
      <w:r w:rsidRPr="00F50528">
        <w:rPr>
          <w:sz w:val="20"/>
          <w:szCs w:val="20"/>
        </w:rPr>
        <w:t xml:space="preserve"> </w:t>
      </w:r>
      <w:r w:rsidRPr="00F50528">
        <w:rPr>
          <w:i/>
          <w:sz w:val="20"/>
          <w:szCs w:val="20"/>
        </w:rPr>
        <w:t>Id.</w:t>
      </w:r>
    </w:p>
  </w:footnote>
  <w:footnote w:id="75">
    <w:p w14:paraId="402C447F" w14:textId="77777777" w:rsidR="0026125A" w:rsidRPr="00F50528" w:rsidRDefault="0026125A" w:rsidP="006743BF">
      <w:pPr>
        <w:pStyle w:val="FootnoteText"/>
        <w:rPr>
          <w:i/>
          <w:sz w:val="20"/>
          <w:szCs w:val="20"/>
        </w:rPr>
      </w:pPr>
      <w:r w:rsidRPr="00F50528">
        <w:rPr>
          <w:rStyle w:val="FootnoteReference"/>
          <w:sz w:val="20"/>
          <w:szCs w:val="20"/>
        </w:rPr>
        <w:footnoteRef/>
      </w:r>
      <w:r w:rsidRPr="00F50528">
        <w:rPr>
          <w:sz w:val="20"/>
          <w:szCs w:val="20"/>
        </w:rPr>
        <w:t xml:space="preserve"> </w:t>
      </w:r>
      <w:r w:rsidRPr="00F50528">
        <w:rPr>
          <w:i/>
          <w:sz w:val="20"/>
          <w:szCs w:val="20"/>
        </w:rPr>
        <w:t>Id.</w:t>
      </w:r>
    </w:p>
  </w:footnote>
  <w:footnote w:id="76">
    <w:p w14:paraId="7D4CA46F" w14:textId="77777777" w:rsidR="0026125A" w:rsidRPr="00F50528" w:rsidRDefault="0026125A" w:rsidP="006743BF">
      <w:pPr>
        <w:pStyle w:val="FootnoteText"/>
        <w:rPr>
          <w:sz w:val="20"/>
          <w:szCs w:val="20"/>
        </w:rPr>
      </w:pPr>
      <w:r w:rsidRPr="00F50528">
        <w:rPr>
          <w:rStyle w:val="FootnoteReference"/>
          <w:sz w:val="20"/>
          <w:szCs w:val="20"/>
        </w:rPr>
        <w:footnoteRef/>
      </w:r>
      <w:r w:rsidRPr="00F50528">
        <w:rPr>
          <w:sz w:val="20"/>
          <w:szCs w:val="20"/>
        </w:rPr>
        <w:t xml:space="preserve"> Rachel Holliday Smith, “What’s the 311? Stranded in New York’s Service Hotline Deserts,” (April 24, 2019), </w:t>
      </w:r>
      <w:r w:rsidRPr="00F50528">
        <w:rPr>
          <w:i/>
          <w:sz w:val="20"/>
          <w:szCs w:val="20"/>
        </w:rPr>
        <w:t>available at</w:t>
      </w:r>
      <w:r w:rsidRPr="00F50528">
        <w:rPr>
          <w:sz w:val="20"/>
          <w:szCs w:val="20"/>
        </w:rPr>
        <w:t xml:space="preserve"> </w:t>
      </w:r>
      <w:hyperlink r:id="rId97" w:history="1">
        <w:r w:rsidRPr="00F50528">
          <w:rPr>
            <w:rStyle w:val="Hyperlink"/>
            <w:sz w:val="20"/>
            <w:szCs w:val="20"/>
          </w:rPr>
          <w:t>https://thecity.nyc/2019/04/whats-the-311-stranded-in-n-y-s-service-hotline-deserts.html</w:t>
        </w:r>
      </w:hyperlink>
      <w:r w:rsidRPr="00F50528">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DE921" w14:textId="77777777" w:rsidR="0026125A" w:rsidRDefault="0026125A"/>
  <w:p w14:paraId="7D4B9BF0" w14:textId="77777777" w:rsidR="0026125A" w:rsidRDefault="0026125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389"/>
    <w:multiLevelType w:val="hybridMultilevel"/>
    <w:tmpl w:val="7B0840F6"/>
    <w:lvl w:ilvl="0" w:tplc="0BAE71F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320CEB"/>
    <w:multiLevelType w:val="multilevel"/>
    <w:tmpl w:val="70C2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870C2"/>
    <w:multiLevelType w:val="hybridMultilevel"/>
    <w:tmpl w:val="574C707C"/>
    <w:lvl w:ilvl="0" w:tplc="51BCEE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615C94"/>
    <w:multiLevelType w:val="hybridMultilevel"/>
    <w:tmpl w:val="574C707C"/>
    <w:lvl w:ilvl="0" w:tplc="51BCEE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223E19"/>
    <w:multiLevelType w:val="hybridMultilevel"/>
    <w:tmpl w:val="574C707C"/>
    <w:lvl w:ilvl="0" w:tplc="51BCEE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D37660"/>
    <w:multiLevelType w:val="multilevel"/>
    <w:tmpl w:val="2E68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95A37"/>
    <w:multiLevelType w:val="multilevel"/>
    <w:tmpl w:val="6418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516228"/>
    <w:multiLevelType w:val="hybridMultilevel"/>
    <w:tmpl w:val="E75E958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E832EF"/>
    <w:multiLevelType w:val="hybridMultilevel"/>
    <w:tmpl w:val="C6D8DFF4"/>
    <w:lvl w:ilvl="0" w:tplc="34448BD4">
      <w:start w:val="1"/>
      <w:numFmt w:val="upperRoman"/>
      <w:lvlText w:val="%1."/>
      <w:lvlJc w:val="left"/>
      <w:pPr>
        <w:ind w:left="1080" w:hanging="720"/>
      </w:pPr>
      <w:rPr>
        <w:rFonts w:hint="default"/>
      </w:rPr>
    </w:lvl>
    <w:lvl w:ilvl="1" w:tplc="2AB4837E">
      <w:start w:val="1"/>
      <w:numFmt w:val="upperLetter"/>
      <w:lvlText w:val="%2."/>
      <w:lvlJc w:val="left"/>
      <w:pPr>
        <w:ind w:left="1170" w:hanging="360"/>
      </w:pPr>
      <w:rPr>
        <w:rFonts w:ascii="Times New Roman Bold" w:hAnsi="Times New Roman Bold" w:hint="default"/>
        <w:b/>
        <w:bCs/>
        <w:smallCap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73174"/>
    <w:multiLevelType w:val="hybridMultilevel"/>
    <w:tmpl w:val="DFC2B2EC"/>
    <w:lvl w:ilvl="0" w:tplc="80DE5224">
      <w:start w:val="1"/>
      <w:numFmt w:val="lowerLetter"/>
      <w:lvlText w:val="%1."/>
      <w:lvlJc w:val="left"/>
      <w:pPr>
        <w:ind w:left="1080" w:hanging="360"/>
      </w:pPr>
      <w:rPr>
        <w:rFonts w:hint="default"/>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923624"/>
    <w:multiLevelType w:val="hybridMultilevel"/>
    <w:tmpl w:val="E11818DA"/>
    <w:lvl w:ilvl="0" w:tplc="056203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DB29BA"/>
    <w:multiLevelType w:val="hybridMultilevel"/>
    <w:tmpl w:val="2DC65436"/>
    <w:lvl w:ilvl="0" w:tplc="500E8D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B523F7"/>
    <w:multiLevelType w:val="hybridMultilevel"/>
    <w:tmpl w:val="574C707C"/>
    <w:lvl w:ilvl="0" w:tplc="51BCEE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AC7AD8"/>
    <w:multiLevelType w:val="multilevel"/>
    <w:tmpl w:val="F996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0655AC"/>
    <w:multiLevelType w:val="hybridMultilevel"/>
    <w:tmpl w:val="E596297E"/>
    <w:lvl w:ilvl="0" w:tplc="4E9E690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FF7564"/>
    <w:multiLevelType w:val="hybridMultilevel"/>
    <w:tmpl w:val="74AE9580"/>
    <w:lvl w:ilvl="0" w:tplc="A3D0FF1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DB19C3"/>
    <w:multiLevelType w:val="hybridMultilevel"/>
    <w:tmpl w:val="E5B02EC8"/>
    <w:lvl w:ilvl="0" w:tplc="04090001">
      <w:start w:val="1"/>
      <w:numFmt w:val="bullet"/>
      <w:lvlText w:val=""/>
      <w:lvlJc w:val="left"/>
      <w:pPr>
        <w:ind w:left="1080" w:hanging="720"/>
      </w:pPr>
      <w:rPr>
        <w:rFonts w:ascii="Symbol" w:hAnsi="Symbol" w:hint="default"/>
      </w:rPr>
    </w:lvl>
    <w:lvl w:ilvl="1" w:tplc="2D52288A">
      <w:start w:val="1"/>
      <w:numFmt w:val="upperLetter"/>
      <w:lvlText w:val="%2."/>
      <w:lvlJc w:val="left"/>
      <w:pPr>
        <w:ind w:left="117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C2182C"/>
    <w:multiLevelType w:val="multilevel"/>
    <w:tmpl w:val="1B7C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470143"/>
    <w:multiLevelType w:val="hybridMultilevel"/>
    <w:tmpl w:val="3C74A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14A6252"/>
    <w:multiLevelType w:val="multilevel"/>
    <w:tmpl w:val="55C6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58769C"/>
    <w:multiLevelType w:val="hybridMultilevel"/>
    <w:tmpl w:val="D1646296"/>
    <w:lvl w:ilvl="0" w:tplc="05E467D2">
      <w:start w:val="1"/>
      <w:numFmt w:val="upperRoman"/>
      <w:lvlText w:val="%1."/>
      <w:lvlJc w:val="left"/>
      <w:pPr>
        <w:ind w:left="720" w:hanging="360"/>
      </w:pPr>
      <w:rPr>
        <w:rFonts w:ascii="Times New Roman" w:hAnsi="Times New Roman" w:cs="Times New Roman" w:hint="default"/>
        <w:b/>
      </w:rPr>
    </w:lvl>
    <w:lvl w:ilvl="1" w:tplc="68B43CE6">
      <w:start w:val="1"/>
      <w:numFmt w:val="lowerLetter"/>
      <w:lvlText w:val="%2."/>
      <w:lvlJc w:val="left"/>
      <w:pPr>
        <w:ind w:left="1440" w:hanging="360"/>
      </w:pPr>
      <w:rPr>
        <w:rFonts w:ascii="Times New Roman" w:hAnsi="Times New Roman" w:cs="Times New Roman"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0"/>
  </w:num>
  <w:num w:numId="4">
    <w:abstractNumId w:val="3"/>
  </w:num>
  <w:num w:numId="5">
    <w:abstractNumId w:val="2"/>
  </w:num>
  <w:num w:numId="6">
    <w:abstractNumId w:val="4"/>
  </w:num>
  <w:num w:numId="7">
    <w:abstractNumId w:val="12"/>
  </w:num>
  <w:num w:numId="8">
    <w:abstractNumId w:val="9"/>
  </w:num>
  <w:num w:numId="9">
    <w:abstractNumId w:val="15"/>
  </w:num>
  <w:num w:numId="10">
    <w:abstractNumId w:val="11"/>
  </w:num>
  <w:num w:numId="11">
    <w:abstractNumId w:val="7"/>
  </w:num>
  <w:num w:numId="12">
    <w:abstractNumId w:val="1"/>
  </w:num>
  <w:num w:numId="13">
    <w:abstractNumId w:val="5"/>
  </w:num>
  <w:num w:numId="14">
    <w:abstractNumId w:val="6"/>
  </w:num>
  <w:num w:numId="15">
    <w:abstractNumId w:val="13"/>
  </w:num>
  <w:num w:numId="16">
    <w:abstractNumId w:val="19"/>
  </w:num>
  <w:num w:numId="17">
    <w:abstractNumId w:val="17"/>
  </w:num>
  <w:num w:numId="18">
    <w:abstractNumId w:val="14"/>
  </w:num>
  <w:num w:numId="19">
    <w:abstractNumId w:val="18"/>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CD2"/>
    <w:rsid w:val="000006F0"/>
    <w:rsid w:val="00004C45"/>
    <w:rsid w:val="00007F01"/>
    <w:rsid w:val="00010BAE"/>
    <w:rsid w:val="00014F76"/>
    <w:rsid w:val="00022EAA"/>
    <w:rsid w:val="00035936"/>
    <w:rsid w:val="00045469"/>
    <w:rsid w:val="00045CD2"/>
    <w:rsid w:val="000462DA"/>
    <w:rsid w:val="000476F1"/>
    <w:rsid w:val="00052725"/>
    <w:rsid w:val="00052DBF"/>
    <w:rsid w:val="00056338"/>
    <w:rsid w:val="00061F1A"/>
    <w:rsid w:val="00072E30"/>
    <w:rsid w:val="00073C20"/>
    <w:rsid w:val="00073D7B"/>
    <w:rsid w:val="00074B62"/>
    <w:rsid w:val="00076CEB"/>
    <w:rsid w:val="00076FBF"/>
    <w:rsid w:val="000813F2"/>
    <w:rsid w:val="00085454"/>
    <w:rsid w:val="000907FF"/>
    <w:rsid w:val="00095A7D"/>
    <w:rsid w:val="000960CB"/>
    <w:rsid w:val="00096EFE"/>
    <w:rsid w:val="000A3E27"/>
    <w:rsid w:val="000A64F7"/>
    <w:rsid w:val="000B364C"/>
    <w:rsid w:val="000B3D3E"/>
    <w:rsid w:val="000B4EC2"/>
    <w:rsid w:val="000B4ECF"/>
    <w:rsid w:val="000B712A"/>
    <w:rsid w:val="000C23A9"/>
    <w:rsid w:val="000D00CA"/>
    <w:rsid w:val="000D2131"/>
    <w:rsid w:val="000D26B4"/>
    <w:rsid w:val="000D3D2C"/>
    <w:rsid w:val="000D43EE"/>
    <w:rsid w:val="000E3095"/>
    <w:rsid w:val="000E7607"/>
    <w:rsid w:val="000F2536"/>
    <w:rsid w:val="000F42C1"/>
    <w:rsid w:val="001068BD"/>
    <w:rsid w:val="00107941"/>
    <w:rsid w:val="001125FA"/>
    <w:rsid w:val="00113E7B"/>
    <w:rsid w:val="00121308"/>
    <w:rsid w:val="00122C26"/>
    <w:rsid w:val="00136CB1"/>
    <w:rsid w:val="001473CD"/>
    <w:rsid w:val="0015332D"/>
    <w:rsid w:val="001620AB"/>
    <w:rsid w:val="001629BF"/>
    <w:rsid w:val="00164174"/>
    <w:rsid w:val="001647FD"/>
    <w:rsid w:val="00165072"/>
    <w:rsid w:val="00166C92"/>
    <w:rsid w:val="0016733D"/>
    <w:rsid w:val="00175828"/>
    <w:rsid w:val="001817B8"/>
    <w:rsid w:val="00181871"/>
    <w:rsid w:val="0018555F"/>
    <w:rsid w:val="00187B28"/>
    <w:rsid w:val="00196960"/>
    <w:rsid w:val="001A10C9"/>
    <w:rsid w:val="001A1A90"/>
    <w:rsid w:val="001A3393"/>
    <w:rsid w:val="001A4C3D"/>
    <w:rsid w:val="001A5F27"/>
    <w:rsid w:val="001B0BAC"/>
    <w:rsid w:val="001B0F4A"/>
    <w:rsid w:val="001B2BA6"/>
    <w:rsid w:val="001B449D"/>
    <w:rsid w:val="001B7218"/>
    <w:rsid w:val="001C7D76"/>
    <w:rsid w:val="001D36DB"/>
    <w:rsid w:val="001D49A0"/>
    <w:rsid w:val="001D762D"/>
    <w:rsid w:val="001F6D3D"/>
    <w:rsid w:val="00203A5F"/>
    <w:rsid w:val="00203B34"/>
    <w:rsid w:val="00205144"/>
    <w:rsid w:val="00206848"/>
    <w:rsid w:val="00207413"/>
    <w:rsid w:val="00207D0F"/>
    <w:rsid w:val="002128BC"/>
    <w:rsid w:val="00215904"/>
    <w:rsid w:val="00220818"/>
    <w:rsid w:val="00220BC5"/>
    <w:rsid w:val="00221189"/>
    <w:rsid w:val="00222950"/>
    <w:rsid w:val="0022570E"/>
    <w:rsid w:val="002305ED"/>
    <w:rsid w:val="00232DBE"/>
    <w:rsid w:val="002445EE"/>
    <w:rsid w:val="00250848"/>
    <w:rsid w:val="00252588"/>
    <w:rsid w:val="0025755C"/>
    <w:rsid w:val="0026125A"/>
    <w:rsid w:val="00261AF3"/>
    <w:rsid w:val="00270FB7"/>
    <w:rsid w:val="00272FE1"/>
    <w:rsid w:val="0027351E"/>
    <w:rsid w:val="00283E29"/>
    <w:rsid w:val="00291179"/>
    <w:rsid w:val="00291BA4"/>
    <w:rsid w:val="00292C4A"/>
    <w:rsid w:val="00292E6F"/>
    <w:rsid w:val="00293E6B"/>
    <w:rsid w:val="00295F85"/>
    <w:rsid w:val="002A7035"/>
    <w:rsid w:val="002A7B43"/>
    <w:rsid w:val="002C7FFA"/>
    <w:rsid w:val="002D013C"/>
    <w:rsid w:val="002D7609"/>
    <w:rsid w:val="002E0CDF"/>
    <w:rsid w:val="002E226F"/>
    <w:rsid w:val="002E456F"/>
    <w:rsid w:val="002E471A"/>
    <w:rsid w:val="002E6589"/>
    <w:rsid w:val="002E7D69"/>
    <w:rsid w:val="002F5CED"/>
    <w:rsid w:val="002F5F50"/>
    <w:rsid w:val="00322FBA"/>
    <w:rsid w:val="00325459"/>
    <w:rsid w:val="0032741A"/>
    <w:rsid w:val="00330261"/>
    <w:rsid w:val="00336D50"/>
    <w:rsid w:val="00345842"/>
    <w:rsid w:val="0034791A"/>
    <w:rsid w:val="00347D5C"/>
    <w:rsid w:val="003507C1"/>
    <w:rsid w:val="003532D8"/>
    <w:rsid w:val="00356F03"/>
    <w:rsid w:val="003578F3"/>
    <w:rsid w:val="00360C3A"/>
    <w:rsid w:val="00366AE1"/>
    <w:rsid w:val="003750DE"/>
    <w:rsid w:val="003826F1"/>
    <w:rsid w:val="00390E7F"/>
    <w:rsid w:val="003B0D0A"/>
    <w:rsid w:val="003B175F"/>
    <w:rsid w:val="003B2C53"/>
    <w:rsid w:val="003B4C8D"/>
    <w:rsid w:val="003C07FC"/>
    <w:rsid w:val="003C4238"/>
    <w:rsid w:val="003D4F3B"/>
    <w:rsid w:val="003E3255"/>
    <w:rsid w:val="003E6F4F"/>
    <w:rsid w:val="003E7495"/>
    <w:rsid w:val="003F6C1B"/>
    <w:rsid w:val="00405115"/>
    <w:rsid w:val="00405E56"/>
    <w:rsid w:val="00407C5E"/>
    <w:rsid w:val="00425795"/>
    <w:rsid w:val="00426FAD"/>
    <w:rsid w:val="00431448"/>
    <w:rsid w:val="00431CE9"/>
    <w:rsid w:val="0043572F"/>
    <w:rsid w:val="00435AB9"/>
    <w:rsid w:val="00442C11"/>
    <w:rsid w:val="004502D3"/>
    <w:rsid w:val="00453508"/>
    <w:rsid w:val="00453E51"/>
    <w:rsid w:val="00455C78"/>
    <w:rsid w:val="00457566"/>
    <w:rsid w:val="00467187"/>
    <w:rsid w:val="004761D7"/>
    <w:rsid w:val="0047706E"/>
    <w:rsid w:val="00482E8A"/>
    <w:rsid w:val="00485AA9"/>
    <w:rsid w:val="0049239B"/>
    <w:rsid w:val="00492511"/>
    <w:rsid w:val="00493D35"/>
    <w:rsid w:val="00493E5E"/>
    <w:rsid w:val="00493FD8"/>
    <w:rsid w:val="00494065"/>
    <w:rsid w:val="00494591"/>
    <w:rsid w:val="004950F1"/>
    <w:rsid w:val="004A1729"/>
    <w:rsid w:val="004A2568"/>
    <w:rsid w:val="004A2A5B"/>
    <w:rsid w:val="004A5345"/>
    <w:rsid w:val="004B0071"/>
    <w:rsid w:val="004B0EAB"/>
    <w:rsid w:val="004B43BB"/>
    <w:rsid w:val="004B4401"/>
    <w:rsid w:val="004C1A38"/>
    <w:rsid w:val="004C2214"/>
    <w:rsid w:val="004C453A"/>
    <w:rsid w:val="004C47E4"/>
    <w:rsid w:val="004D0C5F"/>
    <w:rsid w:val="004D243A"/>
    <w:rsid w:val="004D4CC9"/>
    <w:rsid w:val="004E1AC9"/>
    <w:rsid w:val="004E1B81"/>
    <w:rsid w:val="004E20A4"/>
    <w:rsid w:val="004E2102"/>
    <w:rsid w:val="004E23D8"/>
    <w:rsid w:val="004E3FA5"/>
    <w:rsid w:val="004F0244"/>
    <w:rsid w:val="004F06B9"/>
    <w:rsid w:val="0050125E"/>
    <w:rsid w:val="00501BB7"/>
    <w:rsid w:val="00504187"/>
    <w:rsid w:val="00507937"/>
    <w:rsid w:val="00510091"/>
    <w:rsid w:val="00520F3D"/>
    <w:rsid w:val="005270F4"/>
    <w:rsid w:val="00533B1B"/>
    <w:rsid w:val="0053589D"/>
    <w:rsid w:val="00535C8F"/>
    <w:rsid w:val="00536BCF"/>
    <w:rsid w:val="005410E5"/>
    <w:rsid w:val="00542901"/>
    <w:rsid w:val="00542FB2"/>
    <w:rsid w:val="005516EB"/>
    <w:rsid w:val="00551F1B"/>
    <w:rsid w:val="005522C6"/>
    <w:rsid w:val="0055690F"/>
    <w:rsid w:val="00557F0F"/>
    <w:rsid w:val="0056148C"/>
    <w:rsid w:val="00561ACD"/>
    <w:rsid w:val="00565C72"/>
    <w:rsid w:val="00567144"/>
    <w:rsid w:val="00571487"/>
    <w:rsid w:val="0058464C"/>
    <w:rsid w:val="005862D4"/>
    <w:rsid w:val="00593D14"/>
    <w:rsid w:val="005962F8"/>
    <w:rsid w:val="005A11C7"/>
    <w:rsid w:val="005A2D2A"/>
    <w:rsid w:val="005A4B72"/>
    <w:rsid w:val="005A5128"/>
    <w:rsid w:val="005B7DEC"/>
    <w:rsid w:val="005C729B"/>
    <w:rsid w:val="005D02BC"/>
    <w:rsid w:val="005E122E"/>
    <w:rsid w:val="005E3088"/>
    <w:rsid w:val="005E3C5C"/>
    <w:rsid w:val="005E58BB"/>
    <w:rsid w:val="005E797C"/>
    <w:rsid w:val="005F04FA"/>
    <w:rsid w:val="005F6EB9"/>
    <w:rsid w:val="00600945"/>
    <w:rsid w:val="0060169D"/>
    <w:rsid w:val="006053A5"/>
    <w:rsid w:val="006075A1"/>
    <w:rsid w:val="00607B4F"/>
    <w:rsid w:val="0061143B"/>
    <w:rsid w:val="00621EA4"/>
    <w:rsid w:val="006229F0"/>
    <w:rsid w:val="0062700A"/>
    <w:rsid w:val="00632C03"/>
    <w:rsid w:val="00633201"/>
    <w:rsid w:val="00641569"/>
    <w:rsid w:val="0064309D"/>
    <w:rsid w:val="006446B5"/>
    <w:rsid w:val="00645751"/>
    <w:rsid w:val="00647271"/>
    <w:rsid w:val="00654227"/>
    <w:rsid w:val="00654F4D"/>
    <w:rsid w:val="00657E11"/>
    <w:rsid w:val="006600DC"/>
    <w:rsid w:val="00666FA8"/>
    <w:rsid w:val="006743BF"/>
    <w:rsid w:val="00675B8C"/>
    <w:rsid w:val="00675E51"/>
    <w:rsid w:val="00677D4D"/>
    <w:rsid w:val="00680B00"/>
    <w:rsid w:val="00682AC5"/>
    <w:rsid w:val="00684C2F"/>
    <w:rsid w:val="006906CB"/>
    <w:rsid w:val="00690766"/>
    <w:rsid w:val="00691049"/>
    <w:rsid w:val="0069451B"/>
    <w:rsid w:val="00697025"/>
    <w:rsid w:val="006A562D"/>
    <w:rsid w:val="006A574C"/>
    <w:rsid w:val="006A637F"/>
    <w:rsid w:val="006B2B4B"/>
    <w:rsid w:val="006C0EF9"/>
    <w:rsid w:val="006D1F0C"/>
    <w:rsid w:val="006D2BE1"/>
    <w:rsid w:val="006D5C32"/>
    <w:rsid w:val="006D6A71"/>
    <w:rsid w:val="006D7960"/>
    <w:rsid w:val="006E172F"/>
    <w:rsid w:val="006E1E62"/>
    <w:rsid w:val="006F0A93"/>
    <w:rsid w:val="006F3173"/>
    <w:rsid w:val="006F5B13"/>
    <w:rsid w:val="006F5F75"/>
    <w:rsid w:val="00714C02"/>
    <w:rsid w:val="00716781"/>
    <w:rsid w:val="007219C4"/>
    <w:rsid w:val="00726675"/>
    <w:rsid w:val="00727F46"/>
    <w:rsid w:val="00731EFD"/>
    <w:rsid w:val="00732A00"/>
    <w:rsid w:val="007338BD"/>
    <w:rsid w:val="007344AE"/>
    <w:rsid w:val="00737504"/>
    <w:rsid w:val="007457DE"/>
    <w:rsid w:val="0074595F"/>
    <w:rsid w:val="00751E9E"/>
    <w:rsid w:val="00752792"/>
    <w:rsid w:val="00753160"/>
    <w:rsid w:val="007546AB"/>
    <w:rsid w:val="00764AE9"/>
    <w:rsid w:val="00771493"/>
    <w:rsid w:val="00774540"/>
    <w:rsid w:val="0077750F"/>
    <w:rsid w:val="00780AB5"/>
    <w:rsid w:val="0078385A"/>
    <w:rsid w:val="007847A0"/>
    <w:rsid w:val="00793255"/>
    <w:rsid w:val="00797740"/>
    <w:rsid w:val="007A0A27"/>
    <w:rsid w:val="007A1776"/>
    <w:rsid w:val="007A17DF"/>
    <w:rsid w:val="007A3362"/>
    <w:rsid w:val="007A712B"/>
    <w:rsid w:val="007B06F9"/>
    <w:rsid w:val="007B5296"/>
    <w:rsid w:val="007B6BED"/>
    <w:rsid w:val="007B6E27"/>
    <w:rsid w:val="007B7727"/>
    <w:rsid w:val="007B7C58"/>
    <w:rsid w:val="007C17F7"/>
    <w:rsid w:val="007C18ED"/>
    <w:rsid w:val="007D0963"/>
    <w:rsid w:val="007D0B71"/>
    <w:rsid w:val="007D3F99"/>
    <w:rsid w:val="007D4977"/>
    <w:rsid w:val="007D7BD9"/>
    <w:rsid w:val="007E2D91"/>
    <w:rsid w:val="007E448B"/>
    <w:rsid w:val="007F40F0"/>
    <w:rsid w:val="007F5950"/>
    <w:rsid w:val="007F7F9F"/>
    <w:rsid w:val="008005A1"/>
    <w:rsid w:val="00801C4C"/>
    <w:rsid w:val="00802499"/>
    <w:rsid w:val="00803393"/>
    <w:rsid w:val="008101CC"/>
    <w:rsid w:val="008128D0"/>
    <w:rsid w:val="00840D8E"/>
    <w:rsid w:val="008445DA"/>
    <w:rsid w:val="00844770"/>
    <w:rsid w:val="00847794"/>
    <w:rsid w:val="00850425"/>
    <w:rsid w:val="00850999"/>
    <w:rsid w:val="008516F1"/>
    <w:rsid w:val="00851D56"/>
    <w:rsid w:val="00851F87"/>
    <w:rsid w:val="00852042"/>
    <w:rsid w:val="0085395B"/>
    <w:rsid w:val="00854B89"/>
    <w:rsid w:val="00866CB2"/>
    <w:rsid w:val="008674FB"/>
    <w:rsid w:val="0087035C"/>
    <w:rsid w:val="0087670C"/>
    <w:rsid w:val="008839F0"/>
    <w:rsid w:val="00885438"/>
    <w:rsid w:val="008A03F6"/>
    <w:rsid w:val="008A3104"/>
    <w:rsid w:val="008A3BB0"/>
    <w:rsid w:val="008A43DB"/>
    <w:rsid w:val="008A49EC"/>
    <w:rsid w:val="008A5CFE"/>
    <w:rsid w:val="008B113B"/>
    <w:rsid w:val="008B4803"/>
    <w:rsid w:val="008B5173"/>
    <w:rsid w:val="008B7A6E"/>
    <w:rsid w:val="008C1B14"/>
    <w:rsid w:val="008C3722"/>
    <w:rsid w:val="008C37E6"/>
    <w:rsid w:val="008C652C"/>
    <w:rsid w:val="008D3FF0"/>
    <w:rsid w:val="008E24B4"/>
    <w:rsid w:val="008E37F4"/>
    <w:rsid w:val="008E5BAE"/>
    <w:rsid w:val="008F314B"/>
    <w:rsid w:val="008F79A8"/>
    <w:rsid w:val="009003CB"/>
    <w:rsid w:val="00901583"/>
    <w:rsid w:val="00907D46"/>
    <w:rsid w:val="00912DCF"/>
    <w:rsid w:val="009201A2"/>
    <w:rsid w:val="0092245E"/>
    <w:rsid w:val="00924CE8"/>
    <w:rsid w:val="00925281"/>
    <w:rsid w:val="0092603B"/>
    <w:rsid w:val="00927B84"/>
    <w:rsid w:val="00944D3F"/>
    <w:rsid w:val="009526C3"/>
    <w:rsid w:val="00953562"/>
    <w:rsid w:val="00954098"/>
    <w:rsid w:val="00954FD7"/>
    <w:rsid w:val="00963087"/>
    <w:rsid w:val="00964268"/>
    <w:rsid w:val="00964B7B"/>
    <w:rsid w:val="00967D92"/>
    <w:rsid w:val="00971107"/>
    <w:rsid w:val="0097352C"/>
    <w:rsid w:val="00973676"/>
    <w:rsid w:val="00974481"/>
    <w:rsid w:val="00975080"/>
    <w:rsid w:val="00975760"/>
    <w:rsid w:val="0098322C"/>
    <w:rsid w:val="00986F56"/>
    <w:rsid w:val="009966EA"/>
    <w:rsid w:val="009A07A3"/>
    <w:rsid w:val="009B4FF2"/>
    <w:rsid w:val="009B59FD"/>
    <w:rsid w:val="009B67E2"/>
    <w:rsid w:val="009C027A"/>
    <w:rsid w:val="009C3E4F"/>
    <w:rsid w:val="009C7A11"/>
    <w:rsid w:val="009D23BF"/>
    <w:rsid w:val="009D5C32"/>
    <w:rsid w:val="009E2890"/>
    <w:rsid w:val="009E51BE"/>
    <w:rsid w:val="009E6F92"/>
    <w:rsid w:val="009E7FB7"/>
    <w:rsid w:val="009F3189"/>
    <w:rsid w:val="009F3CD6"/>
    <w:rsid w:val="00A001FE"/>
    <w:rsid w:val="00A0211C"/>
    <w:rsid w:val="00A037E2"/>
    <w:rsid w:val="00A04E92"/>
    <w:rsid w:val="00A370AC"/>
    <w:rsid w:val="00A37971"/>
    <w:rsid w:val="00A40A4E"/>
    <w:rsid w:val="00A4320A"/>
    <w:rsid w:val="00A45FBC"/>
    <w:rsid w:val="00A465E5"/>
    <w:rsid w:val="00A50B36"/>
    <w:rsid w:val="00A53036"/>
    <w:rsid w:val="00A573B8"/>
    <w:rsid w:val="00A661FF"/>
    <w:rsid w:val="00A70B3B"/>
    <w:rsid w:val="00A71C04"/>
    <w:rsid w:val="00A76585"/>
    <w:rsid w:val="00A76CEF"/>
    <w:rsid w:val="00A85B2D"/>
    <w:rsid w:val="00A922B3"/>
    <w:rsid w:val="00A9638C"/>
    <w:rsid w:val="00AA72D4"/>
    <w:rsid w:val="00AB1FB2"/>
    <w:rsid w:val="00AB45FB"/>
    <w:rsid w:val="00AB4FC7"/>
    <w:rsid w:val="00AB78B0"/>
    <w:rsid w:val="00AC0BF6"/>
    <w:rsid w:val="00AC1FB4"/>
    <w:rsid w:val="00AC425B"/>
    <w:rsid w:val="00AD1433"/>
    <w:rsid w:val="00AD1FBC"/>
    <w:rsid w:val="00AD31F6"/>
    <w:rsid w:val="00AD7473"/>
    <w:rsid w:val="00AD78C6"/>
    <w:rsid w:val="00AE3B34"/>
    <w:rsid w:val="00AE3D53"/>
    <w:rsid w:val="00AE3EF2"/>
    <w:rsid w:val="00AF57D9"/>
    <w:rsid w:val="00B111C0"/>
    <w:rsid w:val="00B14815"/>
    <w:rsid w:val="00B16A15"/>
    <w:rsid w:val="00B204D2"/>
    <w:rsid w:val="00B26E80"/>
    <w:rsid w:val="00B30D0D"/>
    <w:rsid w:val="00B31CDE"/>
    <w:rsid w:val="00B33AFE"/>
    <w:rsid w:val="00B37096"/>
    <w:rsid w:val="00B40D2C"/>
    <w:rsid w:val="00B40F96"/>
    <w:rsid w:val="00B41EC8"/>
    <w:rsid w:val="00B44B19"/>
    <w:rsid w:val="00B50898"/>
    <w:rsid w:val="00B51FE6"/>
    <w:rsid w:val="00B52718"/>
    <w:rsid w:val="00B60C4F"/>
    <w:rsid w:val="00B6652C"/>
    <w:rsid w:val="00B77AA8"/>
    <w:rsid w:val="00B83498"/>
    <w:rsid w:val="00B85BFC"/>
    <w:rsid w:val="00B86B07"/>
    <w:rsid w:val="00B86D04"/>
    <w:rsid w:val="00B87F4B"/>
    <w:rsid w:val="00B937AD"/>
    <w:rsid w:val="00BB29D2"/>
    <w:rsid w:val="00BC2382"/>
    <w:rsid w:val="00BC7B05"/>
    <w:rsid w:val="00BD2505"/>
    <w:rsid w:val="00BD4462"/>
    <w:rsid w:val="00BE3072"/>
    <w:rsid w:val="00BF3BDD"/>
    <w:rsid w:val="00BF4459"/>
    <w:rsid w:val="00BF6090"/>
    <w:rsid w:val="00C01303"/>
    <w:rsid w:val="00C01721"/>
    <w:rsid w:val="00C01BED"/>
    <w:rsid w:val="00C0298A"/>
    <w:rsid w:val="00C02E31"/>
    <w:rsid w:val="00C03C3E"/>
    <w:rsid w:val="00C03F94"/>
    <w:rsid w:val="00C16195"/>
    <w:rsid w:val="00C1628F"/>
    <w:rsid w:val="00C210CF"/>
    <w:rsid w:val="00C27AFA"/>
    <w:rsid w:val="00C31785"/>
    <w:rsid w:val="00C33050"/>
    <w:rsid w:val="00C41C7E"/>
    <w:rsid w:val="00C420FA"/>
    <w:rsid w:val="00C434F5"/>
    <w:rsid w:val="00C44E4B"/>
    <w:rsid w:val="00C5098E"/>
    <w:rsid w:val="00C5152F"/>
    <w:rsid w:val="00C51D77"/>
    <w:rsid w:val="00C53C28"/>
    <w:rsid w:val="00C61DF6"/>
    <w:rsid w:val="00C7251A"/>
    <w:rsid w:val="00C75488"/>
    <w:rsid w:val="00C80011"/>
    <w:rsid w:val="00C80C5E"/>
    <w:rsid w:val="00C826EC"/>
    <w:rsid w:val="00C90400"/>
    <w:rsid w:val="00C90B8E"/>
    <w:rsid w:val="00C95390"/>
    <w:rsid w:val="00C959C4"/>
    <w:rsid w:val="00CA2C44"/>
    <w:rsid w:val="00CA3119"/>
    <w:rsid w:val="00CA5EB1"/>
    <w:rsid w:val="00CB05EA"/>
    <w:rsid w:val="00CB352F"/>
    <w:rsid w:val="00CB424A"/>
    <w:rsid w:val="00CB5C66"/>
    <w:rsid w:val="00CC044A"/>
    <w:rsid w:val="00CC2978"/>
    <w:rsid w:val="00CC3193"/>
    <w:rsid w:val="00CC4767"/>
    <w:rsid w:val="00CC4A6C"/>
    <w:rsid w:val="00CC73F8"/>
    <w:rsid w:val="00CD58AE"/>
    <w:rsid w:val="00CE162C"/>
    <w:rsid w:val="00CE1B9F"/>
    <w:rsid w:val="00CE3C14"/>
    <w:rsid w:val="00CE4821"/>
    <w:rsid w:val="00CE5C0B"/>
    <w:rsid w:val="00CE7A1A"/>
    <w:rsid w:val="00CF0E8C"/>
    <w:rsid w:val="00CF2EAA"/>
    <w:rsid w:val="00CF48B9"/>
    <w:rsid w:val="00CF52BC"/>
    <w:rsid w:val="00CF5A95"/>
    <w:rsid w:val="00CF6ED0"/>
    <w:rsid w:val="00CF7817"/>
    <w:rsid w:val="00CF7A1E"/>
    <w:rsid w:val="00D02CB3"/>
    <w:rsid w:val="00D06850"/>
    <w:rsid w:val="00D1450F"/>
    <w:rsid w:val="00D20955"/>
    <w:rsid w:val="00D21403"/>
    <w:rsid w:val="00D271C9"/>
    <w:rsid w:val="00D3366F"/>
    <w:rsid w:val="00D33A93"/>
    <w:rsid w:val="00D33EBE"/>
    <w:rsid w:val="00D35742"/>
    <w:rsid w:val="00D375A9"/>
    <w:rsid w:val="00D37844"/>
    <w:rsid w:val="00D42251"/>
    <w:rsid w:val="00D45CA9"/>
    <w:rsid w:val="00D55A56"/>
    <w:rsid w:val="00D60632"/>
    <w:rsid w:val="00D6121B"/>
    <w:rsid w:val="00D6293E"/>
    <w:rsid w:val="00D64D7B"/>
    <w:rsid w:val="00D66100"/>
    <w:rsid w:val="00D67A0C"/>
    <w:rsid w:val="00D73F50"/>
    <w:rsid w:val="00D777CC"/>
    <w:rsid w:val="00D80ADA"/>
    <w:rsid w:val="00D87555"/>
    <w:rsid w:val="00D9029C"/>
    <w:rsid w:val="00D90393"/>
    <w:rsid w:val="00D903E5"/>
    <w:rsid w:val="00D91B7B"/>
    <w:rsid w:val="00D9291D"/>
    <w:rsid w:val="00D965C2"/>
    <w:rsid w:val="00DA0045"/>
    <w:rsid w:val="00DA088F"/>
    <w:rsid w:val="00DA0A81"/>
    <w:rsid w:val="00DA76E2"/>
    <w:rsid w:val="00DA7F82"/>
    <w:rsid w:val="00DB6327"/>
    <w:rsid w:val="00DB6392"/>
    <w:rsid w:val="00DC3340"/>
    <w:rsid w:val="00DD065A"/>
    <w:rsid w:val="00DE0F15"/>
    <w:rsid w:val="00DE23CC"/>
    <w:rsid w:val="00DE3632"/>
    <w:rsid w:val="00DE6B18"/>
    <w:rsid w:val="00DF6D3B"/>
    <w:rsid w:val="00E01012"/>
    <w:rsid w:val="00E01550"/>
    <w:rsid w:val="00E03563"/>
    <w:rsid w:val="00E03A7E"/>
    <w:rsid w:val="00E0433F"/>
    <w:rsid w:val="00E0629F"/>
    <w:rsid w:val="00E07DA0"/>
    <w:rsid w:val="00E1595E"/>
    <w:rsid w:val="00E30683"/>
    <w:rsid w:val="00E32EDF"/>
    <w:rsid w:val="00E34B4B"/>
    <w:rsid w:val="00E37734"/>
    <w:rsid w:val="00E45B1A"/>
    <w:rsid w:val="00E45CE0"/>
    <w:rsid w:val="00E47247"/>
    <w:rsid w:val="00E4741E"/>
    <w:rsid w:val="00E53A8B"/>
    <w:rsid w:val="00E53DC7"/>
    <w:rsid w:val="00E551C6"/>
    <w:rsid w:val="00E56A46"/>
    <w:rsid w:val="00E62653"/>
    <w:rsid w:val="00E63476"/>
    <w:rsid w:val="00E65627"/>
    <w:rsid w:val="00E71F25"/>
    <w:rsid w:val="00E86D1E"/>
    <w:rsid w:val="00E87A67"/>
    <w:rsid w:val="00E93920"/>
    <w:rsid w:val="00E97028"/>
    <w:rsid w:val="00EA0812"/>
    <w:rsid w:val="00EA50AE"/>
    <w:rsid w:val="00EA6046"/>
    <w:rsid w:val="00EB1ED5"/>
    <w:rsid w:val="00EB2516"/>
    <w:rsid w:val="00EB34CB"/>
    <w:rsid w:val="00EB3D9D"/>
    <w:rsid w:val="00EB4081"/>
    <w:rsid w:val="00EB59F1"/>
    <w:rsid w:val="00EC1340"/>
    <w:rsid w:val="00EC2F04"/>
    <w:rsid w:val="00EC7EBE"/>
    <w:rsid w:val="00ED05B8"/>
    <w:rsid w:val="00EE01B5"/>
    <w:rsid w:val="00EE6B74"/>
    <w:rsid w:val="00EF56EC"/>
    <w:rsid w:val="00EF5C7C"/>
    <w:rsid w:val="00EF78D7"/>
    <w:rsid w:val="00F003A1"/>
    <w:rsid w:val="00F00D2A"/>
    <w:rsid w:val="00F0627A"/>
    <w:rsid w:val="00F063B7"/>
    <w:rsid w:val="00F06518"/>
    <w:rsid w:val="00F07D1C"/>
    <w:rsid w:val="00F07EF7"/>
    <w:rsid w:val="00F11B37"/>
    <w:rsid w:val="00F218F4"/>
    <w:rsid w:val="00F21B0D"/>
    <w:rsid w:val="00F2279B"/>
    <w:rsid w:val="00F26192"/>
    <w:rsid w:val="00F317BE"/>
    <w:rsid w:val="00F359FF"/>
    <w:rsid w:val="00F36B0E"/>
    <w:rsid w:val="00F370AF"/>
    <w:rsid w:val="00F41A74"/>
    <w:rsid w:val="00F43530"/>
    <w:rsid w:val="00F441E2"/>
    <w:rsid w:val="00F4422E"/>
    <w:rsid w:val="00F44A91"/>
    <w:rsid w:val="00F47433"/>
    <w:rsid w:val="00F50528"/>
    <w:rsid w:val="00F51004"/>
    <w:rsid w:val="00F569D0"/>
    <w:rsid w:val="00F6368B"/>
    <w:rsid w:val="00F80FCA"/>
    <w:rsid w:val="00F823CC"/>
    <w:rsid w:val="00F90803"/>
    <w:rsid w:val="00F9575C"/>
    <w:rsid w:val="00F97D5E"/>
    <w:rsid w:val="00FA4955"/>
    <w:rsid w:val="00FA5000"/>
    <w:rsid w:val="00FA5E45"/>
    <w:rsid w:val="00FA74DB"/>
    <w:rsid w:val="00FA7C58"/>
    <w:rsid w:val="00FB4DAC"/>
    <w:rsid w:val="00FC0088"/>
    <w:rsid w:val="00FC1DA2"/>
    <w:rsid w:val="00FC372D"/>
    <w:rsid w:val="00FD73AC"/>
    <w:rsid w:val="00FE0782"/>
    <w:rsid w:val="00FE45AD"/>
    <w:rsid w:val="00FE5F50"/>
    <w:rsid w:val="00FF0C44"/>
    <w:rsid w:val="00FF3523"/>
    <w:rsid w:val="00FF555C"/>
    <w:rsid w:val="00FF7CE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6B6B3"/>
  <w15:chartTrackingRefBased/>
  <w15:docId w15:val="{46EB001A-D3E7-4EAF-A06A-222D236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CD2"/>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045CD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4F024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045CD2"/>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CD2"/>
    <w:rPr>
      <w:rFonts w:ascii="Times New Roman" w:hAnsi="Times New Roman" w:cs="Times New Roman"/>
      <w:b/>
      <w:bCs/>
      <w:kern w:val="36"/>
      <w:sz w:val="48"/>
      <w:szCs w:val="48"/>
    </w:rPr>
  </w:style>
  <w:style w:type="character" w:customStyle="1" w:styleId="Heading5Char">
    <w:name w:val="Heading 5 Char"/>
    <w:basedOn w:val="DefaultParagraphFont"/>
    <w:link w:val="Heading5"/>
    <w:uiPriority w:val="9"/>
    <w:rsid w:val="00045CD2"/>
    <w:rPr>
      <w:rFonts w:asciiTheme="majorHAnsi" w:eastAsiaTheme="majorEastAsia" w:hAnsiTheme="majorHAnsi" w:cstheme="majorBidi"/>
      <w:color w:val="2E74B5" w:themeColor="accent1" w:themeShade="BF"/>
      <w:sz w:val="24"/>
      <w:szCs w:val="24"/>
    </w:rPr>
  </w:style>
  <w:style w:type="paragraph" w:styleId="ListParagraph">
    <w:name w:val="List Paragraph"/>
    <w:basedOn w:val="Normal"/>
    <w:uiPriority w:val="99"/>
    <w:qFormat/>
    <w:rsid w:val="00045CD2"/>
    <w:pPr>
      <w:ind w:left="720"/>
      <w:contextualSpacing/>
    </w:pPr>
    <w:rPr>
      <w:rFonts w:eastAsia="Calibri"/>
    </w:rPr>
  </w:style>
  <w:style w:type="paragraph" w:styleId="BodyText">
    <w:name w:val="Body Text"/>
    <w:basedOn w:val="Normal"/>
    <w:link w:val="BodyTextChar"/>
    <w:rsid w:val="00045CD2"/>
    <w:pPr>
      <w:spacing w:line="480" w:lineRule="auto"/>
      <w:jc w:val="both"/>
    </w:pPr>
    <w:rPr>
      <w:rFonts w:eastAsia="Times New Roman"/>
    </w:rPr>
  </w:style>
  <w:style w:type="character" w:customStyle="1" w:styleId="BodyTextChar">
    <w:name w:val="Body Text Char"/>
    <w:basedOn w:val="DefaultParagraphFont"/>
    <w:link w:val="BodyText"/>
    <w:rsid w:val="00045CD2"/>
    <w:rPr>
      <w:rFonts w:ascii="Times New Roman" w:eastAsia="Times New Roman" w:hAnsi="Times New Roman" w:cs="Times New Roman"/>
      <w:sz w:val="24"/>
      <w:szCs w:val="24"/>
    </w:rPr>
  </w:style>
  <w:style w:type="paragraph" w:styleId="FootnoteText">
    <w:name w:val="footnote text"/>
    <w:aliases w:val="FT"/>
    <w:basedOn w:val="Normal"/>
    <w:link w:val="FootnoteTextChar"/>
    <w:uiPriority w:val="99"/>
    <w:unhideWhenUsed/>
    <w:rsid w:val="00045CD2"/>
  </w:style>
  <w:style w:type="character" w:customStyle="1" w:styleId="FootnoteTextChar">
    <w:name w:val="Footnote Text Char"/>
    <w:aliases w:val="FT Char"/>
    <w:basedOn w:val="DefaultParagraphFont"/>
    <w:link w:val="FootnoteText"/>
    <w:uiPriority w:val="99"/>
    <w:rsid w:val="00045CD2"/>
    <w:rPr>
      <w:rFonts w:ascii="Times New Roman" w:hAnsi="Times New Roman" w:cs="Times New Roman"/>
      <w:sz w:val="24"/>
      <w:szCs w:val="24"/>
    </w:rPr>
  </w:style>
  <w:style w:type="character" w:styleId="FootnoteReference">
    <w:name w:val="footnote reference"/>
    <w:basedOn w:val="DefaultParagraphFont"/>
    <w:uiPriority w:val="99"/>
    <w:unhideWhenUsed/>
    <w:rsid w:val="00045CD2"/>
    <w:rPr>
      <w:vertAlign w:val="superscript"/>
    </w:rPr>
  </w:style>
  <w:style w:type="character" w:styleId="Hyperlink">
    <w:name w:val="Hyperlink"/>
    <w:basedOn w:val="DefaultParagraphFont"/>
    <w:uiPriority w:val="99"/>
    <w:unhideWhenUsed/>
    <w:rsid w:val="00045CD2"/>
    <w:rPr>
      <w:color w:val="0563C1" w:themeColor="hyperlink"/>
      <w:u w:val="single"/>
    </w:rPr>
  </w:style>
  <w:style w:type="character" w:styleId="Emphasis">
    <w:name w:val="Emphasis"/>
    <w:basedOn w:val="DefaultParagraphFont"/>
    <w:uiPriority w:val="20"/>
    <w:qFormat/>
    <w:rsid w:val="00045CD2"/>
    <w:rPr>
      <w:i/>
      <w:iCs/>
    </w:rPr>
  </w:style>
  <w:style w:type="character" w:customStyle="1" w:styleId="cosmallcaps">
    <w:name w:val="co_smallcaps"/>
    <w:basedOn w:val="DefaultParagraphFont"/>
    <w:rsid w:val="00045CD2"/>
  </w:style>
  <w:style w:type="paragraph" w:styleId="NoSpacing">
    <w:name w:val="No Spacing"/>
    <w:uiPriority w:val="1"/>
    <w:qFormat/>
    <w:rsid w:val="00045CD2"/>
    <w:pPr>
      <w:spacing w:after="0" w:line="240" w:lineRule="auto"/>
    </w:pPr>
    <w:rPr>
      <w:rFonts w:ascii="Cambria" w:eastAsia="Times New Roman" w:hAnsi="Cambria" w:cs="Times New Roman"/>
    </w:rPr>
  </w:style>
  <w:style w:type="paragraph" w:styleId="Header">
    <w:name w:val="header"/>
    <w:basedOn w:val="Normal"/>
    <w:link w:val="HeaderChar"/>
    <w:uiPriority w:val="99"/>
    <w:unhideWhenUsed/>
    <w:rsid w:val="00045CD2"/>
    <w:pPr>
      <w:tabs>
        <w:tab w:val="center" w:pos="4680"/>
        <w:tab w:val="right" w:pos="9360"/>
      </w:tabs>
    </w:pPr>
  </w:style>
  <w:style w:type="character" w:customStyle="1" w:styleId="HeaderChar">
    <w:name w:val="Header Char"/>
    <w:basedOn w:val="DefaultParagraphFont"/>
    <w:link w:val="Header"/>
    <w:uiPriority w:val="99"/>
    <w:rsid w:val="00045CD2"/>
    <w:rPr>
      <w:rFonts w:ascii="Times New Roman" w:hAnsi="Times New Roman" w:cs="Times New Roman"/>
      <w:sz w:val="24"/>
      <w:szCs w:val="24"/>
    </w:rPr>
  </w:style>
  <w:style w:type="paragraph" w:styleId="Footer">
    <w:name w:val="footer"/>
    <w:basedOn w:val="Normal"/>
    <w:link w:val="FooterChar"/>
    <w:uiPriority w:val="99"/>
    <w:unhideWhenUsed/>
    <w:rsid w:val="00045CD2"/>
    <w:pPr>
      <w:tabs>
        <w:tab w:val="center" w:pos="4680"/>
        <w:tab w:val="right" w:pos="9360"/>
      </w:tabs>
    </w:pPr>
  </w:style>
  <w:style w:type="character" w:customStyle="1" w:styleId="FooterChar">
    <w:name w:val="Footer Char"/>
    <w:basedOn w:val="DefaultParagraphFont"/>
    <w:link w:val="Footer"/>
    <w:uiPriority w:val="99"/>
    <w:rsid w:val="00045CD2"/>
    <w:rPr>
      <w:rFonts w:ascii="Times New Roman" w:hAnsi="Times New Roman" w:cs="Times New Roman"/>
      <w:sz w:val="24"/>
      <w:szCs w:val="24"/>
    </w:rPr>
  </w:style>
  <w:style w:type="paragraph" w:styleId="NormalWeb">
    <w:name w:val="Normal (Web)"/>
    <w:basedOn w:val="Normal"/>
    <w:uiPriority w:val="99"/>
    <w:unhideWhenUsed/>
    <w:rsid w:val="00045CD2"/>
    <w:pPr>
      <w:spacing w:before="100" w:beforeAutospacing="1" w:after="100" w:afterAutospacing="1"/>
    </w:pPr>
    <w:rPr>
      <w:rFonts w:eastAsia="Times New Roman"/>
    </w:rPr>
  </w:style>
  <w:style w:type="paragraph" w:customStyle="1" w:styleId="Default">
    <w:name w:val="Default"/>
    <w:rsid w:val="00045CD2"/>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045CD2"/>
    <w:rPr>
      <w:b/>
      <w:bCs/>
    </w:rPr>
  </w:style>
  <w:style w:type="character" w:customStyle="1" w:styleId="st1">
    <w:name w:val="st1"/>
    <w:basedOn w:val="DefaultParagraphFont"/>
    <w:rsid w:val="00F06518"/>
  </w:style>
  <w:style w:type="character" w:styleId="LineNumber">
    <w:name w:val="line number"/>
    <w:basedOn w:val="DefaultParagraphFont"/>
    <w:uiPriority w:val="99"/>
    <w:semiHidden/>
    <w:unhideWhenUsed/>
    <w:rsid w:val="00F06518"/>
  </w:style>
  <w:style w:type="character" w:customStyle="1" w:styleId="UnresolvedMention1">
    <w:name w:val="Unresolved Mention1"/>
    <w:basedOn w:val="DefaultParagraphFont"/>
    <w:uiPriority w:val="99"/>
    <w:semiHidden/>
    <w:unhideWhenUsed/>
    <w:rsid w:val="00D1450F"/>
    <w:rPr>
      <w:color w:val="605E5C"/>
      <w:shd w:val="clear" w:color="auto" w:fill="E1DFDD"/>
    </w:rPr>
  </w:style>
  <w:style w:type="character" w:styleId="CommentReference">
    <w:name w:val="annotation reference"/>
    <w:basedOn w:val="DefaultParagraphFont"/>
    <w:uiPriority w:val="99"/>
    <w:semiHidden/>
    <w:unhideWhenUsed/>
    <w:rsid w:val="00164174"/>
    <w:rPr>
      <w:sz w:val="16"/>
      <w:szCs w:val="16"/>
    </w:rPr>
  </w:style>
  <w:style w:type="paragraph" w:styleId="CommentText">
    <w:name w:val="annotation text"/>
    <w:basedOn w:val="Normal"/>
    <w:link w:val="CommentTextChar"/>
    <w:uiPriority w:val="99"/>
    <w:unhideWhenUsed/>
    <w:rsid w:val="00164174"/>
    <w:rPr>
      <w:sz w:val="20"/>
      <w:szCs w:val="20"/>
    </w:rPr>
  </w:style>
  <w:style w:type="character" w:customStyle="1" w:styleId="CommentTextChar">
    <w:name w:val="Comment Text Char"/>
    <w:basedOn w:val="DefaultParagraphFont"/>
    <w:link w:val="CommentText"/>
    <w:uiPriority w:val="99"/>
    <w:rsid w:val="0016417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4174"/>
    <w:rPr>
      <w:b/>
      <w:bCs/>
    </w:rPr>
  </w:style>
  <w:style w:type="character" w:customStyle="1" w:styleId="CommentSubjectChar">
    <w:name w:val="Comment Subject Char"/>
    <w:basedOn w:val="CommentTextChar"/>
    <w:link w:val="CommentSubject"/>
    <w:uiPriority w:val="99"/>
    <w:semiHidden/>
    <w:rsid w:val="0016417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641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174"/>
    <w:rPr>
      <w:rFonts w:ascii="Segoe UI" w:hAnsi="Segoe UI" w:cs="Segoe UI"/>
      <w:sz w:val="18"/>
      <w:szCs w:val="18"/>
    </w:rPr>
  </w:style>
  <w:style w:type="character" w:customStyle="1" w:styleId="cohl">
    <w:name w:val="co_hl"/>
    <w:basedOn w:val="DefaultParagraphFont"/>
    <w:rsid w:val="007C17F7"/>
  </w:style>
  <w:style w:type="paragraph" w:styleId="Revision">
    <w:name w:val="Revision"/>
    <w:hidden/>
    <w:uiPriority w:val="99"/>
    <w:semiHidden/>
    <w:rsid w:val="00CB352F"/>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8445DA"/>
    <w:rPr>
      <w:color w:val="605E5C"/>
      <w:shd w:val="clear" w:color="auto" w:fill="E1DFDD"/>
    </w:rPr>
  </w:style>
  <w:style w:type="character" w:customStyle="1" w:styleId="coconcept1223">
    <w:name w:val="co_concept_12_23"/>
    <w:basedOn w:val="DefaultParagraphFont"/>
    <w:rsid w:val="00C03F94"/>
  </w:style>
  <w:style w:type="character" w:customStyle="1" w:styleId="hgkelc">
    <w:name w:val="hgkelc"/>
    <w:basedOn w:val="DefaultParagraphFont"/>
    <w:rsid w:val="00AA72D4"/>
  </w:style>
  <w:style w:type="character" w:styleId="BookTitle">
    <w:name w:val="Book Title"/>
    <w:uiPriority w:val="33"/>
    <w:qFormat/>
    <w:rsid w:val="00FA74DB"/>
    <w:rPr>
      <w:b/>
      <w:bCs/>
      <w:smallCaps/>
      <w:spacing w:val="5"/>
    </w:rPr>
  </w:style>
  <w:style w:type="character" w:customStyle="1" w:styleId="Heading2Char">
    <w:name w:val="Heading 2 Char"/>
    <w:basedOn w:val="DefaultParagraphFont"/>
    <w:link w:val="Heading2"/>
    <w:uiPriority w:val="9"/>
    <w:semiHidden/>
    <w:rsid w:val="004F0244"/>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4F0244"/>
  </w:style>
  <w:style w:type="character" w:styleId="FollowedHyperlink">
    <w:name w:val="FollowedHyperlink"/>
    <w:basedOn w:val="DefaultParagraphFont"/>
    <w:uiPriority w:val="99"/>
    <w:semiHidden/>
    <w:unhideWhenUsed/>
    <w:rsid w:val="00CA3119"/>
    <w:rPr>
      <w:color w:val="954F72" w:themeColor="followedHyperlink"/>
      <w:u w:val="single"/>
    </w:rPr>
  </w:style>
  <w:style w:type="character" w:customStyle="1" w:styleId="UnresolvedMention3">
    <w:name w:val="Unresolved Mention3"/>
    <w:basedOn w:val="DefaultParagraphFont"/>
    <w:uiPriority w:val="99"/>
    <w:semiHidden/>
    <w:unhideWhenUsed/>
    <w:rsid w:val="006B2B4B"/>
    <w:rPr>
      <w:color w:val="605E5C"/>
      <w:shd w:val="clear" w:color="auto" w:fill="E1DFDD"/>
    </w:rPr>
  </w:style>
  <w:style w:type="character" w:customStyle="1" w:styleId="fiscal-value">
    <w:name w:val="fiscal-value"/>
    <w:basedOn w:val="DefaultParagraphFont"/>
    <w:rsid w:val="00F50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7062">
      <w:bodyDiv w:val="1"/>
      <w:marLeft w:val="0"/>
      <w:marRight w:val="0"/>
      <w:marTop w:val="0"/>
      <w:marBottom w:val="0"/>
      <w:divBdr>
        <w:top w:val="none" w:sz="0" w:space="0" w:color="auto"/>
        <w:left w:val="none" w:sz="0" w:space="0" w:color="auto"/>
        <w:bottom w:val="none" w:sz="0" w:space="0" w:color="auto"/>
        <w:right w:val="none" w:sz="0" w:space="0" w:color="auto"/>
      </w:divBdr>
    </w:div>
    <w:div w:id="92671229">
      <w:bodyDiv w:val="1"/>
      <w:marLeft w:val="0"/>
      <w:marRight w:val="0"/>
      <w:marTop w:val="0"/>
      <w:marBottom w:val="0"/>
      <w:divBdr>
        <w:top w:val="none" w:sz="0" w:space="0" w:color="auto"/>
        <w:left w:val="none" w:sz="0" w:space="0" w:color="auto"/>
        <w:bottom w:val="none" w:sz="0" w:space="0" w:color="auto"/>
        <w:right w:val="none" w:sz="0" w:space="0" w:color="auto"/>
      </w:divBdr>
      <w:divsChild>
        <w:div w:id="169218987">
          <w:marLeft w:val="0"/>
          <w:marRight w:val="0"/>
          <w:marTop w:val="0"/>
          <w:marBottom w:val="0"/>
          <w:divBdr>
            <w:top w:val="none" w:sz="0" w:space="0" w:color="auto"/>
            <w:left w:val="none" w:sz="0" w:space="0" w:color="auto"/>
            <w:bottom w:val="none" w:sz="0" w:space="0" w:color="auto"/>
            <w:right w:val="none" w:sz="0" w:space="0" w:color="auto"/>
          </w:divBdr>
        </w:div>
      </w:divsChild>
    </w:div>
    <w:div w:id="96487443">
      <w:bodyDiv w:val="1"/>
      <w:marLeft w:val="0"/>
      <w:marRight w:val="0"/>
      <w:marTop w:val="0"/>
      <w:marBottom w:val="0"/>
      <w:divBdr>
        <w:top w:val="none" w:sz="0" w:space="0" w:color="auto"/>
        <w:left w:val="none" w:sz="0" w:space="0" w:color="auto"/>
        <w:bottom w:val="none" w:sz="0" w:space="0" w:color="auto"/>
        <w:right w:val="none" w:sz="0" w:space="0" w:color="auto"/>
      </w:divBdr>
    </w:div>
    <w:div w:id="246161653">
      <w:bodyDiv w:val="1"/>
      <w:marLeft w:val="0"/>
      <w:marRight w:val="0"/>
      <w:marTop w:val="0"/>
      <w:marBottom w:val="0"/>
      <w:divBdr>
        <w:top w:val="none" w:sz="0" w:space="0" w:color="auto"/>
        <w:left w:val="none" w:sz="0" w:space="0" w:color="auto"/>
        <w:bottom w:val="none" w:sz="0" w:space="0" w:color="auto"/>
        <w:right w:val="none" w:sz="0" w:space="0" w:color="auto"/>
      </w:divBdr>
    </w:div>
    <w:div w:id="313725897">
      <w:bodyDiv w:val="1"/>
      <w:marLeft w:val="0"/>
      <w:marRight w:val="0"/>
      <w:marTop w:val="0"/>
      <w:marBottom w:val="0"/>
      <w:divBdr>
        <w:top w:val="none" w:sz="0" w:space="0" w:color="auto"/>
        <w:left w:val="none" w:sz="0" w:space="0" w:color="auto"/>
        <w:bottom w:val="none" w:sz="0" w:space="0" w:color="auto"/>
        <w:right w:val="none" w:sz="0" w:space="0" w:color="auto"/>
      </w:divBdr>
    </w:div>
    <w:div w:id="382411030">
      <w:bodyDiv w:val="1"/>
      <w:marLeft w:val="0"/>
      <w:marRight w:val="0"/>
      <w:marTop w:val="0"/>
      <w:marBottom w:val="0"/>
      <w:divBdr>
        <w:top w:val="none" w:sz="0" w:space="0" w:color="auto"/>
        <w:left w:val="none" w:sz="0" w:space="0" w:color="auto"/>
        <w:bottom w:val="none" w:sz="0" w:space="0" w:color="auto"/>
        <w:right w:val="none" w:sz="0" w:space="0" w:color="auto"/>
      </w:divBdr>
    </w:div>
    <w:div w:id="411392155">
      <w:bodyDiv w:val="1"/>
      <w:marLeft w:val="0"/>
      <w:marRight w:val="0"/>
      <w:marTop w:val="0"/>
      <w:marBottom w:val="0"/>
      <w:divBdr>
        <w:top w:val="none" w:sz="0" w:space="0" w:color="auto"/>
        <w:left w:val="none" w:sz="0" w:space="0" w:color="auto"/>
        <w:bottom w:val="none" w:sz="0" w:space="0" w:color="auto"/>
        <w:right w:val="none" w:sz="0" w:space="0" w:color="auto"/>
      </w:divBdr>
    </w:div>
    <w:div w:id="589853582">
      <w:bodyDiv w:val="1"/>
      <w:marLeft w:val="0"/>
      <w:marRight w:val="0"/>
      <w:marTop w:val="0"/>
      <w:marBottom w:val="0"/>
      <w:divBdr>
        <w:top w:val="none" w:sz="0" w:space="0" w:color="auto"/>
        <w:left w:val="none" w:sz="0" w:space="0" w:color="auto"/>
        <w:bottom w:val="none" w:sz="0" w:space="0" w:color="auto"/>
        <w:right w:val="none" w:sz="0" w:space="0" w:color="auto"/>
      </w:divBdr>
    </w:div>
    <w:div w:id="649671309">
      <w:bodyDiv w:val="1"/>
      <w:marLeft w:val="0"/>
      <w:marRight w:val="0"/>
      <w:marTop w:val="0"/>
      <w:marBottom w:val="0"/>
      <w:divBdr>
        <w:top w:val="none" w:sz="0" w:space="0" w:color="auto"/>
        <w:left w:val="none" w:sz="0" w:space="0" w:color="auto"/>
        <w:bottom w:val="none" w:sz="0" w:space="0" w:color="auto"/>
        <w:right w:val="none" w:sz="0" w:space="0" w:color="auto"/>
      </w:divBdr>
    </w:div>
    <w:div w:id="745958803">
      <w:bodyDiv w:val="1"/>
      <w:marLeft w:val="0"/>
      <w:marRight w:val="0"/>
      <w:marTop w:val="0"/>
      <w:marBottom w:val="0"/>
      <w:divBdr>
        <w:top w:val="none" w:sz="0" w:space="0" w:color="auto"/>
        <w:left w:val="none" w:sz="0" w:space="0" w:color="auto"/>
        <w:bottom w:val="none" w:sz="0" w:space="0" w:color="auto"/>
        <w:right w:val="none" w:sz="0" w:space="0" w:color="auto"/>
      </w:divBdr>
      <w:divsChild>
        <w:div w:id="1441024380">
          <w:marLeft w:val="0"/>
          <w:marRight w:val="0"/>
          <w:marTop w:val="0"/>
          <w:marBottom w:val="0"/>
          <w:divBdr>
            <w:top w:val="none" w:sz="0" w:space="0" w:color="auto"/>
            <w:left w:val="none" w:sz="0" w:space="0" w:color="auto"/>
            <w:bottom w:val="none" w:sz="0" w:space="0" w:color="auto"/>
            <w:right w:val="none" w:sz="0" w:space="0" w:color="auto"/>
          </w:divBdr>
        </w:div>
      </w:divsChild>
    </w:div>
    <w:div w:id="787088487">
      <w:bodyDiv w:val="1"/>
      <w:marLeft w:val="0"/>
      <w:marRight w:val="0"/>
      <w:marTop w:val="0"/>
      <w:marBottom w:val="0"/>
      <w:divBdr>
        <w:top w:val="none" w:sz="0" w:space="0" w:color="auto"/>
        <w:left w:val="none" w:sz="0" w:space="0" w:color="auto"/>
        <w:bottom w:val="none" w:sz="0" w:space="0" w:color="auto"/>
        <w:right w:val="none" w:sz="0" w:space="0" w:color="auto"/>
      </w:divBdr>
    </w:div>
    <w:div w:id="814950531">
      <w:bodyDiv w:val="1"/>
      <w:marLeft w:val="0"/>
      <w:marRight w:val="0"/>
      <w:marTop w:val="0"/>
      <w:marBottom w:val="0"/>
      <w:divBdr>
        <w:top w:val="none" w:sz="0" w:space="0" w:color="auto"/>
        <w:left w:val="none" w:sz="0" w:space="0" w:color="auto"/>
        <w:bottom w:val="none" w:sz="0" w:space="0" w:color="auto"/>
        <w:right w:val="none" w:sz="0" w:space="0" w:color="auto"/>
      </w:divBdr>
    </w:div>
    <w:div w:id="943027915">
      <w:bodyDiv w:val="1"/>
      <w:marLeft w:val="0"/>
      <w:marRight w:val="0"/>
      <w:marTop w:val="0"/>
      <w:marBottom w:val="0"/>
      <w:divBdr>
        <w:top w:val="none" w:sz="0" w:space="0" w:color="auto"/>
        <w:left w:val="none" w:sz="0" w:space="0" w:color="auto"/>
        <w:bottom w:val="none" w:sz="0" w:space="0" w:color="auto"/>
        <w:right w:val="none" w:sz="0" w:space="0" w:color="auto"/>
      </w:divBdr>
    </w:div>
    <w:div w:id="997804459">
      <w:bodyDiv w:val="1"/>
      <w:marLeft w:val="0"/>
      <w:marRight w:val="0"/>
      <w:marTop w:val="0"/>
      <w:marBottom w:val="0"/>
      <w:divBdr>
        <w:top w:val="none" w:sz="0" w:space="0" w:color="auto"/>
        <w:left w:val="none" w:sz="0" w:space="0" w:color="auto"/>
        <w:bottom w:val="none" w:sz="0" w:space="0" w:color="auto"/>
        <w:right w:val="none" w:sz="0" w:space="0" w:color="auto"/>
      </w:divBdr>
    </w:div>
    <w:div w:id="1094743809">
      <w:bodyDiv w:val="1"/>
      <w:marLeft w:val="0"/>
      <w:marRight w:val="0"/>
      <w:marTop w:val="0"/>
      <w:marBottom w:val="0"/>
      <w:divBdr>
        <w:top w:val="none" w:sz="0" w:space="0" w:color="auto"/>
        <w:left w:val="none" w:sz="0" w:space="0" w:color="auto"/>
        <w:bottom w:val="none" w:sz="0" w:space="0" w:color="auto"/>
        <w:right w:val="none" w:sz="0" w:space="0" w:color="auto"/>
      </w:divBdr>
    </w:div>
    <w:div w:id="1102266497">
      <w:bodyDiv w:val="1"/>
      <w:marLeft w:val="0"/>
      <w:marRight w:val="0"/>
      <w:marTop w:val="0"/>
      <w:marBottom w:val="0"/>
      <w:divBdr>
        <w:top w:val="none" w:sz="0" w:space="0" w:color="auto"/>
        <w:left w:val="none" w:sz="0" w:space="0" w:color="auto"/>
        <w:bottom w:val="none" w:sz="0" w:space="0" w:color="auto"/>
        <w:right w:val="none" w:sz="0" w:space="0" w:color="auto"/>
      </w:divBdr>
    </w:div>
    <w:div w:id="1115514615">
      <w:bodyDiv w:val="1"/>
      <w:marLeft w:val="0"/>
      <w:marRight w:val="0"/>
      <w:marTop w:val="0"/>
      <w:marBottom w:val="0"/>
      <w:divBdr>
        <w:top w:val="none" w:sz="0" w:space="0" w:color="auto"/>
        <w:left w:val="none" w:sz="0" w:space="0" w:color="auto"/>
        <w:bottom w:val="none" w:sz="0" w:space="0" w:color="auto"/>
        <w:right w:val="none" w:sz="0" w:space="0" w:color="auto"/>
      </w:divBdr>
    </w:div>
    <w:div w:id="1194808629">
      <w:bodyDiv w:val="1"/>
      <w:marLeft w:val="0"/>
      <w:marRight w:val="0"/>
      <w:marTop w:val="0"/>
      <w:marBottom w:val="0"/>
      <w:divBdr>
        <w:top w:val="none" w:sz="0" w:space="0" w:color="auto"/>
        <w:left w:val="none" w:sz="0" w:space="0" w:color="auto"/>
        <w:bottom w:val="none" w:sz="0" w:space="0" w:color="auto"/>
        <w:right w:val="none" w:sz="0" w:space="0" w:color="auto"/>
      </w:divBdr>
      <w:divsChild>
        <w:div w:id="834762475">
          <w:marLeft w:val="0"/>
          <w:marRight w:val="0"/>
          <w:marTop w:val="0"/>
          <w:marBottom w:val="0"/>
          <w:divBdr>
            <w:top w:val="none" w:sz="0" w:space="0" w:color="auto"/>
            <w:left w:val="none" w:sz="0" w:space="0" w:color="auto"/>
            <w:bottom w:val="none" w:sz="0" w:space="0" w:color="auto"/>
            <w:right w:val="none" w:sz="0" w:space="0" w:color="auto"/>
          </w:divBdr>
        </w:div>
      </w:divsChild>
    </w:div>
    <w:div w:id="1247305438">
      <w:bodyDiv w:val="1"/>
      <w:marLeft w:val="0"/>
      <w:marRight w:val="0"/>
      <w:marTop w:val="0"/>
      <w:marBottom w:val="0"/>
      <w:divBdr>
        <w:top w:val="none" w:sz="0" w:space="0" w:color="auto"/>
        <w:left w:val="none" w:sz="0" w:space="0" w:color="auto"/>
        <w:bottom w:val="none" w:sz="0" w:space="0" w:color="auto"/>
        <w:right w:val="none" w:sz="0" w:space="0" w:color="auto"/>
      </w:divBdr>
    </w:div>
    <w:div w:id="1417288398">
      <w:bodyDiv w:val="1"/>
      <w:marLeft w:val="0"/>
      <w:marRight w:val="0"/>
      <w:marTop w:val="0"/>
      <w:marBottom w:val="0"/>
      <w:divBdr>
        <w:top w:val="none" w:sz="0" w:space="0" w:color="auto"/>
        <w:left w:val="none" w:sz="0" w:space="0" w:color="auto"/>
        <w:bottom w:val="none" w:sz="0" w:space="0" w:color="auto"/>
        <w:right w:val="none" w:sz="0" w:space="0" w:color="auto"/>
      </w:divBdr>
    </w:div>
    <w:div w:id="1419595803">
      <w:bodyDiv w:val="1"/>
      <w:marLeft w:val="0"/>
      <w:marRight w:val="0"/>
      <w:marTop w:val="0"/>
      <w:marBottom w:val="0"/>
      <w:divBdr>
        <w:top w:val="none" w:sz="0" w:space="0" w:color="auto"/>
        <w:left w:val="none" w:sz="0" w:space="0" w:color="auto"/>
        <w:bottom w:val="none" w:sz="0" w:space="0" w:color="auto"/>
        <w:right w:val="none" w:sz="0" w:space="0" w:color="auto"/>
      </w:divBdr>
      <w:divsChild>
        <w:div w:id="773478385">
          <w:marLeft w:val="0"/>
          <w:marRight w:val="0"/>
          <w:marTop w:val="0"/>
          <w:marBottom w:val="0"/>
          <w:divBdr>
            <w:top w:val="none" w:sz="0" w:space="0" w:color="auto"/>
            <w:left w:val="none" w:sz="0" w:space="0" w:color="auto"/>
            <w:bottom w:val="none" w:sz="0" w:space="0" w:color="auto"/>
            <w:right w:val="none" w:sz="0" w:space="0" w:color="auto"/>
          </w:divBdr>
        </w:div>
      </w:divsChild>
    </w:div>
    <w:div w:id="1666393084">
      <w:bodyDiv w:val="1"/>
      <w:marLeft w:val="0"/>
      <w:marRight w:val="0"/>
      <w:marTop w:val="0"/>
      <w:marBottom w:val="0"/>
      <w:divBdr>
        <w:top w:val="none" w:sz="0" w:space="0" w:color="auto"/>
        <w:left w:val="none" w:sz="0" w:space="0" w:color="auto"/>
        <w:bottom w:val="none" w:sz="0" w:space="0" w:color="auto"/>
        <w:right w:val="none" w:sz="0" w:space="0" w:color="auto"/>
      </w:divBdr>
    </w:div>
    <w:div w:id="1694763119">
      <w:bodyDiv w:val="1"/>
      <w:marLeft w:val="0"/>
      <w:marRight w:val="0"/>
      <w:marTop w:val="0"/>
      <w:marBottom w:val="0"/>
      <w:divBdr>
        <w:top w:val="none" w:sz="0" w:space="0" w:color="auto"/>
        <w:left w:val="none" w:sz="0" w:space="0" w:color="auto"/>
        <w:bottom w:val="none" w:sz="0" w:space="0" w:color="auto"/>
        <w:right w:val="none" w:sz="0" w:space="0" w:color="auto"/>
      </w:divBdr>
    </w:div>
    <w:div w:id="1739671157">
      <w:bodyDiv w:val="1"/>
      <w:marLeft w:val="0"/>
      <w:marRight w:val="0"/>
      <w:marTop w:val="0"/>
      <w:marBottom w:val="0"/>
      <w:divBdr>
        <w:top w:val="none" w:sz="0" w:space="0" w:color="auto"/>
        <w:left w:val="none" w:sz="0" w:space="0" w:color="auto"/>
        <w:bottom w:val="none" w:sz="0" w:space="0" w:color="auto"/>
        <w:right w:val="none" w:sz="0" w:space="0" w:color="auto"/>
      </w:divBdr>
      <w:divsChild>
        <w:div w:id="2100707819">
          <w:marLeft w:val="0"/>
          <w:marRight w:val="0"/>
          <w:marTop w:val="0"/>
          <w:marBottom w:val="0"/>
          <w:divBdr>
            <w:top w:val="none" w:sz="0" w:space="0" w:color="auto"/>
            <w:left w:val="none" w:sz="0" w:space="0" w:color="auto"/>
            <w:bottom w:val="none" w:sz="0" w:space="0" w:color="auto"/>
            <w:right w:val="none" w:sz="0" w:space="0" w:color="auto"/>
          </w:divBdr>
        </w:div>
      </w:divsChild>
    </w:div>
    <w:div w:id="1742174037">
      <w:bodyDiv w:val="1"/>
      <w:marLeft w:val="0"/>
      <w:marRight w:val="0"/>
      <w:marTop w:val="0"/>
      <w:marBottom w:val="0"/>
      <w:divBdr>
        <w:top w:val="none" w:sz="0" w:space="0" w:color="auto"/>
        <w:left w:val="none" w:sz="0" w:space="0" w:color="auto"/>
        <w:bottom w:val="none" w:sz="0" w:space="0" w:color="auto"/>
        <w:right w:val="none" w:sz="0" w:space="0" w:color="auto"/>
      </w:divBdr>
      <w:divsChild>
        <w:div w:id="1440024337">
          <w:marLeft w:val="0"/>
          <w:marRight w:val="0"/>
          <w:marTop w:val="0"/>
          <w:marBottom w:val="0"/>
          <w:divBdr>
            <w:top w:val="none" w:sz="0" w:space="0" w:color="auto"/>
            <w:left w:val="none" w:sz="0" w:space="0" w:color="auto"/>
            <w:bottom w:val="none" w:sz="0" w:space="0" w:color="auto"/>
            <w:right w:val="none" w:sz="0" w:space="0" w:color="auto"/>
          </w:divBdr>
        </w:div>
        <w:div w:id="1709261668">
          <w:marLeft w:val="0"/>
          <w:marRight w:val="0"/>
          <w:marTop w:val="0"/>
          <w:marBottom w:val="0"/>
          <w:divBdr>
            <w:top w:val="none" w:sz="0" w:space="0" w:color="auto"/>
            <w:left w:val="none" w:sz="0" w:space="0" w:color="auto"/>
            <w:bottom w:val="none" w:sz="0" w:space="0" w:color="auto"/>
            <w:right w:val="none" w:sz="0" w:space="0" w:color="auto"/>
          </w:divBdr>
          <w:divsChild>
            <w:div w:id="671220482">
              <w:marLeft w:val="0"/>
              <w:marRight w:val="0"/>
              <w:marTop w:val="0"/>
              <w:marBottom w:val="0"/>
              <w:divBdr>
                <w:top w:val="none" w:sz="0" w:space="0" w:color="auto"/>
                <w:left w:val="none" w:sz="0" w:space="0" w:color="auto"/>
                <w:bottom w:val="none" w:sz="0" w:space="0" w:color="auto"/>
                <w:right w:val="none" w:sz="0" w:space="0" w:color="auto"/>
              </w:divBdr>
              <w:divsChild>
                <w:div w:id="290945681">
                  <w:blockQuote w:val="1"/>
                  <w:marLeft w:val="0"/>
                  <w:marRight w:val="0"/>
                  <w:marTop w:val="0"/>
                  <w:marBottom w:val="0"/>
                  <w:divBdr>
                    <w:top w:val="none" w:sz="0" w:space="0" w:color="auto"/>
                    <w:left w:val="none" w:sz="0" w:space="0" w:color="auto"/>
                    <w:bottom w:val="none" w:sz="0" w:space="0" w:color="auto"/>
                    <w:right w:val="none" w:sz="0" w:space="0" w:color="auto"/>
                  </w:divBdr>
                  <w:divsChild>
                    <w:div w:id="61776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498008">
          <w:marLeft w:val="0"/>
          <w:marRight w:val="0"/>
          <w:marTop w:val="0"/>
          <w:marBottom w:val="0"/>
          <w:divBdr>
            <w:top w:val="none" w:sz="0" w:space="0" w:color="auto"/>
            <w:left w:val="none" w:sz="0" w:space="0" w:color="auto"/>
            <w:bottom w:val="none" w:sz="0" w:space="0" w:color="auto"/>
            <w:right w:val="none" w:sz="0" w:space="0" w:color="auto"/>
          </w:divBdr>
        </w:div>
      </w:divsChild>
    </w:div>
    <w:div w:id="1895771159">
      <w:bodyDiv w:val="1"/>
      <w:marLeft w:val="0"/>
      <w:marRight w:val="0"/>
      <w:marTop w:val="0"/>
      <w:marBottom w:val="0"/>
      <w:divBdr>
        <w:top w:val="none" w:sz="0" w:space="0" w:color="auto"/>
        <w:left w:val="none" w:sz="0" w:space="0" w:color="auto"/>
        <w:bottom w:val="none" w:sz="0" w:space="0" w:color="auto"/>
        <w:right w:val="none" w:sz="0" w:space="0" w:color="auto"/>
      </w:divBdr>
      <w:divsChild>
        <w:div w:id="32579626">
          <w:marLeft w:val="0"/>
          <w:marRight w:val="0"/>
          <w:marTop w:val="0"/>
          <w:marBottom w:val="0"/>
          <w:divBdr>
            <w:top w:val="none" w:sz="0" w:space="0" w:color="auto"/>
            <w:left w:val="none" w:sz="0" w:space="0" w:color="auto"/>
            <w:bottom w:val="none" w:sz="0" w:space="0" w:color="auto"/>
            <w:right w:val="none" w:sz="0" w:space="0" w:color="auto"/>
          </w:divBdr>
        </w:div>
      </w:divsChild>
    </w:div>
    <w:div w:id="1988511666">
      <w:bodyDiv w:val="1"/>
      <w:marLeft w:val="0"/>
      <w:marRight w:val="0"/>
      <w:marTop w:val="0"/>
      <w:marBottom w:val="0"/>
      <w:divBdr>
        <w:top w:val="none" w:sz="0" w:space="0" w:color="auto"/>
        <w:left w:val="none" w:sz="0" w:space="0" w:color="auto"/>
        <w:bottom w:val="none" w:sz="0" w:space="0" w:color="auto"/>
        <w:right w:val="none" w:sz="0" w:space="0" w:color="auto"/>
      </w:divBdr>
    </w:div>
    <w:div w:id="205658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6" Type="http://schemas.openxmlformats.org/officeDocument/2006/relationships/hyperlink" Target="https://www.gpo.gov/fdsys/pkg/USCODE-2009-title42/pdf/USCODE-2009-title42-chap8.pdf" TargetMode="External"/><Relationship Id="rId21" Type="http://schemas.openxmlformats.org/officeDocument/2006/relationships/hyperlink" Target="https://legistar.council.nyc.gov/LegislationDetail.aspx?ID=3923896&amp;GUID=86783671-B200-46DF-9F5F-72811EE3737E&amp;Options=Advanced&amp;Search" TargetMode="External"/><Relationship Id="rId42" Type="http://schemas.openxmlformats.org/officeDocument/2006/relationships/hyperlink" Target="https://www.gpo.gov/fdsys/pkg/USCODE-2009-title42/pdf/USCODE-2009-title42-chap8.pdf" TargetMode="External"/><Relationship Id="rId47" Type="http://schemas.openxmlformats.org/officeDocument/2006/relationships/hyperlink" Target="https://www.gpo.gov/fdsys/pkg/USCODE-2009-title42/pdf/USCODE-2009-title42-chap8.pdf" TargetMode="External"/><Relationship Id="rId63" Type="http://schemas.openxmlformats.org/officeDocument/2006/relationships/hyperlink" Target="https://www.hudexchange.info/programs/rad/" TargetMode="External"/><Relationship Id="rId68" Type="http://schemas.openxmlformats.org/officeDocument/2006/relationships/hyperlink" Target="https://www.hudexchange.info/programs/rad/" TargetMode="External"/><Relationship Id="rId84" Type="http://schemas.openxmlformats.org/officeDocument/2006/relationships/hyperlink" Target="https://furmancenter.org/coredata/directory/entry/project-based-section-8" TargetMode="External"/><Relationship Id="rId89" Type="http://schemas.openxmlformats.org/officeDocument/2006/relationships/hyperlink" Target="https://www.enterprisecommunity.org/sites/default/files/2021-06/RAD-lessons-learned-at-ocean-bay.pdf" TargetMode="External"/><Relationship Id="rId16" Type="http://schemas.openxmlformats.org/officeDocument/2006/relationships/hyperlink" Target="https://a860-gpp.nyc.gov/concern/parent/1544br19b/file_sets/hh63sz27r" TargetMode="External"/><Relationship Id="rId11" Type="http://schemas.openxmlformats.org/officeDocument/2006/relationships/hyperlink" Target="https://legistar.council.nyc.gov/MeetingDetail.aspx?ID=846442&amp;GUID=5EFAFC84-31CD-4429-9DD5-6459FA872F49&amp;Options=info|&amp;Search" TargetMode="External"/><Relationship Id="rId32" Type="http://schemas.openxmlformats.org/officeDocument/2006/relationships/hyperlink" Target="https://www.gpo.gov/fdsys/pkg/USCODE-2009-title42/pdf/USCODE-2009-title42-chap8.pdf" TargetMode="External"/><Relationship Id="rId37" Type="http://schemas.openxmlformats.org/officeDocument/2006/relationships/hyperlink" Target="https://www.gpo.gov/fdsys/pkg/USCODE-2009-title42/pdf/USCODE-2009-title42-chap8.pdf" TargetMode="External"/><Relationship Id="rId53" Type="http://schemas.openxmlformats.org/officeDocument/2006/relationships/hyperlink" Target="https://www.hud.gov/RAD" TargetMode="External"/><Relationship Id="rId58" Type="http://schemas.openxmlformats.org/officeDocument/2006/relationships/hyperlink" Target="https://www.hudexchange.info/programs/rad/" TargetMode="External"/><Relationship Id="rId74" Type="http://schemas.openxmlformats.org/officeDocument/2006/relationships/hyperlink" Target="https://furmancenter.org/coredata/directory/entry/project-based-section-8" TargetMode="External"/><Relationship Id="rId79" Type="http://schemas.openxmlformats.org/officeDocument/2006/relationships/hyperlink" Target="https://furmancenter.org/coredata/directory/entry/project-based-section-8" TargetMode="External"/><Relationship Id="rId5" Type="http://schemas.openxmlformats.org/officeDocument/2006/relationships/hyperlink" Target="https://www1.nyc.gov/assets/operations/downloads/pdf/mmr2021/311.pdf" TargetMode="External"/><Relationship Id="rId90" Type="http://schemas.openxmlformats.org/officeDocument/2006/relationships/hyperlink" Target="https://www.enterprisecommunity.org/sites/default/files/2021-06/RAD-lessons-learned-at-ocean-bay.pdf" TargetMode="External"/><Relationship Id="rId95" Type="http://schemas.openxmlformats.org/officeDocument/2006/relationships/hyperlink" Target="http://www1.nyc.gov/site/nycha/residents/customer-contact-center.page" TargetMode="External"/><Relationship Id="rId22" Type="http://schemas.openxmlformats.org/officeDocument/2006/relationships/hyperlink" Target="https://www1.nyc.gov/assets/doitt/downloads/pdf/reports/311-customer-satisfaction-surveys-designated-languages-2021.pdf" TargetMode="External"/><Relationship Id="rId27" Type="http://schemas.openxmlformats.org/officeDocument/2006/relationships/hyperlink" Target="https://www.gpo.gov/fdsys/pkg/USCODE-2009-title42/pdf/USCODE-2009-title42-chap8.pdf" TargetMode="External"/><Relationship Id="rId43" Type="http://schemas.openxmlformats.org/officeDocument/2006/relationships/hyperlink" Target="https://www.gpo.gov/fdsys/pkg/USCODE-2009-title42/pdf/USCODE-2009-title42-chap8.pdf" TargetMode="External"/><Relationship Id="rId48" Type="http://schemas.openxmlformats.org/officeDocument/2006/relationships/hyperlink" Target="https://www1.nyc.gov/assets/nycha/downloads/pdf/NYCHA_Fact_Sheet_2022.pdf" TargetMode="External"/><Relationship Id="rId64" Type="http://schemas.openxmlformats.org/officeDocument/2006/relationships/hyperlink" Target="https://www.hudexchange.info/programs/rad/" TargetMode="External"/><Relationship Id="rId69" Type="http://schemas.openxmlformats.org/officeDocument/2006/relationships/hyperlink" Target="https://www.hudexchange.info/programs/rad/" TargetMode="External"/><Relationship Id="rId80" Type="http://schemas.openxmlformats.org/officeDocument/2006/relationships/hyperlink" Target="https://furmancenter.org/coredata/directory/entry/project-based-section-8" TargetMode="External"/><Relationship Id="rId85" Type="http://schemas.openxmlformats.org/officeDocument/2006/relationships/hyperlink" Target="https://furmancenter.org/coredata/directory/entry/project-based-section-8" TargetMode="External"/><Relationship Id="rId3" Type="http://schemas.openxmlformats.org/officeDocument/2006/relationships/hyperlink" Target="https://www1.nyc.gov/assets/operations/downloads/pdf/mmr2021/311.pdf" TargetMode="External"/><Relationship Id="rId12" Type="http://schemas.openxmlformats.org/officeDocument/2006/relationships/hyperlink" Target="https://apps.apple.com/us/app/nyc-311/id324897619" TargetMode="External"/><Relationship Id="rId17" Type="http://schemas.openxmlformats.org/officeDocument/2006/relationships/hyperlink" Target="https://a860-gpp.nyc.gov/concern/parent/1544br19b/file_sets/hh63sz27r" TargetMode="External"/><Relationship Id="rId25" Type="http://schemas.openxmlformats.org/officeDocument/2006/relationships/hyperlink" Target="https://www.gpo.gov/fdsys/pkg/USCODE-2009-title42/pdf/USCODE-2009-title42-chap8.pdf" TargetMode="External"/><Relationship Id="rId33" Type="http://schemas.openxmlformats.org/officeDocument/2006/relationships/hyperlink" Target="https://www.gpo.gov/fdsys/pkg/USCODE-2009-title42/pdf/USCODE-2009-title42-chap8.pdf" TargetMode="External"/><Relationship Id="rId38" Type="http://schemas.openxmlformats.org/officeDocument/2006/relationships/hyperlink" Target="https://www.gpo.gov/fdsys/pkg/USCODE-2009-title42/pdf/USCODE-2009-title42-chap8.pdf" TargetMode="External"/><Relationship Id="rId46" Type="http://schemas.openxmlformats.org/officeDocument/2006/relationships/hyperlink" Target="https://www.gpo.gov/fdsys/pkg/USCODE-2009-title42/pdf/USCODE-2009-title42-chap8.pdf" TargetMode="External"/><Relationship Id="rId59" Type="http://schemas.openxmlformats.org/officeDocument/2006/relationships/hyperlink" Target="https://www.hudexchange.info/programs/rad/" TargetMode="External"/><Relationship Id="rId67" Type="http://schemas.openxmlformats.org/officeDocument/2006/relationships/hyperlink" Target="https://www.hudexchange.info/programs/rad/" TargetMode="External"/><Relationship Id="rId20" Type="http://schemas.openxmlformats.org/officeDocument/2006/relationships/hyperlink" Target="https://legistar.council.nyc.gov/MeetingDetail.aspx?ID=668221&amp;GUID=0F82BE58-10B4-4F58-98A1-28215D28C10F&amp;Options=info&amp;Search" TargetMode="External"/><Relationship Id="rId41" Type="http://schemas.openxmlformats.org/officeDocument/2006/relationships/hyperlink" Target="https://www.gpo.gov/fdsys/pkg/USCODE-2009-title42/pdf/USCODE-2009-title42-chap8.pdf" TargetMode="External"/><Relationship Id="rId54" Type="http://schemas.openxmlformats.org/officeDocument/2006/relationships/hyperlink" Target="https://www.hud.gov/RAD" TargetMode="External"/><Relationship Id="rId62" Type="http://schemas.openxmlformats.org/officeDocument/2006/relationships/hyperlink" Target="https://www.hudexchange.info/programs/rad/" TargetMode="External"/><Relationship Id="rId70" Type="http://schemas.openxmlformats.org/officeDocument/2006/relationships/hyperlink" Target="https://furmancenter.org/coredata/directory/entry/section-8-housing-choice-voucher-program" TargetMode="External"/><Relationship Id="rId75" Type="http://schemas.openxmlformats.org/officeDocument/2006/relationships/hyperlink" Target="https://furmancenter.org/coredata/directory/entry/project-based-section-8" TargetMode="External"/><Relationship Id="rId83" Type="http://schemas.openxmlformats.org/officeDocument/2006/relationships/hyperlink" Target="https://furmancenter.org/coredata/directory/entry/project-based-section-8" TargetMode="External"/><Relationship Id="rId88" Type="http://schemas.openxmlformats.org/officeDocument/2006/relationships/hyperlink" Target="https://furmancenter.org/coredata/directory/entry/project-based-section-8" TargetMode="External"/><Relationship Id="rId91" Type="http://schemas.openxmlformats.org/officeDocument/2006/relationships/hyperlink" Target="https://www.enterprisecommunity.org/sites/default/files/2021-06/RAD-lessons-learned-at-ocean-bay.pdf" TargetMode="External"/><Relationship Id="rId96" Type="http://schemas.openxmlformats.org/officeDocument/2006/relationships/hyperlink" Target="https://www.hrw.org/report/2022/01/27/tenant-never-wins/private-takeover-public-housing-puts-rights-risk-new-york-city" TargetMode="External"/><Relationship Id="rId1" Type="http://schemas.openxmlformats.org/officeDocument/2006/relationships/hyperlink" Target="https://portal.311.nyc.gov" TargetMode="External"/><Relationship Id="rId6" Type="http://schemas.openxmlformats.org/officeDocument/2006/relationships/hyperlink" Target="https://dmmr.nyc.gov/city-services/basic-services-for-all-new-yorkers/311" TargetMode="External"/><Relationship Id="rId15" Type="http://schemas.openxmlformats.org/officeDocument/2006/relationships/hyperlink" Target="https://a860-gpp.nyc.gov/concern/parent/1544br19b/file_sets/hh63sz27r" TargetMode="External"/><Relationship Id="rId23" Type="http://schemas.openxmlformats.org/officeDocument/2006/relationships/hyperlink" Target="https://www.gpo.gov/fdsys/pkg/USCODE-2009-title42/pdf/USCODE-2009-title42-chap8.pdf" TargetMode="External"/><Relationship Id="rId28" Type="http://schemas.openxmlformats.org/officeDocument/2006/relationships/hyperlink" Target="https://www.gpo.gov/fdsys/pkg/USCODE-2009-title42/pdf/USCODE-2009-title42-chap8.pdf" TargetMode="External"/><Relationship Id="rId36" Type="http://schemas.openxmlformats.org/officeDocument/2006/relationships/hyperlink" Target="https://www.gpo.gov/fdsys/pkg/USCODE-2009-title42/pdf/USCODE-2009-title42-chap8.pdf" TargetMode="External"/><Relationship Id="rId49" Type="http://schemas.openxmlformats.org/officeDocument/2006/relationships/hyperlink" Target="https://www.hud.gov/RAD" TargetMode="External"/><Relationship Id="rId57" Type="http://schemas.openxmlformats.org/officeDocument/2006/relationships/hyperlink" Target="https://www.hud.gov/RAD" TargetMode="External"/><Relationship Id="rId10" Type="http://schemas.openxmlformats.org/officeDocument/2006/relationships/hyperlink" Target="https://www.crainsnewyork.com/article/20170112/TECHNOLOGY/170119941/ibm-s-watson-will-soon-answer-your-311-calls-as-part-of-a-24-million-upgrade-to-the-system" TargetMode="External"/><Relationship Id="rId31" Type="http://schemas.openxmlformats.org/officeDocument/2006/relationships/hyperlink" Target="https://www.gpo.gov/fdsys/pkg/USCODE-2009-title42/pdf/USCODE-2009-title42-chap8.pdf" TargetMode="External"/><Relationship Id="rId44" Type="http://schemas.openxmlformats.org/officeDocument/2006/relationships/hyperlink" Target="https://www.gpo.gov/fdsys/pkg/USCODE-2009-title42/pdf/USCODE-2009-title42-chap8.pdf" TargetMode="External"/><Relationship Id="rId52" Type="http://schemas.openxmlformats.org/officeDocument/2006/relationships/hyperlink" Target="https://www.hud.gov/RAD" TargetMode="External"/><Relationship Id="rId60" Type="http://schemas.openxmlformats.org/officeDocument/2006/relationships/hyperlink" Target="https://www.hudexchange.info/programs/rad/" TargetMode="External"/><Relationship Id="rId65" Type="http://schemas.openxmlformats.org/officeDocument/2006/relationships/hyperlink" Target="https://www.hudexchange.info/programs/rad/" TargetMode="External"/><Relationship Id="rId73" Type="http://schemas.openxmlformats.org/officeDocument/2006/relationships/hyperlink" Target="https://furmancenter.org/coredata/directory/entry/project-based-section-8" TargetMode="External"/><Relationship Id="rId78" Type="http://schemas.openxmlformats.org/officeDocument/2006/relationships/hyperlink" Target="https://furmancenter.org/coredata/directory/entry/project-based-section-8" TargetMode="External"/><Relationship Id="rId81" Type="http://schemas.openxmlformats.org/officeDocument/2006/relationships/hyperlink" Target="https://furmancenter.org/coredata/directory/entry/project-based-section-8" TargetMode="External"/><Relationship Id="rId86" Type="http://schemas.openxmlformats.org/officeDocument/2006/relationships/hyperlink" Target="https://furmancenter.org/coredata/directory/entry/project-based-section-8" TargetMode="External"/><Relationship Id="rId94" Type="http://schemas.openxmlformats.org/officeDocument/2006/relationships/hyperlink" Target="https://www1.nyc.gov/office-of-the-mayor/news/591-18/fixing-nycha-mayor-de-blasio-comprehensive-plan-renovate-nycha-apartments-and" TargetMode="External"/><Relationship Id="rId4" Type="http://schemas.openxmlformats.org/officeDocument/2006/relationships/hyperlink" Target="https://council.nyc.gov/data/311-services/" TargetMode="External"/><Relationship Id="rId9" Type="http://schemas.openxmlformats.org/officeDocument/2006/relationships/hyperlink" Target="https://www.scribd.com/document/342938208/NTP-and-NYC-311-IBM-Task-Order-1426-001A-signed-Redacted-v2?secret_password=RtVgjUFEdELXT1pukn65" TargetMode="External"/><Relationship Id="rId13" Type="http://schemas.openxmlformats.org/officeDocument/2006/relationships/hyperlink" Target="https://play.google.com/store/apps/details?id=gov.nyc.doitt.ThreeOneOne&amp;hl=en_US&amp;gl=US&amp;showAllReviews=tru" TargetMode="External"/><Relationship Id="rId18" Type="http://schemas.openxmlformats.org/officeDocument/2006/relationships/hyperlink" Target="https://thecity.nyc/2019/12/311-tone-deaf-on-language-options-for-non-english-speakers.html" TargetMode="External"/><Relationship Id="rId39" Type="http://schemas.openxmlformats.org/officeDocument/2006/relationships/hyperlink" Target="https://www.gpo.gov/fdsys/pkg/USCODE-2009-title42/pdf/USCODE-2009-title42-chap8.pdf" TargetMode="External"/><Relationship Id="rId34" Type="http://schemas.openxmlformats.org/officeDocument/2006/relationships/hyperlink" Target="https://www.gpo.gov/fdsys/pkg/USCODE-2009-title42/pdf/USCODE-2009-title42-chap8.pdf" TargetMode="External"/><Relationship Id="rId50" Type="http://schemas.openxmlformats.org/officeDocument/2006/relationships/hyperlink" Target="https://www.hud.gov/RAD" TargetMode="External"/><Relationship Id="rId55" Type="http://schemas.openxmlformats.org/officeDocument/2006/relationships/hyperlink" Target="https://www.hud.gov/RAD" TargetMode="External"/><Relationship Id="rId76" Type="http://schemas.openxmlformats.org/officeDocument/2006/relationships/hyperlink" Target="https://furmancenter.org/coredata/directory/entry/project-based-section-8" TargetMode="External"/><Relationship Id="rId97" Type="http://schemas.openxmlformats.org/officeDocument/2006/relationships/hyperlink" Target="https://thecity.nyc/2019/04/whats-the-311-stranded-in-n-y-s-service-hotline-deserts.html" TargetMode="External"/><Relationship Id="rId7" Type="http://schemas.openxmlformats.org/officeDocument/2006/relationships/hyperlink" Target="https://www1.nyc.gov/assets/doitt/downloads/pdf/311-rfs.pdf" TargetMode="External"/><Relationship Id="rId71" Type="http://schemas.openxmlformats.org/officeDocument/2006/relationships/hyperlink" Target="https://furmancenter.org/coredata/directory/entry/project-based-section-8" TargetMode="External"/><Relationship Id="rId92" Type="http://schemas.openxmlformats.org/officeDocument/2006/relationships/hyperlink" Target="https://www.enterprisecommunity.org/sites/default/files/2021-06/RAD-lessons-learned-at-ocean-bay.pdf" TargetMode="External"/><Relationship Id="rId2" Type="http://schemas.openxmlformats.org/officeDocument/2006/relationships/hyperlink" Target="https://www1.nyc.gov/site/doitt/about/who-we-are.page" TargetMode="External"/><Relationship Id="rId29" Type="http://schemas.openxmlformats.org/officeDocument/2006/relationships/hyperlink" Target="https://www.gpo.gov/fdsys/pkg/USCODE-2009-title42/pdf/USCODE-2009-title42-chap8.pdf" TargetMode="External"/><Relationship Id="rId24" Type="http://schemas.openxmlformats.org/officeDocument/2006/relationships/hyperlink" Target="https://www.gpo.gov/fdsys/pkg/USCODE-2009-title42/pdf/USCODE-2009-title42-chap8.pdf" TargetMode="External"/><Relationship Id="rId40" Type="http://schemas.openxmlformats.org/officeDocument/2006/relationships/hyperlink" Target="https://www.gpo.gov/fdsys/pkg/USCODE-2009-title42/pdf/USCODE-2009-title42-chap8.pdf" TargetMode="External"/><Relationship Id="rId45" Type="http://schemas.openxmlformats.org/officeDocument/2006/relationships/hyperlink" Target="https://www.gpo.gov/fdsys/pkg/USCODE-2009-title42/pdf/USCODE-2009-title42-chap8.pdf" TargetMode="External"/><Relationship Id="rId66" Type="http://schemas.openxmlformats.org/officeDocument/2006/relationships/hyperlink" Target="https://www.hudexchange.info/programs/rad/" TargetMode="External"/><Relationship Id="rId87" Type="http://schemas.openxmlformats.org/officeDocument/2006/relationships/hyperlink" Target="https://furmancenter.org/coredata/directory/entry/project-based-section-8" TargetMode="External"/><Relationship Id="rId61" Type="http://schemas.openxmlformats.org/officeDocument/2006/relationships/hyperlink" Target="https://www.hudexchange.info/programs/rad/" TargetMode="External"/><Relationship Id="rId82" Type="http://schemas.openxmlformats.org/officeDocument/2006/relationships/hyperlink" Target="https://furmancenter.org/coredata/directory/entry/project-based-section-8" TargetMode="External"/><Relationship Id="rId19" Type="http://schemas.openxmlformats.org/officeDocument/2006/relationships/hyperlink" Target="https://legistar.council.nyc.gov/LegislationDetail.aspx?ID=3698345&amp;GUID=D53B67F7-5F3F-47C5-B753-EC74797E5072&amp;Options=&amp;Search" TargetMode="External"/><Relationship Id="rId14" Type="http://schemas.openxmlformats.org/officeDocument/2006/relationships/hyperlink" Target="https://legistar.council.nyc.gov/LegislationDetail.aspx?ID=2735477&amp;GUID=D0A0ECA1-4D71-47EB-B44D-5919777ED818&amp;Options=Advanced&amp;Search" TargetMode="External"/><Relationship Id="rId30" Type="http://schemas.openxmlformats.org/officeDocument/2006/relationships/hyperlink" Target="https://www.gpo.gov/fdsys/pkg/USCODE-2009-title42/pdf/USCODE-2009-title42-chap8.pdf" TargetMode="External"/><Relationship Id="rId35" Type="http://schemas.openxmlformats.org/officeDocument/2006/relationships/hyperlink" Target="https://www.gpo.gov/fdsys/pkg/USCODE-2009-title42/pdf/USCODE-2009-title42-chap8.pdf" TargetMode="External"/><Relationship Id="rId56" Type="http://schemas.openxmlformats.org/officeDocument/2006/relationships/hyperlink" Target="https://www.hud.gov/RAD" TargetMode="External"/><Relationship Id="rId77" Type="http://schemas.openxmlformats.org/officeDocument/2006/relationships/hyperlink" Target="https://furmancenter.org/coredata/directory/entry/project-based-section-8" TargetMode="External"/><Relationship Id="rId8" Type="http://schemas.openxmlformats.org/officeDocument/2006/relationships/hyperlink" Target="https://www.crainsnewyork.com/article/20150430/TECHNOLOGY/150429832/city-s-311-hotline-is-getting-some-help-of-its-own" TargetMode="External"/><Relationship Id="rId51" Type="http://schemas.openxmlformats.org/officeDocument/2006/relationships/hyperlink" Target="https://www.hud.gov/RAD" TargetMode="External"/><Relationship Id="rId72" Type="http://schemas.openxmlformats.org/officeDocument/2006/relationships/hyperlink" Target="https://furmancenter.org/coredata/directory/entry/project-based-section-8" TargetMode="External"/><Relationship Id="rId93" Type="http://schemas.openxmlformats.org/officeDocument/2006/relationships/hyperlink" Target="https://www.enterprisecommunity.org/sites/default/files/2021-06/RAD-lessons-learned-at-ocean-ba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13" ma:contentTypeDescription="Create a new document." ma:contentTypeScope="" ma:versionID="b8406586b4621d5e61482926c8253229">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ed6f11db4959f332520ea152f34fdb1c"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BAD7C-C10A-4E84-9BD7-D79D3BBFCA7A}">
  <ds:schemaRefs>
    <ds:schemaRef ds:uri="0a89be48-00c3-4dce-a54e-5fa37f38efab"/>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b0585e4f-ee23-4833-9bbe-8be3b0a875ac"/>
    <ds:schemaRef ds:uri="http://www.w3.org/XML/1998/namespace"/>
    <ds:schemaRef ds:uri="http://purl.org/dc/terms/"/>
  </ds:schemaRefs>
</ds:datastoreItem>
</file>

<file path=customXml/itemProps2.xml><?xml version="1.0" encoding="utf-8"?>
<ds:datastoreItem xmlns:ds="http://schemas.openxmlformats.org/officeDocument/2006/customXml" ds:itemID="{59A0B16F-C342-437E-9986-7A14893F26E5}">
  <ds:schemaRefs>
    <ds:schemaRef ds:uri="http://schemas.microsoft.com/sharepoint/v3/contenttype/forms"/>
  </ds:schemaRefs>
</ds:datastoreItem>
</file>

<file path=customXml/itemProps3.xml><?xml version="1.0" encoding="utf-8"?>
<ds:datastoreItem xmlns:ds="http://schemas.openxmlformats.org/officeDocument/2006/customXml" ds:itemID="{69DF392B-C72B-48DC-A967-5525B773D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3D3E0C-F805-42FD-BBE6-D6024A09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5721</Words>
  <Characters>32612</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Byhovsky, Irene</dc:creator>
  <cp:keywords/>
  <dc:description/>
  <cp:lastModifiedBy>DelFranco, Ruthie</cp:lastModifiedBy>
  <cp:revision>2</cp:revision>
  <dcterms:created xsi:type="dcterms:W3CDTF">2022-06-30T21:54:00Z</dcterms:created>
  <dcterms:modified xsi:type="dcterms:W3CDTF">2022-06-30T21:54:00Z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