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3AAC" w14:textId="77777777" w:rsidR="00671147" w:rsidRPr="0072008E" w:rsidRDefault="00671147" w:rsidP="00671147">
      <w:pPr>
        <w:jc w:val="center"/>
      </w:pPr>
      <w:bookmarkStart w:id="0" w:name="_GoBack"/>
      <w:bookmarkEnd w:id="0"/>
      <w:r w:rsidRPr="0072008E">
        <w:rPr>
          <w:noProof/>
        </w:rPr>
        <w:drawing>
          <wp:inline distT="0" distB="0" distL="0" distR="0" wp14:anchorId="2AFA0D29" wp14:editId="60DE4889">
            <wp:extent cx="1047648" cy="105903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60" cy="1099078"/>
                    </a:xfrm>
                    <a:prstGeom prst="rect">
                      <a:avLst/>
                    </a:prstGeom>
                    <a:noFill/>
                    <a:ln>
                      <a:noFill/>
                    </a:ln>
                  </pic:spPr>
                </pic:pic>
              </a:graphicData>
            </a:graphic>
          </wp:inline>
        </w:drawing>
      </w:r>
    </w:p>
    <w:p w14:paraId="13C7B792" w14:textId="77777777" w:rsidR="00671147" w:rsidRPr="0072008E" w:rsidRDefault="00671147" w:rsidP="00671147">
      <w:pPr>
        <w:jc w:val="both"/>
      </w:pPr>
    </w:p>
    <w:p w14:paraId="01AB7D7E" w14:textId="77777777" w:rsidR="00671147" w:rsidRPr="0072008E" w:rsidRDefault="00671147" w:rsidP="00671147">
      <w:pPr>
        <w:keepNext/>
        <w:autoSpaceDE w:val="0"/>
        <w:autoSpaceDN w:val="0"/>
        <w:adjustRightInd w:val="0"/>
        <w:jc w:val="center"/>
        <w:outlineLvl w:val="4"/>
        <w:rPr>
          <w:b/>
          <w:bCs/>
          <w:u w:val="single"/>
          <w:lang w:eastAsia="zh-CN"/>
        </w:rPr>
      </w:pPr>
      <w:r w:rsidRPr="0072008E">
        <w:rPr>
          <w:b/>
          <w:bCs/>
          <w:u w:val="single"/>
          <w:lang w:eastAsia="zh-CN"/>
        </w:rPr>
        <w:t>THE COUNCIL OF THE CITY OF NEW YORK</w:t>
      </w:r>
    </w:p>
    <w:p w14:paraId="1FAE0712" w14:textId="77777777" w:rsidR="00671147" w:rsidRDefault="00671147" w:rsidP="00E1026D">
      <w:pPr>
        <w:ind w:firstLine="720"/>
        <w:jc w:val="right"/>
      </w:pPr>
    </w:p>
    <w:p w14:paraId="052BEC55" w14:textId="0BB5E6DD" w:rsidR="00E1026D" w:rsidRPr="004A2612" w:rsidRDefault="00C55D45" w:rsidP="00E1026D">
      <w:pPr>
        <w:ind w:firstLine="720"/>
        <w:jc w:val="right"/>
      </w:pPr>
      <w:r>
        <w:t>June 16</w:t>
      </w:r>
      <w:r w:rsidR="00497481" w:rsidRPr="004A2612">
        <w:t>, 2022</w:t>
      </w:r>
    </w:p>
    <w:p w14:paraId="164FF6C4" w14:textId="77777777" w:rsidR="00C22113" w:rsidRPr="004A2612" w:rsidRDefault="00C22113" w:rsidP="00E1026D">
      <w:pPr>
        <w:ind w:firstLine="720"/>
        <w:jc w:val="right"/>
      </w:pPr>
    </w:p>
    <w:p w14:paraId="3D642C1C" w14:textId="00F66B0E" w:rsidR="00D65276" w:rsidRPr="004A2612" w:rsidRDefault="00D65276" w:rsidP="00561D25">
      <w:r w:rsidRPr="004A2612">
        <w:t>TO:</w:t>
      </w:r>
      <w:r w:rsidRPr="004A2612">
        <w:tab/>
      </w:r>
      <w:r w:rsidRPr="004A2612">
        <w:tab/>
        <w:t xml:space="preserve">Hon. </w:t>
      </w:r>
      <w:r w:rsidR="004A2612" w:rsidRPr="004A2612">
        <w:t>Justin Brannan</w:t>
      </w:r>
    </w:p>
    <w:p w14:paraId="46FD0670" w14:textId="77777777" w:rsidR="00D65276" w:rsidRPr="004A2612" w:rsidRDefault="00D65276" w:rsidP="00561D25">
      <w:r w:rsidRPr="004A2612">
        <w:tab/>
      </w:r>
      <w:r w:rsidRPr="004A2612">
        <w:tab/>
        <w:t>Chair, Finance Committee</w:t>
      </w:r>
    </w:p>
    <w:p w14:paraId="73ECCF7A" w14:textId="77777777" w:rsidR="00D65276" w:rsidRPr="004C31D1" w:rsidRDefault="00D65276" w:rsidP="00561D25">
      <w:pPr>
        <w:ind w:left="720" w:firstLine="720"/>
      </w:pPr>
      <w:r w:rsidRPr="004A2612">
        <w:t>Members of the Finance Committee</w:t>
      </w:r>
    </w:p>
    <w:p w14:paraId="5EE05E86" w14:textId="77777777" w:rsidR="00D65276" w:rsidRPr="004C31D1" w:rsidRDefault="00D65276" w:rsidP="00561D25"/>
    <w:p w14:paraId="7016E0A9" w14:textId="78BA6C7F" w:rsidR="00C956D9" w:rsidRPr="004C31D1" w:rsidRDefault="00D65276" w:rsidP="00561D25">
      <w:r w:rsidRPr="004C31D1">
        <w:t>FROM:</w:t>
      </w:r>
      <w:r w:rsidRPr="004C31D1">
        <w:tab/>
      </w:r>
      <w:r w:rsidR="00C956D9">
        <w:t xml:space="preserve">Malcom Butehorn, </w:t>
      </w:r>
      <w:r w:rsidR="00671147">
        <w:t xml:space="preserve">Interim </w:t>
      </w:r>
      <w:r w:rsidR="00C956D9">
        <w:t xml:space="preserve">Counsel, </w:t>
      </w:r>
      <w:proofErr w:type="gramStart"/>
      <w:r w:rsidR="00671147">
        <w:t>Finance</w:t>
      </w:r>
      <w:proofErr w:type="gramEnd"/>
      <w:r w:rsidR="00C956D9">
        <w:t xml:space="preserve"> Division </w:t>
      </w:r>
    </w:p>
    <w:p w14:paraId="25E67D4C" w14:textId="77777777" w:rsidR="00D65276" w:rsidRPr="004C31D1" w:rsidRDefault="00D65276" w:rsidP="00561D25">
      <w:r w:rsidRPr="004C31D1">
        <w:tab/>
      </w:r>
      <w:r w:rsidRPr="004C31D1">
        <w:tab/>
      </w:r>
    </w:p>
    <w:p w14:paraId="638F400C" w14:textId="7548DE69" w:rsidR="00FE280A" w:rsidRPr="004C31D1" w:rsidRDefault="00D65276" w:rsidP="00FE280A">
      <w:pPr>
        <w:ind w:left="1440" w:hanging="1440"/>
      </w:pPr>
      <w:r w:rsidRPr="004C31D1">
        <w:t>RE:</w:t>
      </w:r>
      <w:r w:rsidRPr="004C31D1">
        <w:tab/>
        <w:t xml:space="preserve">Finance Committee Agenda of </w:t>
      </w:r>
      <w:r w:rsidR="00D96121">
        <w:t>June 16</w:t>
      </w:r>
      <w:r w:rsidR="00B960B4">
        <w:t>, 2022</w:t>
      </w:r>
      <w:r w:rsidR="004A2612">
        <w:t xml:space="preserve"> </w:t>
      </w:r>
      <w:r w:rsidR="004D7CE5" w:rsidRPr="004C31D1">
        <w:t>– Resolution</w:t>
      </w:r>
      <w:r w:rsidRPr="004C31D1">
        <w:t xml:space="preserve"> approving a tax exemption for </w:t>
      </w:r>
      <w:r w:rsidR="001F6F31">
        <w:t>one</w:t>
      </w:r>
      <w:r w:rsidR="00FE280A" w:rsidRPr="004C31D1">
        <w:t xml:space="preserve"> </w:t>
      </w:r>
      <w:r w:rsidRPr="004C31D1">
        <w:t>L</w:t>
      </w:r>
      <w:r w:rsidR="001D7AC0" w:rsidRPr="004C31D1">
        <w:t>and Use item</w:t>
      </w:r>
      <w:r w:rsidR="00715D53" w:rsidRPr="004C31D1">
        <w:t xml:space="preserve"> (Council Distric</w:t>
      </w:r>
      <w:r w:rsidR="00390098">
        <w:t>t 17</w:t>
      </w:r>
      <w:r w:rsidR="001D12E4" w:rsidRPr="004C31D1">
        <w:t>)</w:t>
      </w:r>
    </w:p>
    <w:p w14:paraId="5DF4770A" w14:textId="77777777" w:rsidR="00637EE0" w:rsidRDefault="00637EE0" w:rsidP="00CB74C9">
      <w:pPr>
        <w:rPr>
          <w:b/>
          <w:u w:val="single"/>
        </w:rPr>
      </w:pPr>
    </w:p>
    <w:p w14:paraId="4F904056" w14:textId="7810B894" w:rsidR="001D12E4" w:rsidRPr="004C31D1" w:rsidRDefault="00390098" w:rsidP="00CB74C9">
      <w:pPr>
        <w:rPr>
          <w:b/>
          <w:u w:val="single"/>
        </w:rPr>
      </w:pPr>
      <w:r>
        <w:rPr>
          <w:b/>
          <w:u w:val="single"/>
        </w:rPr>
        <w:t>SEBCO IV</w:t>
      </w:r>
    </w:p>
    <w:p w14:paraId="7E41918E" w14:textId="06CDC688" w:rsidR="001D12E4" w:rsidRDefault="001D12E4" w:rsidP="00CB74C9">
      <w:pPr>
        <w:rPr>
          <w:b/>
          <w:u w:val="single"/>
        </w:rPr>
      </w:pPr>
    </w:p>
    <w:p w14:paraId="2E58C89C" w14:textId="58C7813D" w:rsidR="000D53BC" w:rsidRDefault="00A202E0" w:rsidP="00732FB4">
      <w:pPr>
        <w:jc w:val="both"/>
        <w:rPr>
          <w:i/>
          <w:spacing w:val="-4"/>
        </w:rPr>
      </w:pPr>
      <w:r w:rsidRPr="008462AF">
        <w:rPr>
          <w:i/>
          <w:spacing w:val="-4"/>
        </w:rPr>
        <w:t xml:space="preserve"> </w:t>
      </w:r>
      <w:r w:rsidR="008462AF" w:rsidRPr="008462AF">
        <w:rPr>
          <w:i/>
          <w:spacing w:val="-4"/>
        </w:rPr>
        <w:t>Project Description Narrative</w:t>
      </w:r>
    </w:p>
    <w:p w14:paraId="78B5E902" w14:textId="2E93F877" w:rsidR="008462AF" w:rsidRDefault="008462AF" w:rsidP="00732FB4">
      <w:pPr>
        <w:jc w:val="both"/>
        <w:rPr>
          <w:i/>
          <w:spacing w:val="-4"/>
        </w:rPr>
      </w:pPr>
    </w:p>
    <w:p w14:paraId="7E304277" w14:textId="4876D08F" w:rsidR="00390098" w:rsidRDefault="00390098" w:rsidP="00390098">
      <w:pPr>
        <w:jc w:val="both"/>
      </w:pPr>
      <w:r>
        <w:t xml:space="preserve">SEBCO IV is </w:t>
      </w:r>
      <w:r w:rsidR="007973B8">
        <w:t xml:space="preserve">a </w:t>
      </w:r>
      <w:r>
        <w:t xml:space="preserve">tax exemption-only project of a HUD-assisted rental housing portfolio in the Bronx. The project will refinance its existing debt and acquire a new first mortgage loan through a Fannie Mae execution. As part of the refinancing, the project is requesting HPD provide a new 40-year </w:t>
      </w:r>
      <w:r w:rsidR="007B0E5A">
        <w:t xml:space="preserve">partial </w:t>
      </w:r>
      <w:r>
        <w:t xml:space="preserve">Article XI </w:t>
      </w:r>
      <w:r w:rsidR="007973B8">
        <w:t xml:space="preserve">tax </w:t>
      </w:r>
      <w:r>
        <w:t xml:space="preserve">exemption.  Specifically, the project is requesting an annual 1% Gross Rent Tax (GRT) until December 31, 2033, and starting from January 1, 2034, and until the expiration date, a 1% GRT base with 25% of future increases of contract rents, subject to a 17% contract rents cap. The owner will use the refinance proceeds to rehabilitate the portfolio, addressing critical needs including joist repairs, upgrade and replacement of deteriorated mechanical systems/equipment, and structural repairs as required within each building. None of the buildings in the portfolio have undergone significant capital repairs since their HUD-funded rehabilitations in 1982. </w:t>
      </w:r>
    </w:p>
    <w:p w14:paraId="1C72CFBC" w14:textId="77777777" w:rsidR="00390098" w:rsidRDefault="00390098" w:rsidP="00390098">
      <w:pPr>
        <w:jc w:val="both"/>
      </w:pPr>
    </w:p>
    <w:p w14:paraId="7B98268D" w14:textId="112BDCE3" w:rsidR="00390098" w:rsidRDefault="00390098" w:rsidP="00390098">
      <w:pPr>
        <w:jc w:val="both"/>
      </w:pPr>
      <w:r>
        <w:t>Owned by The South East Bronx Community</w:t>
      </w:r>
      <w:r w:rsidR="00755BFF">
        <w:t xml:space="preserve"> Organization</w:t>
      </w:r>
      <w:r>
        <w:t xml:space="preserve"> (SEBCO) through </w:t>
      </w:r>
      <w:r w:rsidR="00755BFF">
        <w:t xml:space="preserve">a </w:t>
      </w:r>
      <w:r>
        <w:t>single purpose entity</w:t>
      </w:r>
      <w:r w:rsidR="00755BFF">
        <w:t>,</w:t>
      </w:r>
      <w:r>
        <w:t xml:space="preserve"> SEBCO IV Associates L.P., the project has an existing 20-year renewal Mark-to-Market HAP Contract, which was effective September 1, 2004</w:t>
      </w:r>
      <w:r w:rsidR="00755BFF">
        <w:t>,</w:t>
      </w:r>
      <w:r>
        <w:t xml:space="preserve"> and continues through August 31, 2024. All units except the superintendent’s unit are currently covered under a project-based Section 8 HAP Contract. Prior to this closing, the SEBCO IV project will renew the existing Section 8 HAP Contracts (Option 3 HAP Contract) with HUD. </w:t>
      </w:r>
    </w:p>
    <w:p w14:paraId="170BE576" w14:textId="77777777" w:rsidR="00390098" w:rsidRDefault="00390098" w:rsidP="00390098">
      <w:pPr>
        <w:jc w:val="both"/>
      </w:pPr>
    </w:p>
    <w:p w14:paraId="7DAFB575" w14:textId="1F38A91D" w:rsidR="008462AF" w:rsidRDefault="00395DED" w:rsidP="00390098">
      <w:pPr>
        <w:jc w:val="both"/>
      </w:pPr>
      <w:r>
        <w:t>The p</w:t>
      </w:r>
      <w:r w:rsidR="00390098">
        <w:t>rogram will place a</w:t>
      </w:r>
      <w:r w:rsidR="00A0174A">
        <w:t>n</w:t>
      </w:r>
      <w:r w:rsidR="00390098">
        <w:t xml:space="preserve"> HPD Regulatory Agreement on the project that will cover all properties. The agreement will run for 40 years, coterminous with the project’s expected partial Article XI tax exemption. The project will also be subject to HPD’s homeless requirement, which stipulates that during the restriction period, upon vacancy and unit turnover every other unit will be subject to a homeless preference in rental to new tenants as governed by a HUD approved Tenant Selection </w:t>
      </w:r>
      <w:r w:rsidR="00390098">
        <w:lastRenderedPageBreak/>
        <w:t>Plan, until 20% of the total units in the project are occupied by households that were formerly designated as homeless at the time of their initial occupancy.</w:t>
      </w:r>
    </w:p>
    <w:p w14:paraId="0B474B00" w14:textId="11406A1B" w:rsidR="008462AF" w:rsidRDefault="008462AF" w:rsidP="008462AF">
      <w:pPr>
        <w:jc w:val="both"/>
      </w:pPr>
    </w:p>
    <w:p w14:paraId="0032FEAF" w14:textId="77777777" w:rsidR="00671147" w:rsidRDefault="00671147" w:rsidP="008462AF">
      <w:pPr>
        <w:jc w:val="both"/>
        <w:rPr>
          <w:i/>
        </w:rPr>
      </w:pPr>
    </w:p>
    <w:p w14:paraId="6F334DDF" w14:textId="364CA5C8" w:rsidR="008462AF" w:rsidRDefault="008462AF" w:rsidP="008462AF">
      <w:pPr>
        <w:jc w:val="both"/>
        <w:rPr>
          <w:i/>
        </w:rPr>
      </w:pPr>
      <w:r w:rsidRPr="008462AF">
        <w:rPr>
          <w:i/>
        </w:rPr>
        <w:t>History of the property, prior exemptions, and prior Council action</w:t>
      </w:r>
    </w:p>
    <w:p w14:paraId="3BEB08D3" w14:textId="2A693B6A" w:rsidR="008462AF" w:rsidRDefault="008462AF" w:rsidP="008462AF">
      <w:pPr>
        <w:jc w:val="both"/>
        <w:rPr>
          <w:i/>
        </w:rPr>
      </w:pPr>
    </w:p>
    <w:p w14:paraId="56AD4EF3" w14:textId="44FCBCCF" w:rsidR="00390098" w:rsidRDefault="00390098" w:rsidP="00390098">
      <w:pPr>
        <w:jc w:val="both"/>
      </w:pPr>
      <w:r>
        <w:t>The SEBCO IV project consists of two buildings, a conjoined 6-story apartment building and another 5-story apartment building with a total of 71 dwelling units. The combined portfolio is 68,715 SF in size and all buildings are located in the Longwood neighborhood of the Bronx. 862-864 Southern Boulevard, is situated at the corner of Southern Boulevard and Tiffany Street. The development contains six (6) one-bedroom, fifty</w:t>
      </w:r>
      <w:r w:rsidR="000F242B">
        <w:t>-</w:t>
      </w:r>
      <w:r>
        <w:t>one (51) two-bedroom, and thirteen (13) three-bedroom units. There is also one (1) two-bedroom as the super’s unit. The project currently has 2 vacant units.</w:t>
      </w:r>
    </w:p>
    <w:p w14:paraId="51BAA967" w14:textId="77777777" w:rsidR="00390098" w:rsidRDefault="00390098" w:rsidP="00390098">
      <w:pPr>
        <w:jc w:val="both"/>
      </w:pPr>
    </w:p>
    <w:p w14:paraId="379E1620" w14:textId="1F8FF687" w:rsidR="00390098" w:rsidRDefault="00390098" w:rsidP="00390098">
      <w:pPr>
        <w:jc w:val="both"/>
      </w:pPr>
      <w:r>
        <w:t>The buildings were built between 1915 and 1922. The City of New York deeded the properties to SEBCO IV Associates L.P. on May 10, 1982</w:t>
      </w:r>
      <w:r w:rsidR="00DB2EDF">
        <w:t>,</w:t>
      </w:r>
      <w:r>
        <w:t xml:space="preserve"> for $35,500 ($500/DU). At the time, the L.P. took out a $4,077,600 mortgage for a gut renovation of the properties with the New York City Housing Development Corporation (HDC). The buildings were rehabilitated through HUD’s Mark-Down-to-Market program and were converted to Section 8 buildings upon completion. At the time of financing, the L.P. entered into a HUD Regulatory Agreement and a Land Disposition Agreement with the City of New York. The buildings were subsequently renovated between 1982 and 1984. After construction, the project also entered into a Regulatory Agreement with HDC and received a 40-year partial Article V tax exemption (Board of Estimate Cal No. 10 dated April 16, 1982). </w:t>
      </w:r>
    </w:p>
    <w:p w14:paraId="46C3978D" w14:textId="77777777" w:rsidR="00390098" w:rsidRDefault="00390098" w:rsidP="00390098">
      <w:pPr>
        <w:jc w:val="both"/>
      </w:pPr>
    </w:p>
    <w:p w14:paraId="22191FE3" w14:textId="6D6A6F6E" w:rsidR="008462AF" w:rsidRPr="008462AF" w:rsidRDefault="00390098" w:rsidP="00390098">
      <w:pPr>
        <w:jc w:val="both"/>
      </w:pPr>
      <w:r>
        <w:t>Twenty years later, the project underwent a Mark-to-Market (M2M) mortgage restructuring in September 2004. At the time of the M2M restructuring, the HDC mortgage was satisfied and the project was released from its original HUD and HDC Regulatory Agreements before entering into a new HUD Regulatory Agreement and a HUD Use Agreement. As part of the new Agreements, the project also entered into 20-year renewable HAP Contracts effective September 1, 2004. The HAP contracts continue until August 31, 2024.</w:t>
      </w:r>
    </w:p>
    <w:p w14:paraId="43862A80" w14:textId="77777777" w:rsidR="004A2612" w:rsidRPr="004A2612" w:rsidRDefault="004A2612" w:rsidP="00732FB4">
      <w:pPr>
        <w:jc w:val="both"/>
        <w:rPr>
          <w:spacing w:val="-4"/>
        </w:rPr>
      </w:pPr>
    </w:p>
    <w:p w14:paraId="5250E9C9" w14:textId="7A0AED0B" w:rsidR="000D53BC" w:rsidRPr="008462AF" w:rsidRDefault="000D53BC" w:rsidP="000D53BC">
      <w:pPr>
        <w:rPr>
          <w:i/>
        </w:rPr>
      </w:pPr>
      <w:r w:rsidRPr="008462AF">
        <w:rPr>
          <w:i/>
        </w:rPr>
        <w:t>Summary</w:t>
      </w:r>
    </w:p>
    <w:p w14:paraId="0525AFC5" w14:textId="144891EA" w:rsidR="000D53BC" w:rsidRPr="00390098" w:rsidRDefault="000D53BC" w:rsidP="000D53BC">
      <w:pPr>
        <w:pStyle w:val="MediumGrid1-Accent21"/>
        <w:numPr>
          <w:ilvl w:val="0"/>
          <w:numId w:val="8"/>
        </w:numPr>
      </w:pPr>
      <w:r w:rsidRPr="00390098">
        <w:t xml:space="preserve">Borough – </w:t>
      </w:r>
      <w:r w:rsidR="00C27188" w:rsidRPr="00390098">
        <w:t>Bronx</w:t>
      </w:r>
      <w:r w:rsidRPr="00390098">
        <w:t xml:space="preserve"> </w:t>
      </w:r>
    </w:p>
    <w:p w14:paraId="2B781512" w14:textId="04E98A3F" w:rsidR="00A202E0" w:rsidRPr="00390098" w:rsidRDefault="00A202E0" w:rsidP="00A202E0">
      <w:pPr>
        <w:pStyle w:val="MediumGrid1-Accent21"/>
        <w:numPr>
          <w:ilvl w:val="0"/>
          <w:numId w:val="8"/>
        </w:numPr>
      </w:pPr>
      <w:r w:rsidRPr="00390098">
        <w:t xml:space="preserve">Block </w:t>
      </w:r>
      <w:r w:rsidR="00390098" w:rsidRPr="00390098">
        <w:rPr>
          <w:bCs/>
        </w:rPr>
        <w:t>2697, Lots 18 and 19; and Block 2732</w:t>
      </w:r>
      <w:r w:rsidR="00C27188" w:rsidRPr="00390098">
        <w:t>, Lot</w:t>
      </w:r>
      <w:r w:rsidRPr="00390098">
        <w:t xml:space="preserve"> </w:t>
      </w:r>
      <w:r w:rsidR="00390098" w:rsidRPr="00390098">
        <w:t>31</w:t>
      </w:r>
    </w:p>
    <w:p w14:paraId="2CC9C67A" w14:textId="71F30960" w:rsidR="000D53BC" w:rsidRPr="00390098" w:rsidRDefault="000D53BC" w:rsidP="00A202E0">
      <w:pPr>
        <w:pStyle w:val="MediumGrid1-Accent21"/>
        <w:numPr>
          <w:ilvl w:val="0"/>
          <w:numId w:val="8"/>
        </w:numPr>
      </w:pPr>
      <w:r w:rsidRPr="00390098">
        <w:t xml:space="preserve">Council District – </w:t>
      </w:r>
      <w:r w:rsidR="00390098" w:rsidRPr="00390098">
        <w:t>17</w:t>
      </w:r>
    </w:p>
    <w:p w14:paraId="53D0115B" w14:textId="73C1912D" w:rsidR="000D53BC" w:rsidRPr="00390098" w:rsidRDefault="000D53BC" w:rsidP="000D53BC">
      <w:pPr>
        <w:pStyle w:val="MediumGrid1-Accent21"/>
        <w:numPr>
          <w:ilvl w:val="0"/>
          <w:numId w:val="8"/>
        </w:numPr>
      </w:pPr>
      <w:r w:rsidRPr="00390098">
        <w:t xml:space="preserve">Council Member – </w:t>
      </w:r>
      <w:r w:rsidR="00390098" w:rsidRPr="00390098">
        <w:t>Salamanca</w:t>
      </w:r>
    </w:p>
    <w:p w14:paraId="7036C47F" w14:textId="77777777" w:rsidR="000D53BC" w:rsidRPr="00390098" w:rsidRDefault="000D53BC" w:rsidP="000D53BC">
      <w:pPr>
        <w:pStyle w:val="MediumGrid1-Accent21"/>
        <w:numPr>
          <w:ilvl w:val="0"/>
          <w:numId w:val="8"/>
        </w:numPr>
      </w:pPr>
      <w:r w:rsidRPr="00390098">
        <w:t>Council Member approval – Yes</w:t>
      </w:r>
    </w:p>
    <w:p w14:paraId="001D2052" w14:textId="0DD596F0" w:rsidR="000D53BC" w:rsidRPr="00390098" w:rsidRDefault="00390098" w:rsidP="000D53BC">
      <w:pPr>
        <w:pStyle w:val="MediumGrid1-Accent21"/>
        <w:numPr>
          <w:ilvl w:val="0"/>
          <w:numId w:val="8"/>
        </w:numPr>
      </w:pPr>
      <w:r w:rsidRPr="00390098">
        <w:t>Number of buildings – 2</w:t>
      </w:r>
    </w:p>
    <w:p w14:paraId="786D97B8" w14:textId="4DD0E365" w:rsidR="000D53BC" w:rsidRPr="00390098" w:rsidRDefault="000D53BC" w:rsidP="000D53BC">
      <w:pPr>
        <w:pStyle w:val="MediumGrid1-Accent21"/>
        <w:numPr>
          <w:ilvl w:val="0"/>
          <w:numId w:val="8"/>
        </w:numPr>
      </w:pPr>
      <w:r w:rsidRPr="00390098">
        <w:t xml:space="preserve">Number of units – </w:t>
      </w:r>
      <w:r w:rsidR="00390098" w:rsidRPr="00390098">
        <w:t>70 (excludes one super’s unit)</w:t>
      </w:r>
    </w:p>
    <w:p w14:paraId="1F6254F3" w14:textId="2C56F7E0" w:rsidR="000D53BC" w:rsidRPr="00390098" w:rsidRDefault="000D53BC" w:rsidP="000D53BC">
      <w:pPr>
        <w:pStyle w:val="MediumGrid1-Accent21"/>
        <w:numPr>
          <w:ilvl w:val="0"/>
          <w:numId w:val="8"/>
        </w:numPr>
      </w:pPr>
      <w:r w:rsidRPr="00390098">
        <w:t xml:space="preserve">Type of exemption – Article XI, </w:t>
      </w:r>
      <w:r w:rsidR="00C27188" w:rsidRPr="00390098">
        <w:t>partial</w:t>
      </w:r>
      <w:r w:rsidR="00A202E0" w:rsidRPr="00390098">
        <w:t xml:space="preserve"> </w:t>
      </w:r>
      <w:r w:rsidR="00390098" w:rsidRPr="00390098">
        <w:t>4</w:t>
      </w:r>
      <w:r w:rsidR="00C27188" w:rsidRPr="00390098">
        <w:t>0</w:t>
      </w:r>
      <w:r w:rsidRPr="00390098">
        <w:t>-years</w:t>
      </w:r>
    </w:p>
    <w:p w14:paraId="1A61ADBF" w14:textId="77777777" w:rsidR="000D53BC" w:rsidRPr="00390098" w:rsidRDefault="000D53BC" w:rsidP="000D53BC">
      <w:pPr>
        <w:pStyle w:val="MediumGrid1-Accent21"/>
        <w:numPr>
          <w:ilvl w:val="0"/>
          <w:numId w:val="8"/>
        </w:numPr>
      </w:pPr>
      <w:r w:rsidRPr="00390098">
        <w:t>Population – affordable rental housing</w:t>
      </w:r>
    </w:p>
    <w:p w14:paraId="30532618" w14:textId="432B229F" w:rsidR="000D53BC" w:rsidRPr="00390098" w:rsidRDefault="000D53BC" w:rsidP="00C27188">
      <w:pPr>
        <w:pStyle w:val="MediumGrid1-Accent21"/>
        <w:numPr>
          <w:ilvl w:val="0"/>
          <w:numId w:val="8"/>
        </w:numPr>
      </w:pPr>
      <w:r w:rsidRPr="00390098">
        <w:t xml:space="preserve">Sponsor – </w:t>
      </w:r>
      <w:r w:rsidR="00390098" w:rsidRPr="00390098">
        <w:t>South East Bronx Community Organization</w:t>
      </w:r>
    </w:p>
    <w:p w14:paraId="00E938EB" w14:textId="00332F82" w:rsidR="000D53BC" w:rsidRPr="00390098" w:rsidRDefault="000D53BC" w:rsidP="000D53BC">
      <w:pPr>
        <w:pStyle w:val="MediumGrid1-Accent21"/>
        <w:numPr>
          <w:ilvl w:val="0"/>
          <w:numId w:val="8"/>
        </w:numPr>
      </w:pPr>
      <w:r w:rsidRPr="00390098">
        <w:t xml:space="preserve">Purpose – </w:t>
      </w:r>
      <w:r w:rsidR="00390098" w:rsidRPr="00390098">
        <w:t>preservation</w:t>
      </w:r>
    </w:p>
    <w:p w14:paraId="27F356B9" w14:textId="5D1F6068" w:rsidR="00F3362A" w:rsidRPr="00390098" w:rsidRDefault="000D53BC" w:rsidP="00C956D9">
      <w:pPr>
        <w:pStyle w:val="MediumGrid1-Accent21"/>
        <w:numPr>
          <w:ilvl w:val="0"/>
          <w:numId w:val="8"/>
        </w:numPr>
      </w:pPr>
      <w:r w:rsidRPr="00390098">
        <w:t xml:space="preserve">Cost to the City – </w:t>
      </w:r>
      <w:r w:rsidR="00ED59F4" w:rsidRPr="00390098">
        <w:rPr>
          <w:color w:val="000000"/>
        </w:rPr>
        <w:t>$</w:t>
      </w:r>
      <w:r w:rsidR="00390098" w:rsidRPr="00390098">
        <w:rPr>
          <w:color w:val="000000"/>
        </w:rPr>
        <w:t>4,373,783</w:t>
      </w:r>
    </w:p>
    <w:p w14:paraId="0A04A88C" w14:textId="3368D271" w:rsidR="00F96B52" w:rsidRPr="00390098" w:rsidRDefault="000D53BC" w:rsidP="00C27188">
      <w:pPr>
        <w:pStyle w:val="MediumGrid1-Accent21"/>
        <w:numPr>
          <w:ilvl w:val="0"/>
          <w:numId w:val="8"/>
        </w:numPr>
      </w:pPr>
      <w:r w:rsidRPr="00390098">
        <w:t xml:space="preserve">AMI target </w:t>
      </w:r>
      <w:r w:rsidR="00F3362A" w:rsidRPr="00390098">
        <w:t>–</w:t>
      </w:r>
      <w:r w:rsidRPr="00390098">
        <w:t xml:space="preserve"> </w:t>
      </w:r>
      <w:r w:rsidR="00390098" w:rsidRPr="00390098">
        <w:t>50% AMI rent; 60% AMI income limit</w:t>
      </w:r>
    </w:p>
    <w:sectPr w:rsidR="00F96B52" w:rsidRPr="00390098" w:rsidSect="00671147">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4191" w14:textId="77777777" w:rsidR="00152C22" w:rsidRDefault="00152C22" w:rsidP="00D65276">
      <w:r>
        <w:separator/>
      </w:r>
    </w:p>
  </w:endnote>
  <w:endnote w:type="continuationSeparator" w:id="0">
    <w:p w14:paraId="2E9286E3" w14:textId="77777777" w:rsidR="00152C22" w:rsidRDefault="00152C22" w:rsidP="00D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223466"/>
      <w:docPartObj>
        <w:docPartGallery w:val="Page Numbers (Bottom of Page)"/>
        <w:docPartUnique/>
      </w:docPartObj>
    </w:sdtPr>
    <w:sdtEndPr/>
    <w:sdtContent>
      <w:sdt>
        <w:sdtPr>
          <w:id w:val="1728636285"/>
          <w:docPartObj>
            <w:docPartGallery w:val="Page Numbers (Top of Page)"/>
            <w:docPartUnique/>
          </w:docPartObj>
        </w:sdtPr>
        <w:sdtEndPr/>
        <w:sdtContent>
          <w:p w14:paraId="46B66499" w14:textId="0CA2EA4E" w:rsidR="00671147" w:rsidRDefault="00671147">
            <w:pPr>
              <w:pStyle w:val="Footer"/>
              <w:jc w:val="center"/>
            </w:pPr>
            <w:r>
              <w:t xml:space="preserve">Page </w:t>
            </w:r>
            <w:r>
              <w:rPr>
                <w:b/>
                <w:bCs/>
              </w:rPr>
              <w:fldChar w:fldCharType="begin"/>
            </w:r>
            <w:r>
              <w:rPr>
                <w:b/>
                <w:bCs/>
              </w:rPr>
              <w:instrText xml:space="preserve"> PAGE </w:instrText>
            </w:r>
            <w:r>
              <w:rPr>
                <w:b/>
                <w:bCs/>
              </w:rPr>
              <w:fldChar w:fldCharType="separate"/>
            </w:r>
            <w:r w:rsidR="00352EE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52EE6">
              <w:rPr>
                <w:b/>
                <w:bCs/>
                <w:noProof/>
              </w:rPr>
              <w:t>2</w:t>
            </w:r>
            <w:r>
              <w:rPr>
                <w:b/>
                <w:bCs/>
              </w:rPr>
              <w:fldChar w:fldCharType="end"/>
            </w:r>
          </w:p>
        </w:sdtContent>
      </w:sdt>
    </w:sdtContent>
  </w:sdt>
  <w:p w14:paraId="3B62992B" w14:textId="77777777" w:rsidR="002A7159" w:rsidRDefault="002A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83AE" w14:textId="77777777" w:rsidR="00152C22" w:rsidRDefault="00152C22" w:rsidP="00D65276">
      <w:r>
        <w:separator/>
      </w:r>
    </w:p>
  </w:footnote>
  <w:footnote w:type="continuationSeparator" w:id="0">
    <w:p w14:paraId="0F099C68" w14:textId="77777777" w:rsidR="00152C22" w:rsidRDefault="00152C22" w:rsidP="00D6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43"/>
    <w:multiLevelType w:val="hybridMultilevel"/>
    <w:tmpl w:val="0E844278"/>
    <w:lvl w:ilvl="0" w:tplc="7F68429E">
      <w:start w:val="1"/>
      <w:numFmt w:val="decimal"/>
      <w:lvlText w:val="%1."/>
      <w:lvlJc w:val="left"/>
      <w:pPr>
        <w:ind w:left="571" w:hanging="361"/>
        <w:jc w:val="right"/>
      </w:pPr>
      <w:rPr>
        <w:rFonts w:ascii="Arial" w:hAnsi="Arial" w:cs="Arial" w:hint="default"/>
        <w:color w:val="000000" w:themeColor="text1"/>
        <w:spacing w:val="-1"/>
        <w:w w:val="100"/>
      </w:rPr>
    </w:lvl>
    <w:lvl w:ilvl="1" w:tplc="04090001">
      <w:start w:val="1"/>
      <w:numFmt w:val="bullet"/>
      <w:lvlText w:val=""/>
      <w:lvlJc w:val="left"/>
      <w:pPr>
        <w:ind w:left="1200" w:hanging="360"/>
      </w:pPr>
      <w:rPr>
        <w:rFonts w:ascii="Symbol" w:hAnsi="Symbo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1"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F2FB9"/>
    <w:multiLevelType w:val="hybridMultilevel"/>
    <w:tmpl w:val="33C8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4103"/>
    <w:multiLevelType w:val="hybridMultilevel"/>
    <w:tmpl w:val="BE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5F12"/>
    <w:multiLevelType w:val="hybridMultilevel"/>
    <w:tmpl w:val="02F492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5" w15:restartNumberingAfterBreak="0">
    <w:nsid w:val="5C8061F4"/>
    <w:multiLevelType w:val="hybridMultilevel"/>
    <w:tmpl w:val="433E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17FF"/>
    <w:multiLevelType w:val="multilevel"/>
    <w:tmpl w:val="ADCA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38B"/>
    <w:multiLevelType w:val="hybridMultilevel"/>
    <w:tmpl w:val="8B92E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D3A7A"/>
    <w:multiLevelType w:val="hybridMultilevel"/>
    <w:tmpl w:val="F77CEA62"/>
    <w:lvl w:ilvl="0" w:tplc="2BEEB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B5"/>
    <w:rsid w:val="00000573"/>
    <w:rsid w:val="00000FC6"/>
    <w:rsid w:val="00001062"/>
    <w:rsid w:val="000143FC"/>
    <w:rsid w:val="000268E4"/>
    <w:rsid w:val="00030CAB"/>
    <w:rsid w:val="00032E88"/>
    <w:rsid w:val="00054E34"/>
    <w:rsid w:val="000578FE"/>
    <w:rsid w:val="00061DEC"/>
    <w:rsid w:val="0006470D"/>
    <w:rsid w:val="00070D53"/>
    <w:rsid w:val="000710F0"/>
    <w:rsid w:val="0007468E"/>
    <w:rsid w:val="00074EB9"/>
    <w:rsid w:val="00080D83"/>
    <w:rsid w:val="00085863"/>
    <w:rsid w:val="00094D8D"/>
    <w:rsid w:val="000B5972"/>
    <w:rsid w:val="000B75E9"/>
    <w:rsid w:val="000C35A2"/>
    <w:rsid w:val="000C37F3"/>
    <w:rsid w:val="000D53BC"/>
    <w:rsid w:val="000E2083"/>
    <w:rsid w:val="000E3A81"/>
    <w:rsid w:val="000E5CF7"/>
    <w:rsid w:val="000E6326"/>
    <w:rsid w:val="000F242B"/>
    <w:rsid w:val="00102485"/>
    <w:rsid w:val="00110ED5"/>
    <w:rsid w:val="00113223"/>
    <w:rsid w:val="0011726A"/>
    <w:rsid w:val="00121EA2"/>
    <w:rsid w:val="001258E3"/>
    <w:rsid w:val="0013038D"/>
    <w:rsid w:val="0013117A"/>
    <w:rsid w:val="001347D3"/>
    <w:rsid w:val="00137849"/>
    <w:rsid w:val="00141C18"/>
    <w:rsid w:val="001445A8"/>
    <w:rsid w:val="00146777"/>
    <w:rsid w:val="00152C22"/>
    <w:rsid w:val="001571F0"/>
    <w:rsid w:val="001602E4"/>
    <w:rsid w:val="001618E7"/>
    <w:rsid w:val="00162E76"/>
    <w:rsid w:val="0016533E"/>
    <w:rsid w:val="00171E42"/>
    <w:rsid w:val="0017289E"/>
    <w:rsid w:val="00173996"/>
    <w:rsid w:val="00175643"/>
    <w:rsid w:val="00176F74"/>
    <w:rsid w:val="00181339"/>
    <w:rsid w:val="00181ED4"/>
    <w:rsid w:val="00194F2A"/>
    <w:rsid w:val="001A20B2"/>
    <w:rsid w:val="001A6719"/>
    <w:rsid w:val="001B5F66"/>
    <w:rsid w:val="001C05AB"/>
    <w:rsid w:val="001C4607"/>
    <w:rsid w:val="001D12E4"/>
    <w:rsid w:val="001D7AC0"/>
    <w:rsid w:val="001F6F31"/>
    <w:rsid w:val="001F77B4"/>
    <w:rsid w:val="002152E8"/>
    <w:rsid w:val="00226A1D"/>
    <w:rsid w:val="00227A31"/>
    <w:rsid w:val="002307C7"/>
    <w:rsid w:val="00235142"/>
    <w:rsid w:val="00241AAC"/>
    <w:rsid w:val="002435C6"/>
    <w:rsid w:val="00243AAD"/>
    <w:rsid w:val="002467F5"/>
    <w:rsid w:val="00250DC6"/>
    <w:rsid w:val="002565BD"/>
    <w:rsid w:val="00256DB1"/>
    <w:rsid w:val="00260811"/>
    <w:rsid w:val="00284631"/>
    <w:rsid w:val="002A1F9D"/>
    <w:rsid w:val="002A2B2C"/>
    <w:rsid w:val="002A7159"/>
    <w:rsid w:val="002B6DF5"/>
    <w:rsid w:val="002B7CA6"/>
    <w:rsid w:val="002C58DC"/>
    <w:rsid w:val="002C6253"/>
    <w:rsid w:val="002E6B2D"/>
    <w:rsid w:val="002E7EFA"/>
    <w:rsid w:val="002E7F6C"/>
    <w:rsid w:val="00307EF1"/>
    <w:rsid w:val="0031762F"/>
    <w:rsid w:val="003219CF"/>
    <w:rsid w:val="00337397"/>
    <w:rsid w:val="003445FF"/>
    <w:rsid w:val="00347491"/>
    <w:rsid w:val="00352EDC"/>
    <w:rsid w:val="00352EE6"/>
    <w:rsid w:val="00353DD7"/>
    <w:rsid w:val="00362436"/>
    <w:rsid w:val="0036288E"/>
    <w:rsid w:val="003669EF"/>
    <w:rsid w:val="00383180"/>
    <w:rsid w:val="00383BE8"/>
    <w:rsid w:val="0038656A"/>
    <w:rsid w:val="00390098"/>
    <w:rsid w:val="00392777"/>
    <w:rsid w:val="00394544"/>
    <w:rsid w:val="0039500B"/>
    <w:rsid w:val="00395DED"/>
    <w:rsid w:val="003A3485"/>
    <w:rsid w:val="003A4CF5"/>
    <w:rsid w:val="003B3357"/>
    <w:rsid w:val="003D00E4"/>
    <w:rsid w:val="003D114C"/>
    <w:rsid w:val="003D4250"/>
    <w:rsid w:val="003D4A9C"/>
    <w:rsid w:val="003E428F"/>
    <w:rsid w:val="003F0F98"/>
    <w:rsid w:val="004020DE"/>
    <w:rsid w:val="004047ED"/>
    <w:rsid w:val="00407CF5"/>
    <w:rsid w:val="00435A45"/>
    <w:rsid w:val="00441340"/>
    <w:rsid w:val="00443E0E"/>
    <w:rsid w:val="00455BBB"/>
    <w:rsid w:val="00456A4B"/>
    <w:rsid w:val="00472C36"/>
    <w:rsid w:val="004924CA"/>
    <w:rsid w:val="00493DA6"/>
    <w:rsid w:val="00497481"/>
    <w:rsid w:val="004A2612"/>
    <w:rsid w:val="004A665C"/>
    <w:rsid w:val="004B0977"/>
    <w:rsid w:val="004B62F3"/>
    <w:rsid w:val="004C04B1"/>
    <w:rsid w:val="004C31D1"/>
    <w:rsid w:val="004D0E08"/>
    <w:rsid w:val="004D4D54"/>
    <w:rsid w:val="004D7CE5"/>
    <w:rsid w:val="004F23DD"/>
    <w:rsid w:val="004F7334"/>
    <w:rsid w:val="00501148"/>
    <w:rsid w:val="00506A5B"/>
    <w:rsid w:val="00512C73"/>
    <w:rsid w:val="00513037"/>
    <w:rsid w:val="0051348A"/>
    <w:rsid w:val="00513770"/>
    <w:rsid w:val="00516198"/>
    <w:rsid w:val="0051748B"/>
    <w:rsid w:val="0052067A"/>
    <w:rsid w:val="0052099B"/>
    <w:rsid w:val="005403AB"/>
    <w:rsid w:val="00561D25"/>
    <w:rsid w:val="0056216B"/>
    <w:rsid w:val="005642E3"/>
    <w:rsid w:val="00567787"/>
    <w:rsid w:val="00570305"/>
    <w:rsid w:val="00571E2D"/>
    <w:rsid w:val="005927E2"/>
    <w:rsid w:val="0059345C"/>
    <w:rsid w:val="00593F9E"/>
    <w:rsid w:val="005A025C"/>
    <w:rsid w:val="005A1121"/>
    <w:rsid w:val="005A4B86"/>
    <w:rsid w:val="005A6823"/>
    <w:rsid w:val="005A7F8A"/>
    <w:rsid w:val="005B61C7"/>
    <w:rsid w:val="005C5343"/>
    <w:rsid w:val="005C5486"/>
    <w:rsid w:val="005C5B58"/>
    <w:rsid w:val="005C7BF7"/>
    <w:rsid w:val="005D0980"/>
    <w:rsid w:val="005D2C59"/>
    <w:rsid w:val="005E6A77"/>
    <w:rsid w:val="005F627C"/>
    <w:rsid w:val="00601891"/>
    <w:rsid w:val="00606C70"/>
    <w:rsid w:val="00606C77"/>
    <w:rsid w:val="00612D1A"/>
    <w:rsid w:val="006227A8"/>
    <w:rsid w:val="006230D4"/>
    <w:rsid w:val="006239FB"/>
    <w:rsid w:val="00634325"/>
    <w:rsid w:val="00637EE0"/>
    <w:rsid w:val="006419AE"/>
    <w:rsid w:val="00651CC6"/>
    <w:rsid w:val="00657C11"/>
    <w:rsid w:val="006609C6"/>
    <w:rsid w:val="00671147"/>
    <w:rsid w:val="00672FAF"/>
    <w:rsid w:val="00676ECE"/>
    <w:rsid w:val="00693878"/>
    <w:rsid w:val="00696342"/>
    <w:rsid w:val="0069638F"/>
    <w:rsid w:val="006B606A"/>
    <w:rsid w:val="006C439E"/>
    <w:rsid w:val="006D1C8A"/>
    <w:rsid w:val="006D5395"/>
    <w:rsid w:val="006F0665"/>
    <w:rsid w:val="006F21A2"/>
    <w:rsid w:val="006F604A"/>
    <w:rsid w:val="006F78B6"/>
    <w:rsid w:val="006F78C3"/>
    <w:rsid w:val="006F7F3B"/>
    <w:rsid w:val="007000AC"/>
    <w:rsid w:val="00705236"/>
    <w:rsid w:val="007052A8"/>
    <w:rsid w:val="0071134C"/>
    <w:rsid w:val="0071327A"/>
    <w:rsid w:val="00715D53"/>
    <w:rsid w:val="007215D3"/>
    <w:rsid w:val="007245CD"/>
    <w:rsid w:val="00730F05"/>
    <w:rsid w:val="00732FB4"/>
    <w:rsid w:val="0073310B"/>
    <w:rsid w:val="00752337"/>
    <w:rsid w:val="00755BFF"/>
    <w:rsid w:val="00757751"/>
    <w:rsid w:val="00767273"/>
    <w:rsid w:val="007758B0"/>
    <w:rsid w:val="00777653"/>
    <w:rsid w:val="007973B8"/>
    <w:rsid w:val="007A2812"/>
    <w:rsid w:val="007A5EAA"/>
    <w:rsid w:val="007B0E5A"/>
    <w:rsid w:val="007B1925"/>
    <w:rsid w:val="007D0132"/>
    <w:rsid w:val="007D5426"/>
    <w:rsid w:val="007E00ED"/>
    <w:rsid w:val="007E2DFA"/>
    <w:rsid w:val="007E35CD"/>
    <w:rsid w:val="007E54E7"/>
    <w:rsid w:val="00806265"/>
    <w:rsid w:val="00811C8F"/>
    <w:rsid w:val="00822E6C"/>
    <w:rsid w:val="008254B5"/>
    <w:rsid w:val="00826233"/>
    <w:rsid w:val="00830E5C"/>
    <w:rsid w:val="00837EB2"/>
    <w:rsid w:val="008462AF"/>
    <w:rsid w:val="00852F21"/>
    <w:rsid w:val="00857B77"/>
    <w:rsid w:val="008611C6"/>
    <w:rsid w:val="008657EC"/>
    <w:rsid w:val="00866DCB"/>
    <w:rsid w:val="00874739"/>
    <w:rsid w:val="00884D75"/>
    <w:rsid w:val="00886740"/>
    <w:rsid w:val="0088745B"/>
    <w:rsid w:val="00890CD0"/>
    <w:rsid w:val="00896BE9"/>
    <w:rsid w:val="008A6F15"/>
    <w:rsid w:val="008B3830"/>
    <w:rsid w:val="008C144E"/>
    <w:rsid w:val="008D3C7B"/>
    <w:rsid w:val="008D4437"/>
    <w:rsid w:val="008D66B0"/>
    <w:rsid w:val="008E22B8"/>
    <w:rsid w:val="008E23FE"/>
    <w:rsid w:val="008E67A0"/>
    <w:rsid w:val="008E6810"/>
    <w:rsid w:val="008F5DA6"/>
    <w:rsid w:val="008F78C0"/>
    <w:rsid w:val="009151CD"/>
    <w:rsid w:val="00922D23"/>
    <w:rsid w:val="00923810"/>
    <w:rsid w:val="00933225"/>
    <w:rsid w:val="00945F10"/>
    <w:rsid w:val="00953312"/>
    <w:rsid w:val="00956501"/>
    <w:rsid w:val="0096340A"/>
    <w:rsid w:val="00966659"/>
    <w:rsid w:val="0097088B"/>
    <w:rsid w:val="0098046A"/>
    <w:rsid w:val="00991682"/>
    <w:rsid w:val="00994D92"/>
    <w:rsid w:val="00995244"/>
    <w:rsid w:val="009964C1"/>
    <w:rsid w:val="009B3E6F"/>
    <w:rsid w:val="009D1AC0"/>
    <w:rsid w:val="009D4F52"/>
    <w:rsid w:val="009F7480"/>
    <w:rsid w:val="00A0174A"/>
    <w:rsid w:val="00A044E7"/>
    <w:rsid w:val="00A1341E"/>
    <w:rsid w:val="00A1375B"/>
    <w:rsid w:val="00A14BDB"/>
    <w:rsid w:val="00A202B2"/>
    <w:rsid w:val="00A202E0"/>
    <w:rsid w:val="00A4749D"/>
    <w:rsid w:val="00A54018"/>
    <w:rsid w:val="00A62778"/>
    <w:rsid w:val="00A64C37"/>
    <w:rsid w:val="00A80541"/>
    <w:rsid w:val="00A87112"/>
    <w:rsid w:val="00A91296"/>
    <w:rsid w:val="00A92B2D"/>
    <w:rsid w:val="00AB09FA"/>
    <w:rsid w:val="00AB17C1"/>
    <w:rsid w:val="00AB701B"/>
    <w:rsid w:val="00AC565C"/>
    <w:rsid w:val="00AD1BD1"/>
    <w:rsid w:val="00AD732D"/>
    <w:rsid w:val="00AD7F20"/>
    <w:rsid w:val="00AE0DB4"/>
    <w:rsid w:val="00AE1D72"/>
    <w:rsid w:val="00AE3EDE"/>
    <w:rsid w:val="00AE4543"/>
    <w:rsid w:val="00AE6573"/>
    <w:rsid w:val="00AE769B"/>
    <w:rsid w:val="00B03444"/>
    <w:rsid w:val="00B044DC"/>
    <w:rsid w:val="00B07083"/>
    <w:rsid w:val="00B11139"/>
    <w:rsid w:val="00B119D6"/>
    <w:rsid w:val="00B154C2"/>
    <w:rsid w:val="00B161C4"/>
    <w:rsid w:val="00B164C0"/>
    <w:rsid w:val="00B23E9C"/>
    <w:rsid w:val="00B247D8"/>
    <w:rsid w:val="00B26183"/>
    <w:rsid w:val="00B30BCE"/>
    <w:rsid w:val="00B41AF0"/>
    <w:rsid w:val="00B56C17"/>
    <w:rsid w:val="00B61401"/>
    <w:rsid w:val="00B62522"/>
    <w:rsid w:val="00B87E38"/>
    <w:rsid w:val="00B87F1A"/>
    <w:rsid w:val="00B906D6"/>
    <w:rsid w:val="00B94962"/>
    <w:rsid w:val="00B960B4"/>
    <w:rsid w:val="00BA1D77"/>
    <w:rsid w:val="00BA2083"/>
    <w:rsid w:val="00BB1447"/>
    <w:rsid w:val="00BC10BF"/>
    <w:rsid w:val="00BD6F00"/>
    <w:rsid w:val="00BE18E4"/>
    <w:rsid w:val="00BE2289"/>
    <w:rsid w:val="00BE6E7F"/>
    <w:rsid w:val="00BF58D8"/>
    <w:rsid w:val="00C0172B"/>
    <w:rsid w:val="00C02363"/>
    <w:rsid w:val="00C037E6"/>
    <w:rsid w:val="00C05C56"/>
    <w:rsid w:val="00C10F95"/>
    <w:rsid w:val="00C16512"/>
    <w:rsid w:val="00C168DE"/>
    <w:rsid w:val="00C22113"/>
    <w:rsid w:val="00C27188"/>
    <w:rsid w:val="00C31C6F"/>
    <w:rsid w:val="00C3424F"/>
    <w:rsid w:val="00C55D45"/>
    <w:rsid w:val="00C57242"/>
    <w:rsid w:val="00C575B5"/>
    <w:rsid w:val="00C63591"/>
    <w:rsid w:val="00C83077"/>
    <w:rsid w:val="00C861AE"/>
    <w:rsid w:val="00C956D9"/>
    <w:rsid w:val="00CA1FBD"/>
    <w:rsid w:val="00CA2E60"/>
    <w:rsid w:val="00CA72CF"/>
    <w:rsid w:val="00CB0C0B"/>
    <w:rsid w:val="00CB0DA5"/>
    <w:rsid w:val="00CB3198"/>
    <w:rsid w:val="00CB477F"/>
    <w:rsid w:val="00CB74C9"/>
    <w:rsid w:val="00CC6EA0"/>
    <w:rsid w:val="00CD1D0A"/>
    <w:rsid w:val="00CD1D1D"/>
    <w:rsid w:val="00CE6CD0"/>
    <w:rsid w:val="00CF518B"/>
    <w:rsid w:val="00D007DF"/>
    <w:rsid w:val="00D00912"/>
    <w:rsid w:val="00D045E0"/>
    <w:rsid w:val="00D3439B"/>
    <w:rsid w:val="00D35B76"/>
    <w:rsid w:val="00D375B9"/>
    <w:rsid w:val="00D4057E"/>
    <w:rsid w:val="00D44C43"/>
    <w:rsid w:val="00D45E14"/>
    <w:rsid w:val="00D53136"/>
    <w:rsid w:val="00D5454C"/>
    <w:rsid w:val="00D60D33"/>
    <w:rsid w:val="00D64672"/>
    <w:rsid w:val="00D65276"/>
    <w:rsid w:val="00D6640E"/>
    <w:rsid w:val="00D665F0"/>
    <w:rsid w:val="00D70F60"/>
    <w:rsid w:val="00D75FD3"/>
    <w:rsid w:val="00D829E8"/>
    <w:rsid w:val="00D85A0E"/>
    <w:rsid w:val="00D90849"/>
    <w:rsid w:val="00D91808"/>
    <w:rsid w:val="00D9339E"/>
    <w:rsid w:val="00D96121"/>
    <w:rsid w:val="00DA35C9"/>
    <w:rsid w:val="00DA59BA"/>
    <w:rsid w:val="00DA64A9"/>
    <w:rsid w:val="00DB0AF2"/>
    <w:rsid w:val="00DB2EDF"/>
    <w:rsid w:val="00DC3C7D"/>
    <w:rsid w:val="00DC7F89"/>
    <w:rsid w:val="00DD77DF"/>
    <w:rsid w:val="00DE0498"/>
    <w:rsid w:val="00DF4632"/>
    <w:rsid w:val="00DF592E"/>
    <w:rsid w:val="00E004F6"/>
    <w:rsid w:val="00E02A2A"/>
    <w:rsid w:val="00E05101"/>
    <w:rsid w:val="00E07502"/>
    <w:rsid w:val="00E1026D"/>
    <w:rsid w:val="00E10995"/>
    <w:rsid w:val="00E26F95"/>
    <w:rsid w:val="00E5191D"/>
    <w:rsid w:val="00E57740"/>
    <w:rsid w:val="00E74CFE"/>
    <w:rsid w:val="00E77867"/>
    <w:rsid w:val="00E80AD4"/>
    <w:rsid w:val="00E96B01"/>
    <w:rsid w:val="00E97562"/>
    <w:rsid w:val="00EC25C9"/>
    <w:rsid w:val="00EC62D7"/>
    <w:rsid w:val="00ED1F73"/>
    <w:rsid w:val="00ED59F4"/>
    <w:rsid w:val="00ED6F24"/>
    <w:rsid w:val="00EE3418"/>
    <w:rsid w:val="00EE4251"/>
    <w:rsid w:val="00EF2DB3"/>
    <w:rsid w:val="00EF39FD"/>
    <w:rsid w:val="00F17B89"/>
    <w:rsid w:val="00F272D4"/>
    <w:rsid w:val="00F30031"/>
    <w:rsid w:val="00F3362A"/>
    <w:rsid w:val="00F3448D"/>
    <w:rsid w:val="00F361B6"/>
    <w:rsid w:val="00F409E0"/>
    <w:rsid w:val="00F467F8"/>
    <w:rsid w:val="00F50186"/>
    <w:rsid w:val="00F54AAD"/>
    <w:rsid w:val="00F605F1"/>
    <w:rsid w:val="00F61404"/>
    <w:rsid w:val="00F65BAB"/>
    <w:rsid w:val="00F73291"/>
    <w:rsid w:val="00F85840"/>
    <w:rsid w:val="00F91B0B"/>
    <w:rsid w:val="00F93861"/>
    <w:rsid w:val="00F96491"/>
    <w:rsid w:val="00F96B52"/>
    <w:rsid w:val="00FA0E06"/>
    <w:rsid w:val="00FA711D"/>
    <w:rsid w:val="00FB1226"/>
    <w:rsid w:val="00FB44E7"/>
    <w:rsid w:val="00FB577B"/>
    <w:rsid w:val="00FB57FE"/>
    <w:rsid w:val="00FD5C6C"/>
    <w:rsid w:val="00FE280A"/>
    <w:rsid w:val="00FF02D1"/>
    <w:rsid w:val="00FF1565"/>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B74CF5"/>
  <w15:chartTrackingRefBased/>
  <w15:docId w15:val="{EDFBACD3-A5A9-42CD-9656-687A90C1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254B5"/>
    <w:pPr>
      <w:ind w:left="720"/>
    </w:pPr>
  </w:style>
  <w:style w:type="paragraph" w:styleId="ListParagraph">
    <w:name w:val="List Paragraph"/>
    <w:basedOn w:val="Normal"/>
    <w:uiPriority w:val="34"/>
    <w:qFormat/>
    <w:rsid w:val="008254B5"/>
    <w:pPr>
      <w:ind w:left="720"/>
      <w:contextualSpacing/>
    </w:pPr>
  </w:style>
  <w:style w:type="paragraph" w:styleId="Header">
    <w:name w:val="header"/>
    <w:basedOn w:val="Normal"/>
    <w:link w:val="HeaderChar"/>
    <w:uiPriority w:val="99"/>
    <w:unhideWhenUsed/>
    <w:rsid w:val="00D65276"/>
    <w:pPr>
      <w:tabs>
        <w:tab w:val="center" w:pos="4680"/>
        <w:tab w:val="right" w:pos="9360"/>
      </w:tabs>
    </w:pPr>
  </w:style>
  <w:style w:type="character" w:customStyle="1" w:styleId="HeaderChar">
    <w:name w:val="Header Char"/>
    <w:basedOn w:val="DefaultParagraphFont"/>
    <w:link w:val="Header"/>
    <w:uiPriority w:val="99"/>
    <w:rsid w:val="00D65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276"/>
    <w:pPr>
      <w:tabs>
        <w:tab w:val="center" w:pos="4680"/>
        <w:tab w:val="right" w:pos="9360"/>
      </w:tabs>
    </w:pPr>
  </w:style>
  <w:style w:type="character" w:customStyle="1" w:styleId="FooterChar">
    <w:name w:val="Footer Char"/>
    <w:basedOn w:val="DefaultParagraphFont"/>
    <w:link w:val="Footer"/>
    <w:uiPriority w:val="99"/>
    <w:rsid w:val="00D652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808"/>
    <w:rPr>
      <w:sz w:val="16"/>
      <w:szCs w:val="16"/>
    </w:rPr>
  </w:style>
  <w:style w:type="paragraph" w:styleId="CommentText">
    <w:name w:val="annotation text"/>
    <w:basedOn w:val="Normal"/>
    <w:link w:val="CommentTextChar"/>
    <w:uiPriority w:val="99"/>
    <w:semiHidden/>
    <w:unhideWhenUsed/>
    <w:rsid w:val="00D91808"/>
    <w:rPr>
      <w:sz w:val="20"/>
      <w:szCs w:val="20"/>
    </w:rPr>
  </w:style>
  <w:style w:type="character" w:customStyle="1" w:styleId="CommentTextChar">
    <w:name w:val="Comment Text Char"/>
    <w:basedOn w:val="DefaultParagraphFont"/>
    <w:link w:val="CommentText"/>
    <w:uiPriority w:val="99"/>
    <w:semiHidden/>
    <w:rsid w:val="00D91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8"/>
    <w:rPr>
      <w:b/>
      <w:bCs/>
    </w:rPr>
  </w:style>
  <w:style w:type="character" w:customStyle="1" w:styleId="CommentSubjectChar">
    <w:name w:val="Comment Subject Char"/>
    <w:basedOn w:val="CommentTextChar"/>
    <w:link w:val="CommentSubject"/>
    <w:uiPriority w:val="99"/>
    <w:semiHidden/>
    <w:rsid w:val="00D91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8"/>
    <w:rPr>
      <w:rFonts w:ascii="Segoe UI" w:eastAsia="Times New Roman" w:hAnsi="Segoe UI" w:cs="Segoe UI"/>
      <w:sz w:val="18"/>
      <w:szCs w:val="18"/>
    </w:rPr>
  </w:style>
  <w:style w:type="paragraph" w:customStyle="1" w:styleId="TableParagraph">
    <w:name w:val="Table Paragraph"/>
    <w:basedOn w:val="Normal"/>
    <w:uiPriority w:val="1"/>
    <w:qFormat/>
    <w:rsid w:val="000143F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080D8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B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874">
      <w:bodyDiv w:val="1"/>
      <w:marLeft w:val="0"/>
      <w:marRight w:val="0"/>
      <w:marTop w:val="0"/>
      <w:marBottom w:val="0"/>
      <w:divBdr>
        <w:top w:val="none" w:sz="0" w:space="0" w:color="auto"/>
        <w:left w:val="none" w:sz="0" w:space="0" w:color="auto"/>
        <w:bottom w:val="none" w:sz="0" w:space="0" w:color="auto"/>
        <w:right w:val="none" w:sz="0" w:space="0" w:color="auto"/>
      </w:divBdr>
    </w:div>
    <w:div w:id="203059873">
      <w:bodyDiv w:val="1"/>
      <w:marLeft w:val="0"/>
      <w:marRight w:val="0"/>
      <w:marTop w:val="0"/>
      <w:marBottom w:val="0"/>
      <w:divBdr>
        <w:top w:val="none" w:sz="0" w:space="0" w:color="auto"/>
        <w:left w:val="none" w:sz="0" w:space="0" w:color="auto"/>
        <w:bottom w:val="none" w:sz="0" w:space="0" w:color="auto"/>
        <w:right w:val="none" w:sz="0" w:space="0" w:color="auto"/>
      </w:divBdr>
      <w:divsChild>
        <w:div w:id="1564875244">
          <w:marLeft w:val="0"/>
          <w:marRight w:val="0"/>
          <w:marTop w:val="0"/>
          <w:marBottom w:val="0"/>
          <w:divBdr>
            <w:top w:val="none" w:sz="0" w:space="0" w:color="auto"/>
            <w:left w:val="none" w:sz="0" w:space="0" w:color="auto"/>
            <w:bottom w:val="none" w:sz="0" w:space="0" w:color="auto"/>
            <w:right w:val="none" w:sz="0" w:space="0" w:color="auto"/>
          </w:divBdr>
          <w:divsChild>
            <w:div w:id="1652752603">
              <w:marLeft w:val="0"/>
              <w:marRight w:val="0"/>
              <w:marTop w:val="0"/>
              <w:marBottom w:val="0"/>
              <w:divBdr>
                <w:top w:val="none" w:sz="0" w:space="0" w:color="auto"/>
                <w:left w:val="none" w:sz="0" w:space="0" w:color="auto"/>
                <w:bottom w:val="none" w:sz="0" w:space="0" w:color="auto"/>
                <w:right w:val="none" w:sz="0" w:space="0" w:color="auto"/>
              </w:divBdr>
              <w:divsChild>
                <w:div w:id="15277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2230">
      <w:bodyDiv w:val="1"/>
      <w:marLeft w:val="0"/>
      <w:marRight w:val="0"/>
      <w:marTop w:val="0"/>
      <w:marBottom w:val="0"/>
      <w:divBdr>
        <w:top w:val="none" w:sz="0" w:space="0" w:color="auto"/>
        <w:left w:val="none" w:sz="0" w:space="0" w:color="auto"/>
        <w:bottom w:val="none" w:sz="0" w:space="0" w:color="auto"/>
        <w:right w:val="none" w:sz="0" w:space="0" w:color="auto"/>
      </w:divBdr>
    </w:div>
    <w:div w:id="349913342">
      <w:bodyDiv w:val="1"/>
      <w:marLeft w:val="0"/>
      <w:marRight w:val="0"/>
      <w:marTop w:val="0"/>
      <w:marBottom w:val="0"/>
      <w:divBdr>
        <w:top w:val="none" w:sz="0" w:space="0" w:color="auto"/>
        <w:left w:val="none" w:sz="0" w:space="0" w:color="auto"/>
        <w:bottom w:val="none" w:sz="0" w:space="0" w:color="auto"/>
        <w:right w:val="none" w:sz="0" w:space="0" w:color="auto"/>
      </w:divBdr>
    </w:div>
    <w:div w:id="533158944">
      <w:bodyDiv w:val="1"/>
      <w:marLeft w:val="0"/>
      <w:marRight w:val="0"/>
      <w:marTop w:val="0"/>
      <w:marBottom w:val="0"/>
      <w:divBdr>
        <w:top w:val="none" w:sz="0" w:space="0" w:color="auto"/>
        <w:left w:val="none" w:sz="0" w:space="0" w:color="auto"/>
        <w:bottom w:val="none" w:sz="0" w:space="0" w:color="auto"/>
        <w:right w:val="none" w:sz="0" w:space="0" w:color="auto"/>
      </w:divBdr>
    </w:div>
    <w:div w:id="581112573">
      <w:bodyDiv w:val="1"/>
      <w:marLeft w:val="0"/>
      <w:marRight w:val="0"/>
      <w:marTop w:val="0"/>
      <w:marBottom w:val="0"/>
      <w:divBdr>
        <w:top w:val="none" w:sz="0" w:space="0" w:color="auto"/>
        <w:left w:val="none" w:sz="0" w:space="0" w:color="auto"/>
        <w:bottom w:val="none" w:sz="0" w:space="0" w:color="auto"/>
        <w:right w:val="none" w:sz="0" w:space="0" w:color="auto"/>
      </w:divBdr>
    </w:div>
    <w:div w:id="829636606">
      <w:bodyDiv w:val="1"/>
      <w:marLeft w:val="0"/>
      <w:marRight w:val="0"/>
      <w:marTop w:val="0"/>
      <w:marBottom w:val="0"/>
      <w:divBdr>
        <w:top w:val="none" w:sz="0" w:space="0" w:color="auto"/>
        <w:left w:val="none" w:sz="0" w:space="0" w:color="auto"/>
        <w:bottom w:val="none" w:sz="0" w:space="0" w:color="auto"/>
        <w:right w:val="none" w:sz="0" w:space="0" w:color="auto"/>
      </w:divBdr>
    </w:div>
    <w:div w:id="916935313">
      <w:bodyDiv w:val="1"/>
      <w:marLeft w:val="0"/>
      <w:marRight w:val="0"/>
      <w:marTop w:val="0"/>
      <w:marBottom w:val="0"/>
      <w:divBdr>
        <w:top w:val="none" w:sz="0" w:space="0" w:color="auto"/>
        <w:left w:val="none" w:sz="0" w:space="0" w:color="auto"/>
        <w:bottom w:val="none" w:sz="0" w:space="0" w:color="auto"/>
        <w:right w:val="none" w:sz="0" w:space="0" w:color="auto"/>
      </w:divBdr>
    </w:div>
    <w:div w:id="1270356280">
      <w:bodyDiv w:val="1"/>
      <w:marLeft w:val="0"/>
      <w:marRight w:val="0"/>
      <w:marTop w:val="0"/>
      <w:marBottom w:val="0"/>
      <w:divBdr>
        <w:top w:val="none" w:sz="0" w:space="0" w:color="auto"/>
        <w:left w:val="none" w:sz="0" w:space="0" w:color="auto"/>
        <w:bottom w:val="none" w:sz="0" w:space="0" w:color="auto"/>
        <w:right w:val="none" w:sz="0" w:space="0" w:color="auto"/>
      </w:divBdr>
    </w:div>
    <w:div w:id="1494226176">
      <w:bodyDiv w:val="1"/>
      <w:marLeft w:val="0"/>
      <w:marRight w:val="0"/>
      <w:marTop w:val="0"/>
      <w:marBottom w:val="0"/>
      <w:divBdr>
        <w:top w:val="none" w:sz="0" w:space="0" w:color="auto"/>
        <w:left w:val="none" w:sz="0" w:space="0" w:color="auto"/>
        <w:bottom w:val="none" w:sz="0" w:space="0" w:color="auto"/>
        <w:right w:val="none" w:sz="0" w:space="0" w:color="auto"/>
      </w:divBdr>
    </w:div>
    <w:div w:id="1792166158">
      <w:bodyDiv w:val="1"/>
      <w:marLeft w:val="0"/>
      <w:marRight w:val="0"/>
      <w:marTop w:val="0"/>
      <w:marBottom w:val="0"/>
      <w:divBdr>
        <w:top w:val="none" w:sz="0" w:space="0" w:color="auto"/>
        <w:left w:val="none" w:sz="0" w:space="0" w:color="auto"/>
        <w:bottom w:val="none" w:sz="0" w:space="0" w:color="auto"/>
        <w:right w:val="none" w:sz="0" w:space="0" w:color="auto"/>
      </w:divBdr>
    </w:div>
    <w:div w:id="20463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15E8-7DFB-4F23-ACC1-45895A35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2022-06-10T13:02:00Z</cp:lastPrinted>
  <dcterms:created xsi:type="dcterms:W3CDTF">2022-06-15T03:27:00Z</dcterms:created>
  <dcterms:modified xsi:type="dcterms:W3CDTF">2022-06-15T03:27:00Z</dcterms:modified>
</cp:coreProperties>
</file>