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1A863" w14:textId="14FAC9E8" w:rsidR="009D17E5" w:rsidRPr="004226DB" w:rsidRDefault="009D17E5" w:rsidP="004226DB">
      <w:pPr>
        <w:suppressLineNumbers/>
        <w:tabs>
          <w:tab w:val="left" w:pos="4680"/>
        </w:tabs>
        <w:jc w:val="right"/>
        <w:rPr>
          <w:smallCaps/>
          <w:sz w:val="20"/>
          <w:szCs w:val="20"/>
          <w:lang w:eastAsia="zh-CN"/>
        </w:rPr>
      </w:pPr>
      <w:bookmarkStart w:id="0" w:name="_GoBack"/>
      <w:bookmarkEnd w:id="0"/>
      <w:r w:rsidRPr="00191EEA">
        <w:rPr>
          <w:smallCaps/>
          <w:sz w:val="20"/>
          <w:szCs w:val="20"/>
          <w:lang w:eastAsia="zh-CN"/>
        </w:rPr>
        <w:t xml:space="preserve">Committee Staff:                           </w:t>
      </w:r>
    </w:p>
    <w:p w14:paraId="63B8B490" w14:textId="7E7D7506" w:rsidR="009D17E5" w:rsidRPr="009D17E5" w:rsidRDefault="009D17E5" w:rsidP="009D17E5">
      <w:pPr>
        <w:tabs>
          <w:tab w:val="left" w:pos="0"/>
        </w:tabs>
        <w:jc w:val="right"/>
        <w:rPr>
          <w:iCs/>
          <w:sz w:val="12"/>
          <w:szCs w:val="12"/>
        </w:rPr>
      </w:pPr>
    </w:p>
    <w:p w14:paraId="6A7611A6" w14:textId="74BBB1E5" w:rsidR="009D17E5" w:rsidRPr="009D17E5" w:rsidRDefault="009D17E5" w:rsidP="009D17E5">
      <w:pPr>
        <w:suppressLineNumbers/>
        <w:tabs>
          <w:tab w:val="left" w:pos="4680"/>
        </w:tabs>
        <w:ind w:left="5040" w:hanging="5040"/>
        <w:jc w:val="right"/>
        <w:rPr>
          <w:sz w:val="20"/>
          <w:szCs w:val="20"/>
          <w:u w:val="single"/>
        </w:rPr>
      </w:pPr>
      <w:r w:rsidRPr="009D17E5">
        <w:rPr>
          <w:sz w:val="20"/>
          <w:szCs w:val="20"/>
          <w:u w:val="single"/>
        </w:rPr>
        <w:t xml:space="preserve">Women &amp; Gender Equity  </w:t>
      </w:r>
    </w:p>
    <w:p w14:paraId="4E8FEC3D" w14:textId="27BFD146" w:rsidR="009D17E5" w:rsidRPr="009D17E5" w:rsidRDefault="009D17E5" w:rsidP="009D17E5">
      <w:pPr>
        <w:pStyle w:val="Body"/>
        <w:suppressLineNumbers/>
        <w:spacing w:after="0" w:line="240" w:lineRule="auto"/>
        <w:ind w:left="3960" w:firstLine="720"/>
        <w:jc w:val="right"/>
        <w:rPr>
          <w:rFonts w:ascii="Times New Roman" w:hAnsi="Times New Roman" w:cs="Times New Roman"/>
          <w:sz w:val="20"/>
          <w:szCs w:val="20"/>
        </w:rPr>
      </w:pPr>
      <w:r w:rsidRPr="009D17E5">
        <w:rPr>
          <w:rFonts w:ascii="Times New Roman" w:hAnsi="Times New Roman" w:cs="Times New Roman"/>
          <w:sz w:val="20"/>
          <w:szCs w:val="20"/>
        </w:rPr>
        <w:t xml:space="preserve">Brenda McKinney, </w:t>
      </w:r>
      <w:r w:rsidRPr="009D17E5">
        <w:rPr>
          <w:rFonts w:ascii="Times New Roman" w:hAnsi="Times New Roman" w:cs="Times New Roman"/>
          <w:i/>
          <w:sz w:val="20"/>
          <w:szCs w:val="20"/>
        </w:rPr>
        <w:t>Legislative Counsel</w:t>
      </w:r>
    </w:p>
    <w:p w14:paraId="0266BF53" w14:textId="04CC2A7F" w:rsidR="009D17E5" w:rsidRPr="009D17E5" w:rsidRDefault="009D17E5" w:rsidP="009D17E5">
      <w:pPr>
        <w:pStyle w:val="Body"/>
        <w:suppressLineNumbers/>
        <w:spacing w:after="0" w:line="240" w:lineRule="auto"/>
        <w:ind w:left="4320" w:firstLine="360"/>
        <w:jc w:val="right"/>
        <w:rPr>
          <w:rFonts w:ascii="Times New Roman" w:hAnsi="Times New Roman" w:cs="Times New Roman"/>
          <w:i/>
          <w:sz w:val="20"/>
          <w:szCs w:val="20"/>
        </w:rPr>
      </w:pPr>
      <w:r>
        <w:rPr>
          <w:noProof/>
        </w:rPr>
        <w:drawing>
          <wp:anchor distT="0" distB="0" distL="114300" distR="114300" simplePos="0" relativeHeight="251659264" behindDoc="0" locked="0" layoutInCell="1" allowOverlap="1" wp14:anchorId="649A1FD8" wp14:editId="2EBFA3C6">
            <wp:simplePos x="0" y="0"/>
            <wp:positionH relativeFrom="column">
              <wp:posOffset>2296160</wp:posOffset>
            </wp:positionH>
            <wp:positionV relativeFrom="paragraph">
              <wp:posOffset>161600</wp:posOffset>
            </wp:positionV>
            <wp:extent cx="1346835" cy="1384935"/>
            <wp:effectExtent l="0" t="0" r="5715" b="5715"/>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346835" cy="1384935"/>
                    </a:xfrm>
                    <a:prstGeom prst="rect">
                      <a:avLst/>
                    </a:prstGeom>
                    <a:noFill/>
                  </pic:spPr>
                </pic:pic>
              </a:graphicData>
            </a:graphic>
            <wp14:sizeRelH relativeFrom="page">
              <wp14:pctWidth>0</wp14:pctWidth>
            </wp14:sizeRelH>
            <wp14:sizeRelV relativeFrom="page">
              <wp14:pctHeight>0</wp14:pctHeight>
            </wp14:sizeRelV>
          </wp:anchor>
        </w:drawing>
      </w:r>
      <w:r w:rsidRPr="009D17E5">
        <w:rPr>
          <w:rFonts w:ascii="Times New Roman" w:hAnsi="Times New Roman" w:cs="Times New Roman"/>
          <w:sz w:val="20"/>
          <w:szCs w:val="20"/>
        </w:rPr>
        <w:t xml:space="preserve">Chloë Rivera, </w:t>
      </w:r>
      <w:r w:rsidRPr="009D17E5">
        <w:rPr>
          <w:rFonts w:ascii="Times New Roman" w:hAnsi="Times New Roman" w:cs="Times New Roman"/>
          <w:i/>
          <w:iCs/>
          <w:sz w:val="20"/>
          <w:szCs w:val="20"/>
        </w:rPr>
        <w:t>Senior Legislative Policy</w:t>
      </w:r>
      <w:r w:rsidRPr="009D17E5">
        <w:rPr>
          <w:rFonts w:ascii="Times New Roman" w:hAnsi="Times New Roman" w:cs="Times New Roman"/>
          <w:i/>
          <w:sz w:val="20"/>
          <w:szCs w:val="20"/>
        </w:rPr>
        <w:t xml:space="preserve"> Analyst</w:t>
      </w:r>
    </w:p>
    <w:p w14:paraId="3AC67A7E" w14:textId="0AD9E81B" w:rsidR="009D17E5" w:rsidRPr="009D17E5" w:rsidRDefault="009D17E5" w:rsidP="009D17E5">
      <w:pPr>
        <w:tabs>
          <w:tab w:val="left" w:pos="0"/>
        </w:tabs>
        <w:jc w:val="right"/>
        <w:rPr>
          <w:sz w:val="20"/>
          <w:szCs w:val="20"/>
        </w:rPr>
      </w:pPr>
      <w:r w:rsidRPr="009D17E5">
        <w:rPr>
          <w:sz w:val="20"/>
          <w:szCs w:val="20"/>
        </w:rPr>
        <w:t xml:space="preserve">Lauren Hunt, </w:t>
      </w:r>
      <w:r w:rsidRPr="009D17E5">
        <w:rPr>
          <w:i/>
          <w:iCs/>
          <w:sz w:val="20"/>
          <w:szCs w:val="20"/>
        </w:rPr>
        <w:t>Financial Analyst</w:t>
      </w:r>
    </w:p>
    <w:p w14:paraId="502DE5EF" w14:textId="3A7E1FE8" w:rsidR="009D17E5" w:rsidRPr="009F19E0" w:rsidRDefault="009D17E5" w:rsidP="009D17E5">
      <w:pPr>
        <w:suppressLineNumbers/>
        <w:tabs>
          <w:tab w:val="left" w:pos="4680"/>
        </w:tabs>
        <w:rPr>
          <w:b/>
          <w:sz w:val="10"/>
          <w:szCs w:val="10"/>
        </w:rPr>
      </w:pPr>
      <w:r w:rsidRPr="00BD243A">
        <w:rPr>
          <w:lang w:eastAsia="zh-CN"/>
        </w:rPr>
        <w:t xml:space="preserve">                                                                </w:t>
      </w:r>
      <w:r w:rsidRPr="00BD243A">
        <w:rPr>
          <w:noProof/>
        </w:rPr>
        <w:br w:type="textWrapping" w:clear="all"/>
      </w:r>
    </w:p>
    <w:p w14:paraId="68885F24" w14:textId="45F9708F" w:rsidR="009D17E5" w:rsidRDefault="009D17E5" w:rsidP="009D17E5">
      <w:pPr>
        <w:suppressLineNumbers/>
        <w:jc w:val="center"/>
        <w:rPr>
          <w:b/>
        </w:rPr>
      </w:pPr>
      <w:r w:rsidRPr="00025002">
        <w:rPr>
          <w:b/>
        </w:rPr>
        <w:t>THE COUNCIL OF THE CITY OF NEW YORK</w:t>
      </w:r>
    </w:p>
    <w:p w14:paraId="0D5FF16C" w14:textId="77777777" w:rsidR="009D17E5" w:rsidRPr="009D17E5" w:rsidRDefault="009D17E5" w:rsidP="009D17E5">
      <w:pPr>
        <w:suppressLineNumbers/>
        <w:jc w:val="center"/>
        <w:rPr>
          <w:b/>
          <w:sz w:val="12"/>
          <w:szCs w:val="12"/>
        </w:rPr>
      </w:pPr>
    </w:p>
    <w:p w14:paraId="0D348D59" w14:textId="3DF0ECA1" w:rsidR="009D17E5" w:rsidRPr="009F19E0" w:rsidRDefault="009D17E5" w:rsidP="009D17E5">
      <w:pPr>
        <w:pStyle w:val="Heading5"/>
        <w:suppressLineNumbers/>
        <w:spacing w:before="0" w:after="0"/>
        <w:jc w:val="center"/>
        <w:rPr>
          <w:rFonts w:ascii="Times New Roman" w:hAnsi="Times New Roman"/>
          <w:i w:val="0"/>
          <w:iCs w:val="0"/>
          <w:sz w:val="24"/>
          <w:szCs w:val="24"/>
          <w:u w:val="single"/>
        </w:rPr>
      </w:pPr>
      <w:r w:rsidRPr="009F19E0">
        <w:rPr>
          <w:rFonts w:ascii="Times New Roman" w:hAnsi="Times New Roman"/>
          <w:i w:val="0"/>
          <w:iCs w:val="0"/>
          <w:sz w:val="24"/>
          <w:szCs w:val="24"/>
          <w:u w:val="single"/>
        </w:rPr>
        <w:t>COMMITTEE REPORT OF THE HUMAN SERVICES DIVISION</w:t>
      </w:r>
      <w:r>
        <w:rPr>
          <w:rFonts w:ascii="Times New Roman" w:hAnsi="Times New Roman"/>
          <w:i w:val="0"/>
          <w:iCs w:val="0"/>
          <w:sz w:val="24"/>
          <w:szCs w:val="24"/>
          <w:u w:val="single"/>
        </w:rPr>
        <w:t xml:space="preserve"> </w:t>
      </w:r>
    </w:p>
    <w:p w14:paraId="341F4EA6" w14:textId="77777777" w:rsidR="009D17E5" w:rsidRDefault="009D17E5" w:rsidP="009D17E5">
      <w:pPr>
        <w:tabs>
          <w:tab w:val="center" w:pos="4680"/>
        </w:tabs>
        <w:suppressAutoHyphens/>
        <w:jc w:val="center"/>
        <w:rPr>
          <w:bCs/>
          <w:i/>
          <w:iCs/>
        </w:rPr>
      </w:pPr>
      <w:r w:rsidRPr="000C7809">
        <w:rPr>
          <w:spacing w:val="-3"/>
        </w:rPr>
        <w:t xml:space="preserve">Andrea Vazquez, </w:t>
      </w:r>
      <w:r w:rsidRPr="00025002">
        <w:rPr>
          <w:bCs/>
          <w:i/>
          <w:iCs/>
        </w:rPr>
        <w:t>Legislative Director</w:t>
      </w:r>
    </w:p>
    <w:p w14:paraId="14B1C1AF" w14:textId="5EB2BC8B" w:rsidR="009D17E5" w:rsidRPr="0080002C" w:rsidRDefault="009D17E5" w:rsidP="0080002C">
      <w:pPr>
        <w:tabs>
          <w:tab w:val="center" w:pos="4680"/>
        </w:tabs>
        <w:jc w:val="center"/>
        <w:rPr>
          <w:i/>
        </w:rPr>
      </w:pPr>
      <w:r w:rsidRPr="00C423B6">
        <w:t>Smita Deshmukh</w:t>
      </w:r>
      <w:r>
        <w:rPr>
          <w:i/>
          <w:iCs/>
        </w:rPr>
        <w:t xml:space="preserve">, </w:t>
      </w:r>
      <w:r w:rsidRPr="007E450A">
        <w:rPr>
          <w:i/>
        </w:rPr>
        <w:t>Deputy Director, Human Services</w:t>
      </w:r>
    </w:p>
    <w:p w14:paraId="65D1AA03" w14:textId="77777777" w:rsidR="009D17E5" w:rsidRPr="009D17E5" w:rsidRDefault="009D17E5" w:rsidP="004226DB">
      <w:pPr>
        <w:suppressLineNumbers/>
        <w:rPr>
          <w:bCs/>
          <w:iCs/>
          <w:color w:val="000000"/>
          <w:sz w:val="20"/>
          <w:szCs w:val="20"/>
        </w:rPr>
      </w:pPr>
    </w:p>
    <w:p w14:paraId="736818A4" w14:textId="77777777" w:rsidR="009D17E5" w:rsidRPr="00025002" w:rsidRDefault="009D17E5" w:rsidP="009D17E5">
      <w:pPr>
        <w:pStyle w:val="Body"/>
        <w:suppressLineNumbers/>
        <w:spacing w:after="0" w:line="240" w:lineRule="auto"/>
        <w:jc w:val="center"/>
        <w:rPr>
          <w:rFonts w:ascii="Times New Roman" w:eastAsia="Times New Roman" w:hAnsi="Times New Roman" w:cs="Times New Roman"/>
          <w:b/>
          <w:caps/>
          <w:sz w:val="24"/>
          <w:szCs w:val="24"/>
          <w:u w:val="single"/>
        </w:rPr>
      </w:pPr>
      <w:r w:rsidRPr="00025002">
        <w:rPr>
          <w:rFonts w:ascii="Times New Roman" w:hAnsi="Times New Roman" w:cs="Times New Roman"/>
          <w:b/>
          <w:caps/>
          <w:sz w:val="24"/>
          <w:szCs w:val="24"/>
          <w:u w:val="single"/>
        </w:rPr>
        <w:t xml:space="preserve">Committee on </w:t>
      </w:r>
      <w:r>
        <w:rPr>
          <w:rFonts w:ascii="Times New Roman" w:hAnsi="Times New Roman" w:cs="Times New Roman"/>
          <w:b/>
          <w:caps/>
          <w:sz w:val="24"/>
          <w:szCs w:val="24"/>
          <w:u w:val="single"/>
        </w:rPr>
        <w:t>Women &amp; GEnder Equity</w:t>
      </w:r>
    </w:p>
    <w:p w14:paraId="7B863C31" w14:textId="77777777" w:rsidR="009D17E5" w:rsidRPr="00F046E0" w:rsidRDefault="009D17E5" w:rsidP="009D17E5">
      <w:pPr>
        <w:pStyle w:val="Body"/>
        <w:suppressLineNumbers/>
        <w:spacing w:after="0" w:line="240" w:lineRule="auto"/>
        <w:ind w:left="7920" w:hanging="7920"/>
        <w:jc w:val="center"/>
        <w:rPr>
          <w:rFonts w:ascii="Times New Roman" w:eastAsia="Times New Roman" w:hAnsi="Times New Roman" w:cs="Times New Roman"/>
          <w:bCs/>
          <w:sz w:val="24"/>
          <w:szCs w:val="24"/>
        </w:rPr>
      </w:pPr>
      <w:r w:rsidRPr="00F046E0">
        <w:rPr>
          <w:rFonts w:ascii="Times New Roman" w:hAnsi="Times New Roman" w:cs="Times New Roman"/>
          <w:bCs/>
          <w:sz w:val="24"/>
          <w:szCs w:val="24"/>
          <w:lang w:val="pt-PT"/>
        </w:rPr>
        <w:t xml:space="preserve">Hon. </w:t>
      </w:r>
      <w:r>
        <w:rPr>
          <w:rFonts w:ascii="Times New Roman" w:hAnsi="Times New Roman" w:cs="Times New Roman"/>
          <w:bCs/>
          <w:sz w:val="24"/>
          <w:szCs w:val="24"/>
          <w:lang w:val="pt-PT"/>
        </w:rPr>
        <w:t xml:space="preserve">Tiffany Cabán, </w:t>
      </w:r>
      <w:r w:rsidRPr="009F19E0">
        <w:rPr>
          <w:rFonts w:ascii="Times New Roman" w:hAnsi="Times New Roman" w:cs="Times New Roman"/>
          <w:bCs/>
          <w:i/>
          <w:iCs/>
          <w:sz w:val="24"/>
          <w:szCs w:val="24"/>
          <w:lang w:val="pt-PT"/>
        </w:rPr>
        <w:t>Chair</w:t>
      </w:r>
    </w:p>
    <w:p w14:paraId="6C3433A3" w14:textId="77777777" w:rsidR="009D17E5" w:rsidRDefault="009D17E5" w:rsidP="009D17E5">
      <w:pPr>
        <w:suppressLineNumbers/>
        <w:ind w:hanging="720"/>
        <w:jc w:val="center"/>
        <w:rPr>
          <w:bCs/>
          <w:color w:val="000000"/>
        </w:rPr>
      </w:pPr>
    </w:p>
    <w:p w14:paraId="1371BC03" w14:textId="64D11892" w:rsidR="009D17E5" w:rsidRDefault="008F1666" w:rsidP="00563A14">
      <w:pPr>
        <w:suppressLineNumbers/>
        <w:tabs>
          <w:tab w:val="center" w:pos="4680"/>
        </w:tabs>
        <w:jc w:val="center"/>
        <w:rPr>
          <w:color w:val="000000"/>
        </w:rPr>
      </w:pPr>
      <w:r>
        <w:rPr>
          <w:b/>
        </w:rPr>
        <w:t>June 1</w:t>
      </w:r>
      <w:r w:rsidR="009D17E5" w:rsidRPr="0088323F">
        <w:rPr>
          <w:b/>
        </w:rPr>
        <w:t>, 202</w:t>
      </w:r>
      <w:r w:rsidR="009D17E5">
        <w:rPr>
          <w:b/>
        </w:rPr>
        <w:t>2</w:t>
      </w:r>
    </w:p>
    <w:p w14:paraId="2947E20A" w14:textId="4350445D" w:rsidR="009D17E5" w:rsidRDefault="009D17E5" w:rsidP="00563A14">
      <w:pPr>
        <w:suppressLineNumbers/>
        <w:tabs>
          <w:tab w:val="center" w:pos="4680"/>
        </w:tabs>
        <w:rPr>
          <w:b/>
          <w:bCs/>
        </w:rPr>
      </w:pPr>
    </w:p>
    <w:p w14:paraId="795B7A19" w14:textId="77777777" w:rsidR="009D17E5" w:rsidRPr="009F19E0" w:rsidRDefault="009D17E5" w:rsidP="009D17E5">
      <w:pPr>
        <w:suppressLineNumbers/>
        <w:tabs>
          <w:tab w:val="center" w:pos="4680"/>
        </w:tabs>
        <w:jc w:val="center"/>
        <w:rPr>
          <w:b/>
          <w:bCs/>
        </w:rPr>
        <w:sectPr w:rsidR="009D17E5" w:rsidRPr="009F19E0" w:rsidSect="009F19E0">
          <w:footerReference w:type="even" r:id="rId9"/>
          <w:footerReference w:type="default" r:id="rId10"/>
          <w:type w:val="continuous"/>
          <w:pgSz w:w="12240" w:h="15840"/>
          <w:pgMar w:top="1440" w:right="1440" w:bottom="1440" w:left="1440" w:header="720" w:footer="720" w:gutter="0"/>
          <w:pgNumType w:start="1"/>
          <w:cols w:space="720"/>
          <w:titlePg/>
          <w:docGrid w:linePitch="360"/>
        </w:sectPr>
      </w:pPr>
    </w:p>
    <w:p w14:paraId="11429BBE" w14:textId="77777777" w:rsidR="00025002" w:rsidRPr="00BD243A" w:rsidRDefault="00025002" w:rsidP="009F19E0">
      <w:pPr>
        <w:rPr>
          <w:b/>
        </w:rPr>
      </w:pPr>
    </w:p>
    <w:tbl>
      <w:tblPr>
        <w:tblW w:w="10437" w:type="dxa"/>
        <w:tblInd w:w="-5" w:type="dxa"/>
        <w:tblLook w:val="04A0" w:firstRow="1" w:lastRow="0" w:firstColumn="1" w:lastColumn="0" w:noHBand="0" w:noVBand="1"/>
      </w:tblPr>
      <w:tblGrid>
        <w:gridCol w:w="3821"/>
        <w:gridCol w:w="6616"/>
      </w:tblGrid>
      <w:tr w:rsidR="00025002" w:rsidRPr="00BD243A" w14:paraId="516CA87A" w14:textId="77777777" w:rsidTr="002F6817">
        <w:trPr>
          <w:trHeight w:val="400"/>
        </w:trPr>
        <w:tc>
          <w:tcPr>
            <w:tcW w:w="3821" w:type="dxa"/>
            <w:shd w:val="clear" w:color="auto" w:fill="auto"/>
          </w:tcPr>
          <w:p w14:paraId="435D71D5" w14:textId="127C927A" w:rsidR="00025002" w:rsidRPr="0088323F" w:rsidRDefault="00563A14" w:rsidP="002F6817">
            <w:pPr>
              <w:widowControl w:val="0"/>
              <w:autoSpaceDE w:val="0"/>
              <w:autoSpaceDN w:val="0"/>
              <w:adjustRightInd w:val="0"/>
            </w:pPr>
            <w:r>
              <w:rPr>
                <w:b/>
                <w:u w:val="single"/>
              </w:rPr>
              <w:t xml:space="preserve">Proposed </w:t>
            </w:r>
            <w:r w:rsidR="00025002" w:rsidRPr="0088323F">
              <w:rPr>
                <w:b/>
                <w:u w:val="single"/>
              </w:rPr>
              <w:t xml:space="preserve">Int. No. </w:t>
            </w:r>
            <w:r w:rsidR="009F19E0">
              <w:rPr>
                <w:b/>
                <w:u w:val="single"/>
              </w:rPr>
              <w:t>179</w:t>
            </w:r>
            <w:r>
              <w:rPr>
                <w:b/>
                <w:u w:val="single"/>
              </w:rPr>
              <w:t>-A</w:t>
            </w:r>
            <w:r w:rsidR="00025002" w:rsidRPr="0088323F">
              <w:rPr>
                <w:b/>
                <w:u w:val="single"/>
              </w:rPr>
              <w:t>:</w:t>
            </w:r>
          </w:p>
        </w:tc>
        <w:tc>
          <w:tcPr>
            <w:tcW w:w="6616" w:type="dxa"/>
            <w:shd w:val="clear" w:color="auto" w:fill="auto"/>
          </w:tcPr>
          <w:p w14:paraId="72E4DFDA" w14:textId="2AD5B434" w:rsidR="00025002" w:rsidRPr="00563A14" w:rsidRDefault="00025002" w:rsidP="00563A14">
            <w:pPr>
              <w:suppressLineNumbers/>
              <w:jc w:val="both"/>
            </w:pPr>
            <w:r w:rsidRPr="0088323F">
              <w:t xml:space="preserve">By Council </w:t>
            </w:r>
            <w:r w:rsidR="009F19E0">
              <w:t>Member Moya</w:t>
            </w:r>
            <w:r w:rsidR="00563A14">
              <w:t>, Cabán, Stevens, Farías, Richardson Jordan, Menin, Won, De La Rosa, Nurse, Bottcher, Williams</w:t>
            </w:r>
            <w:r w:rsidRPr="0088323F">
              <w:br/>
            </w:r>
          </w:p>
        </w:tc>
      </w:tr>
      <w:tr w:rsidR="00025002" w:rsidRPr="00BD243A" w14:paraId="57119393" w14:textId="77777777" w:rsidTr="002F6817">
        <w:trPr>
          <w:trHeight w:val="747"/>
        </w:trPr>
        <w:tc>
          <w:tcPr>
            <w:tcW w:w="3821" w:type="dxa"/>
            <w:shd w:val="clear" w:color="auto" w:fill="auto"/>
          </w:tcPr>
          <w:p w14:paraId="50883AF1" w14:textId="77777777" w:rsidR="00025002" w:rsidRPr="00C362E7" w:rsidRDefault="00025002" w:rsidP="002F6817">
            <w:pPr>
              <w:widowControl w:val="0"/>
              <w:autoSpaceDE w:val="0"/>
              <w:autoSpaceDN w:val="0"/>
              <w:adjustRightInd w:val="0"/>
            </w:pPr>
            <w:r w:rsidRPr="00C362E7">
              <w:rPr>
                <w:b/>
                <w:u w:val="single"/>
              </w:rPr>
              <w:t>T</w:t>
            </w:r>
            <w:r>
              <w:rPr>
                <w:b/>
                <w:u w:val="single"/>
              </w:rPr>
              <w:t>itle</w:t>
            </w:r>
            <w:r w:rsidRPr="00C362E7">
              <w:rPr>
                <w:b/>
                <w:u w:val="single"/>
              </w:rPr>
              <w:t>:</w:t>
            </w:r>
          </w:p>
        </w:tc>
        <w:tc>
          <w:tcPr>
            <w:tcW w:w="6616" w:type="dxa"/>
            <w:shd w:val="clear" w:color="auto" w:fill="auto"/>
          </w:tcPr>
          <w:p w14:paraId="154A1B9A" w14:textId="06D51C5C" w:rsidR="00025002" w:rsidRPr="00C362E7" w:rsidRDefault="00025002" w:rsidP="00191EEA">
            <w:pPr>
              <w:widowControl w:val="0"/>
              <w:autoSpaceDE w:val="0"/>
              <w:autoSpaceDN w:val="0"/>
              <w:adjustRightInd w:val="0"/>
              <w:ind w:right="1050"/>
              <w:jc w:val="both"/>
            </w:pPr>
            <w:r w:rsidRPr="00C362E7">
              <w:t xml:space="preserve">A Local Law </w:t>
            </w:r>
            <w:r w:rsidR="00563A14" w:rsidRPr="00563A14">
              <w:t>in relation to a report on the role of women and gender non-binary, non-conforming, and intersex workers in nontraditional careers</w:t>
            </w:r>
            <w:r>
              <w:br/>
            </w:r>
          </w:p>
        </w:tc>
      </w:tr>
    </w:tbl>
    <w:p w14:paraId="48C76207" w14:textId="0BAF94E2" w:rsidR="007B2FB7" w:rsidRPr="009E3476" w:rsidRDefault="007B2FB7" w:rsidP="004827DC">
      <w:pPr>
        <w:pStyle w:val="ColorfulList-Accent11"/>
        <w:numPr>
          <w:ilvl w:val="0"/>
          <w:numId w:val="35"/>
        </w:numPr>
        <w:spacing w:line="480" w:lineRule="auto"/>
        <w:jc w:val="both"/>
        <w:rPr>
          <w:u w:val="single"/>
        </w:rPr>
      </w:pPr>
      <w:r w:rsidRPr="000C7809">
        <w:rPr>
          <w:rFonts w:ascii="Times New Roman" w:hAnsi="Times New Roman"/>
          <w:b/>
          <w:smallCaps/>
        </w:rPr>
        <w:t>I</w:t>
      </w:r>
      <w:r w:rsidR="00CB17F9" w:rsidRPr="000C7809">
        <w:rPr>
          <w:rFonts w:ascii="Times New Roman" w:hAnsi="Times New Roman"/>
          <w:b/>
          <w:smallCaps/>
        </w:rPr>
        <w:t>ntroduction</w:t>
      </w:r>
    </w:p>
    <w:p w14:paraId="24088D59" w14:textId="01A227EA" w:rsidR="00D76AAB" w:rsidRPr="00FD0BE1" w:rsidRDefault="00F046E0" w:rsidP="00563A14">
      <w:pPr>
        <w:spacing w:line="480" w:lineRule="auto"/>
        <w:ind w:firstLine="720"/>
        <w:jc w:val="both"/>
      </w:pPr>
      <w:r w:rsidRPr="0088323F">
        <w:t xml:space="preserve">On </w:t>
      </w:r>
      <w:r w:rsidR="00563A14">
        <w:t>June 1</w:t>
      </w:r>
      <w:r w:rsidRPr="0088323F">
        <w:t>, 202</w:t>
      </w:r>
      <w:r w:rsidR="009F19E0">
        <w:t>2</w:t>
      </w:r>
      <w:r w:rsidRPr="0088323F">
        <w:t xml:space="preserve">, </w:t>
      </w:r>
      <w:r w:rsidR="00563A14">
        <w:t xml:space="preserve">the </w:t>
      </w:r>
      <w:r w:rsidR="00A52381">
        <w:t>Committee on</w:t>
      </w:r>
      <w:r w:rsidR="009F19E0">
        <w:t xml:space="preserve"> </w:t>
      </w:r>
      <w:r w:rsidRPr="0088323F">
        <w:t xml:space="preserve">Women and Gender Equity, chaired by Council Member </w:t>
      </w:r>
      <w:r w:rsidR="009F19E0">
        <w:t>Tiffany Cabán</w:t>
      </w:r>
      <w:r w:rsidR="004854F7">
        <w:t xml:space="preserve">, </w:t>
      </w:r>
      <w:r w:rsidR="00563A14">
        <w:t xml:space="preserve">will hold a vote on Proposed </w:t>
      </w:r>
      <w:r>
        <w:t xml:space="preserve">Int. No. </w:t>
      </w:r>
      <w:r w:rsidR="009F19E0">
        <w:t>179</w:t>
      </w:r>
      <w:r w:rsidR="00563A14">
        <w:t>-A</w:t>
      </w:r>
      <w:r>
        <w:t xml:space="preserve">, sponsored by Council Member </w:t>
      </w:r>
      <w:r w:rsidR="006154BA">
        <w:t>Francisco</w:t>
      </w:r>
      <w:r w:rsidR="009F19E0">
        <w:t xml:space="preserve"> Moya</w:t>
      </w:r>
      <w:r>
        <w:t xml:space="preserve">, </w:t>
      </w:r>
      <w:r w:rsidR="00A52381">
        <w:t xml:space="preserve">in </w:t>
      </w:r>
      <w:r w:rsidR="00563A14" w:rsidRPr="00563A14">
        <w:t>relation to a report on the role of women and gender non-binary, non-conforming, and intersex workers in nontraditional careers</w:t>
      </w:r>
      <w:r w:rsidR="00563A14">
        <w:t xml:space="preserve">. This bill was originally heard at a joint </w:t>
      </w:r>
      <w:r w:rsidR="0080002C">
        <w:t xml:space="preserve">oversight </w:t>
      </w:r>
      <w:r w:rsidR="00563A14">
        <w:t>hearing of this Committee, the Committee</w:t>
      </w:r>
      <w:r w:rsidR="00563A14" w:rsidRPr="0088323F">
        <w:t xml:space="preserve"> on </w:t>
      </w:r>
      <w:r w:rsidR="00563A14">
        <w:t xml:space="preserve">Civil Service and Labor, chaired by Council Member </w:t>
      </w:r>
      <w:r w:rsidR="00563A14" w:rsidRPr="009F19E0">
        <w:t>Carmen De La Rosa</w:t>
      </w:r>
      <w:r w:rsidR="00563A14">
        <w:t xml:space="preserve">, and the Committee on Economic Development, chaired by Council Member Amanda Farías, </w:t>
      </w:r>
      <w:r w:rsidR="0080002C">
        <w:t>on April 19, 2022, regarding</w:t>
      </w:r>
      <w:r w:rsidR="00563A14" w:rsidRPr="0088323F">
        <w:t xml:space="preserve"> </w:t>
      </w:r>
      <w:r w:rsidR="00563A14" w:rsidRPr="006154BA">
        <w:rPr>
          <w:i/>
          <w:iCs/>
        </w:rPr>
        <w:t>Gender Diversity in the Trades</w:t>
      </w:r>
      <w:r w:rsidR="00563A14">
        <w:t xml:space="preserve">, at </w:t>
      </w:r>
      <w:r w:rsidR="00563A14">
        <w:lastRenderedPageBreak/>
        <w:t>which the Committee</w:t>
      </w:r>
      <w:r w:rsidR="0080002C">
        <w:t>s</w:t>
      </w:r>
      <w:r w:rsidR="00563A14">
        <w:t xml:space="preserve"> heard testimony from the </w:t>
      </w:r>
      <w:r w:rsidR="009F19E0" w:rsidRPr="004827DC">
        <w:t xml:space="preserve">New York City (“NYC” or “City”) Commission on Gender Equity, the </w:t>
      </w:r>
      <w:r w:rsidR="009F19E0" w:rsidRPr="008F41DC">
        <w:t xml:space="preserve">Mayor’s Office of Workforce Development (“WKDEV”), the </w:t>
      </w:r>
      <w:r w:rsidR="008F41DC" w:rsidRPr="008F41DC">
        <w:t>NYC</w:t>
      </w:r>
      <w:r w:rsidR="009F19E0" w:rsidRPr="008F41DC">
        <w:t xml:space="preserve"> Economic Development Corporation (“NYCEDC”), </w:t>
      </w:r>
      <w:r w:rsidR="0008719B">
        <w:t>the NYC Department of Small Business Services (“NYCSBS”),</w:t>
      </w:r>
      <w:r w:rsidR="008F41DC">
        <w:t xml:space="preserve"> and</w:t>
      </w:r>
      <w:r w:rsidR="009F19E0">
        <w:t xml:space="preserve"> the NYC Building &amp; Construction Trades Council, as well as advocacy groups and organizations, organized labor, other interested stakeholders and members of the public.</w:t>
      </w:r>
    </w:p>
    <w:p w14:paraId="77234AE6" w14:textId="44DFD6C6" w:rsidR="00346885" w:rsidRDefault="002F023D" w:rsidP="002A5C6E">
      <w:pPr>
        <w:pStyle w:val="ColorfulList-Accent11"/>
        <w:numPr>
          <w:ilvl w:val="0"/>
          <w:numId w:val="35"/>
        </w:numPr>
        <w:spacing w:line="480" w:lineRule="auto"/>
        <w:jc w:val="both"/>
        <w:rPr>
          <w:rFonts w:ascii="Times New Roman" w:hAnsi="Times New Roman"/>
          <w:b/>
          <w:smallCaps/>
        </w:rPr>
      </w:pPr>
      <w:r w:rsidRPr="00BF3412">
        <w:rPr>
          <w:rFonts w:ascii="Times New Roman" w:hAnsi="Times New Roman"/>
          <w:b/>
          <w:smallCaps/>
        </w:rPr>
        <w:t>Background</w:t>
      </w:r>
    </w:p>
    <w:p w14:paraId="025B4F2C" w14:textId="77777777" w:rsidR="009F19E0" w:rsidRPr="003B2821" w:rsidRDefault="009F19E0" w:rsidP="002A5C6E">
      <w:pPr>
        <w:pStyle w:val="paragraph"/>
        <w:spacing w:before="0" w:beforeAutospacing="0" w:after="0" w:afterAutospacing="0" w:line="480" w:lineRule="auto"/>
        <w:jc w:val="both"/>
        <w:textAlignment w:val="baseline"/>
        <w:rPr>
          <w:i/>
        </w:rPr>
      </w:pPr>
      <w:r w:rsidRPr="003B2821">
        <w:rPr>
          <w:i/>
        </w:rPr>
        <w:t>The Trades in New York City</w:t>
      </w:r>
    </w:p>
    <w:p w14:paraId="03F90E0D" w14:textId="075F9CC7" w:rsidR="009F19E0" w:rsidRDefault="009F19E0" w:rsidP="002A5C6E">
      <w:pPr>
        <w:pStyle w:val="paragraph"/>
        <w:spacing w:before="0" w:beforeAutospacing="0" w:after="0" w:afterAutospacing="0" w:line="480" w:lineRule="auto"/>
        <w:ind w:firstLine="720"/>
        <w:jc w:val="both"/>
        <w:textAlignment w:val="baseline"/>
      </w:pPr>
      <w:r>
        <w:t xml:space="preserve">Skilled trade occupations (“trades”), </w:t>
      </w:r>
      <w:r w:rsidR="004854F7">
        <w:t xml:space="preserve">which are </w:t>
      </w:r>
      <w:r>
        <w:t xml:space="preserve">typically hands-on jobs that require a particular </w:t>
      </w:r>
      <w:r w:rsidR="00A52381">
        <w:t>skillset</w:t>
      </w:r>
      <w:r>
        <w:t xml:space="preserve">, knowledge, or ability, provide structured career </w:t>
      </w:r>
      <w:r w:rsidR="00A52381">
        <w:t>pathways</w:t>
      </w:r>
      <w:r>
        <w:t xml:space="preserve"> with high pay and good benefits.</w:t>
      </w:r>
      <w:r>
        <w:rPr>
          <w:rStyle w:val="FootnoteReference"/>
        </w:rPr>
        <w:footnoteReference w:id="2"/>
      </w:r>
      <w:r>
        <w:t xml:space="preserve"> Many job titles in the trades do not require a college degree and, instead, require appre</w:t>
      </w:r>
      <w:r w:rsidR="002A5C6E">
        <w:t xml:space="preserve">nticeship training or moderate </w:t>
      </w:r>
      <w:r>
        <w:t>to long-term on-the-job training, during which apprentices are paid while learning specialized skills.</w:t>
      </w:r>
      <w:r>
        <w:rPr>
          <w:rStyle w:val="FootnoteReference"/>
        </w:rPr>
        <w:footnoteReference w:id="3"/>
      </w:r>
      <w:r>
        <w:t xml:space="preserve"> In NYC, the trades industry encompasses about 130 different construction and non-construction occupations.</w:t>
      </w:r>
      <w:r>
        <w:rPr>
          <w:rStyle w:val="FootnoteReference"/>
        </w:rPr>
        <w:footnoteReference w:id="4"/>
      </w:r>
      <w:r>
        <w:t xml:space="preserve"> Among the most common occupations are laborers, carpenters, construction managers, electricians, and pipe-layers and plumbers.</w:t>
      </w:r>
      <w:r>
        <w:rPr>
          <w:rStyle w:val="FootnoteReference"/>
        </w:rPr>
        <w:footnoteReference w:id="5"/>
      </w:r>
    </w:p>
    <w:p w14:paraId="35A0DCEF" w14:textId="02219D88" w:rsidR="008F41DC" w:rsidRDefault="009F19E0" w:rsidP="002A5C6E">
      <w:pPr>
        <w:pStyle w:val="paragraph"/>
        <w:spacing w:before="0" w:beforeAutospacing="0" w:after="0" w:afterAutospacing="0" w:line="480" w:lineRule="auto"/>
        <w:ind w:firstLine="720"/>
        <w:jc w:val="both"/>
        <w:textAlignment w:val="baseline"/>
      </w:pPr>
      <w:r>
        <w:t xml:space="preserve">Although the COVID-19 pandemic halted the growth of the United States (U.S.) construction industry in 2020, </w:t>
      </w:r>
      <w:r w:rsidR="004854F7">
        <w:t>the industry had been experiencing strong growth</w:t>
      </w:r>
      <w:r>
        <w:t>.</w:t>
      </w:r>
      <w:r>
        <w:rPr>
          <w:rStyle w:val="FootnoteReference"/>
        </w:rPr>
        <w:footnoteReference w:id="6"/>
      </w:r>
      <w:r w:rsidR="008F41DC">
        <w:t xml:space="preserve"> In the nine years prior to the pandemic, the New York State (“New York” or “State”) construction industry added 99,800 jobs at an average annual rate of 3.2 percent.</w:t>
      </w:r>
      <w:r w:rsidR="008F41DC">
        <w:rPr>
          <w:rStyle w:val="FootnoteReference"/>
        </w:rPr>
        <w:footnoteReference w:id="7"/>
      </w:r>
      <w:r w:rsidR="008F41DC">
        <w:t xml:space="preserve"> </w:t>
      </w:r>
      <w:r w:rsidR="008F41DC" w:rsidRPr="008F41DC">
        <w:t>Following a record</w:t>
      </w:r>
      <w:r w:rsidR="008F41DC">
        <w:t xml:space="preserve"> addition of</w:t>
      </w:r>
      <w:r w:rsidR="008F41DC" w:rsidRPr="008F41DC">
        <w:t xml:space="preserve"> 406,600 </w:t>
      </w:r>
      <w:r w:rsidR="008F41DC">
        <w:t xml:space="preserve">jobs </w:t>
      </w:r>
      <w:r w:rsidR="008F41DC" w:rsidRPr="008F41DC">
        <w:t xml:space="preserve">in 2019, the industry lost 44,000 jobs (10.9 percent), falling to 362,200 </w:t>
      </w:r>
      <w:r w:rsidR="008F41DC">
        <w:t xml:space="preserve">jobs </w:t>
      </w:r>
      <w:r w:rsidR="008F41DC" w:rsidRPr="008F41DC">
        <w:t>in 2020</w:t>
      </w:r>
      <w:r w:rsidR="008F41DC">
        <w:t>.</w:t>
      </w:r>
      <w:r w:rsidR="008F41DC">
        <w:rPr>
          <w:rStyle w:val="FootnoteReference"/>
        </w:rPr>
        <w:footnoteReference w:id="8"/>
      </w:r>
      <w:r w:rsidR="008F41DC">
        <w:t xml:space="preserve"> While this was the worst annual decline in more than 25 years, the change was 0.7 percent less severe than the decline seen in the State’s overall total private employment performance.</w:t>
      </w:r>
      <w:r w:rsidR="008F41DC">
        <w:rPr>
          <w:rStyle w:val="FootnoteReference"/>
        </w:rPr>
        <w:footnoteReference w:id="9"/>
      </w:r>
      <w:r w:rsidR="008F41DC">
        <w:t xml:space="preserve"> More recently, in October 2021, the New York Building Congress reported an expected resurgence in spending and job creation, projecting the City’s building industry will spend $174.1 billion over the next three years.</w:t>
      </w:r>
      <w:r w:rsidR="008F41DC">
        <w:rPr>
          <w:rStyle w:val="FootnoteReference"/>
        </w:rPr>
        <w:footnoteReference w:id="10"/>
      </w:r>
    </w:p>
    <w:p w14:paraId="437D6CE2" w14:textId="1653B552" w:rsidR="00F15969" w:rsidRDefault="00081730" w:rsidP="002A5C6E">
      <w:pPr>
        <w:pStyle w:val="paragraph"/>
        <w:spacing w:before="0" w:beforeAutospacing="0" w:after="0" w:afterAutospacing="0" w:line="480" w:lineRule="auto"/>
        <w:ind w:firstLine="720"/>
        <w:jc w:val="both"/>
        <w:textAlignment w:val="baseline"/>
      </w:pPr>
      <w:r>
        <w:t>From 2010 to 2019, the average salary in the construction industry increased by 20.5 percent, one percent faster than in the overall private sector.</w:t>
      </w:r>
      <w:r>
        <w:rPr>
          <w:rStyle w:val="FootnoteReference"/>
        </w:rPr>
        <w:footnoteReference w:id="11"/>
      </w:r>
      <w:r>
        <w:t xml:space="preserve"> By</w:t>
      </w:r>
      <w:r w:rsidR="004854F7">
        <w:t xml:space="preserve"> 2020, construction was the fourth highest-paying employment sector in NYC, with an average salary of $87,200, which was 11.5 percent higher than the statewide average</w:t>
      </w:r>
      <w:r>
        <w:t>.</w:t>
      </w:r>
      <w:r>
        <w:rPr>
          <w:rStyle w:val="FootnoteReference"/>
        </w:rPr>
        <w:footnoteReference w:id="12"/>
      </w:r>
      <w:r>
        <w:t xml:space="preserve"> It was also </w:t>
      </w:r>
      <w:r w:rsidR="004854F7">
        <w:t xml:space="preserve">the </w:t>
      </w:r>
      <w:r>
        <w:t>highest-paid</w:t>
      </w:r>
      <w:r w:rsidR="004854F7">
        <w:t xml:space="preserve"> sector among the State’s metropolitan areas.</w:t>
      </w:r>
      <w:r w:rsidR="004854F7">
        <w:rPr>
          <w:rStyle w:val="FootnoteReference"/>
        </w:rPr>
        <w:footnoteReference w:id="13"/>
      </w:r>
      <w:r w:rsidR="004854F7">
        <w:t xml:space="preserve"> While total wages in construction declined in 2020, for the first time since 2010, the average salary increased by four percent.</w:t>
      </w:r>
      <w:r w:rsidR="004854F7">
        <w:rPr>
          <w:rStyle w:val="FootnoteReference"/>
        </w:rPr>
        <w:footnoteReference w:id="14"/>
      </w:r>
      <w:r w:rsidR="004854F7">
        <w:t xml:space="preserve"> </w:t>
      </w:r>
    </w:p>
    <w:p w14:paraId="22DAD91C" w14:textId="77777777" w:rsidR="00C14A55" w:rsidRDefault="00A52381" w:rsidP="00C14A55">
      <w:pPr>
        <w:pStyle w:val="paragraph"/>
        <w:spacing w:before="0" w:beforeAutospacing="0" w:after="0" w:afterAutospacing="0" w:line="480" w:lineRule="auto"/>
        <w:ind w:firstLine="720"/>
        <w:jc w:val="both"/>
        <w:textAlignment w:val="baseline"/>
      </w:pPr>
      <w:r w:rsidRPr="003B2821">
        <w:t>In 2019, there was a total of 284,400 workers, of which 73 percent lived in NYC, in the City’s construction industry.</w:t>
      </w:r>
      <w:r w:rsidRPr="003B2821">
        <w:rPr>
          <w:vertAlign w:val="superscript"/>
        </w:rPr>
        <w:footnoteReference w:id="15"/>
      </w:r>
      <w:r>
        <w:t xml:space="preserve"> Of that total, 53 percent of those jobs were held by immigrants, which is a much higher share than the rest of the State and country.</w:t>
      </w:r>
      <w:r>
        <w:rPr>
          <w:rStyle w:val="FootnoteReference"/>
        </w:rPr>
        <w:footnoteReference w:id="16"/>
      </w:r>
      <w:r>
        <w:t xml:space="preserve"> </w:t>
      </w:r>
      <w:r w:rsidR="00DA601E">
        <w:t>According to the 2020 U.S. Census Bureau’s one-year American Community Survey</w:t>
      </w:r>
      <w:r w:rsidR="004C2660">
        <w:t xml:space="preserve"> (“Census Survey”)</w:t>
      </w:r>
      <w:r w:rsidR="00DA601E">
        <w:t xml:space="preserve">, </w:t>
      </w:r>
      <w:r w:rsidR="009F19E0">
        <w:t xml:space="preserve">66 percent of the </w:t>
      </w:r>
      <w:r w:rsidR="004854F7">
        <w:t xml:space="preserve">construction industry </w:t>
      </w:r>
      <w:r w:rsidR="009F19E0">
        <w:t>workforce identified as U.S. citizens</w:t>
      </w:r>
      <w:r>
        <w:t xml:space="preserve"> in 2019.</w:t>
      </w:r>
      <w:r>
        <w:rPr>
          <w:rStyle w:val="FootnoteReference"/>
        </w:rPr>
        <w:footnoteReference w:id="17"/>
      </w:r>
      <w:r w:rsidR="004C2660" w:rsidRPr="004C2660">
        <w:t xml:space="preserve"> </w:t>
      </w:r>
      <w:r w:rsidR="004C2660">
        <w:t>Workers that identified as Hispanic comprised 39 percent of the industry, white workers comprised 37 percent of the industry, Black or African American workers comprised 14 percent, and Asians comprised nine percent.</w:t>
      </w:r>
      <w:r w:rsidR="004C2660">
        <w:rPr>
          <w:rStyle w:val="FootnoteReference"/>
        </w:rPr>
        <w:footnoteReference w:id="18"/>
      </w:r>
      <w:r w:rsidR="004C2660">
        <w:t xml:space="preserve"> Additionally, o</w:t>
      </w:r>
      <w:r>
        <w:t>ver 56 percent of workers had no college experience, which is higher than in any other sector</w:t>
      </w:r>
      <w:r w:rsidR="009F19E0">
        <w:t>.</w:t>
      </w:r>
      <w:r w:rsidR="009F19E0">
        <w:rPr>
          <w:rStyle w:val="FootnoteReference"/>
        </w:rPr>
        <w:footnoteReference w:id="19"/>
      </w:r>
      <w:r w:rsidR="004C2660">
        <w:t xml:space="preserve"> Lastly</w:t>
      </w:r>
      <w:r w:rsidR="00073D59">
        <w:t>, a</w:t>
      </w:r>
      <w:r w:rsidR="009F19E0">
        <w:t>ccording to the Building and Construction Trades Council of Greater New York (“</w:t>
      </w:r>
      <w:r w:rsidR="00C64825">
        <w:t>BCTC</w:t>
      </w:r>
      <w:r w:rsidR="009F19E0">
        <w:t>”), there are 124,100 unionized construction workers in NYC, representing more than half the workers in the trades.</w:t>
      </w:r>
      <w:r w:rsidR="009F19E0">
        <w:rPr>
          <w:rStyle w:val="FootnoteReference"/>
        </w:rPr>
        <w:footnoteReference w:id="20"/>
      </w:r>
    </w:p>
    <w:p w14:paraId="588D6019" w14:textId="013329E5" w:rsidR="00C14A55" w:rsidRDefault="00C14A55" w:rsidP="00C14A55">
      <w:pPr>
        <w:pStyle w:val="paragraph"/>
        <w:spacing w:before="0" w:beforeAutospacing="0" w:after="0" w:afterAutospacing="0" w:line="480" w:lineRule="auto"/>
        <w:ind w:firstLine="720"/>
        <w:jc w:val="both"/>
        <w:textAlignment w:val="baseline"/>
      </w:pPr>
      <w:r>
        <w:rPr>
          <w:rStyle w:val="normaltextrun"/>
          <w:color w:val="000000"/>
          <w:shd w:val="clear" w:color="auto" w:fill="FFFFFF"/>
        </w:rPr>
        <w:t>With regard to gender, women represent a small but growing share of the workers in the construction industry.</w:t>
      </w:r>
      <w:r>
        <w:rPr>
          <w:rStyle w:val="superscript"/>
          <w:color w:val="000000"/>
          <w:sz w:val="19"/>
          <w:szCs w:val="19"/>
          <w:shd w:val="clear" w:color="auto" w:fill="FFFFFF"/>
          <w:vertAlign w:val="superscript"/>
        </w:rPr>
        <w:t>19</w:t>
      </w:r>
      <w:r>
        <w:rPr>
          <w:rStyle w:val="normaltextrun"/>
          <w:color w:val="000000"/>
          <w:shd w:val="clear" w:color="auto" w:fill="FFFFFF"/>
        </w:rPr>
        <w:t xml:space="preserve"> Between 2009 and 2019, the number of women in the industry in the City increased by 63 percent,</w:t>
      </w:r>
      <w:r>
        <w:rPr>
          <w:rStyle w:val="superscript"/>
          <w:color w:val="000000"/>
          <w:sz w:val="19"/>
          <w:szCs w:val="19"/>
          <w:shd w:val="clear" w:color="auto" w:fill="FFFFFF"/>
          <w:vertAlign w:val="superscript"/>
        </w:rPr>
        <w:t>20</w:t>
      </w:r>
      <w:r>
        <w:rPr>
          <w:rStyle w:val="normaltextrun"/>
          <w:color w:val="000000"/>
          <w:shd w:val="clear" w:color="auto" w:fill="FFFFFF"/>
        </w:rPr>
        <w:t xml:space="preserve"> but the percentage decreased from 9.5 percent in 2019 to 8.7 percent in 2020.</w:t>
      </w:r>
      <w:r>
        <w:rPr>
          <w:rStyle w:val="superscript"/>
          <w:color w:val="000000"/>
          <w:sz w:val="19"/>
          <w:szCs w:val="19"/>
          <w:shd w:val="clear" w:color="auto" w:fill="FFFFFF"/>
          <w:vertAlign w:val="superscript"/>
        </w:rPr>
        <w:t>21</w:t>
      </w:r>
      <w:r>
        <w:rPr>
          <w:rStyle w:val="normaltextrun"/>
          <w:color w:val="000000"/>
          <w:shd w:val="clear" w:color="auto" w:fill="FFFFFF"/>
        </w:rPr>
        <w:t xml:space="preserve"> However, data show that the gender pay gap in the industry is much narrower than the national average; 61 percent of women in the industry earn over $50,000 compared to 49 percent of men.</w:t>
      </w:r>
      <w:r>
        <w:rPr>
          <w:rStyle w:val="superscript"/>
          <w:color w:val="000000"/>
          <w:sz w:val="19"/>
          <w:szCs w:val="19"/>
          <w:shd w:val="clear" w:color="auto" w:fill="FFFFFF"/>
          <w:vertAlign w:val="superscript"/>
        </w:rPr>
        <w:t>22</w:t>
      </w:r>
      <w:r>
        <w:rPr>
          <w:rStyle w:val="eop"/>
          <w:color w:val="000000"/>
          <w:shd w:val="clear" w:color="auto" w:fill="FFFFFF"/>
        </w:rPr>
        <w:t> </w:t>
      </w:r>
    </w:p>
    <w:p w14:paraId="3A1D123C" w14:textId="63260524" w:rsidR="004854F7" w:rsidRPr="009846ED" w:rsidRDefault="009846ED" w:rsidP="004854F7">
      <w:pPr>
        <w:pStyle w:val="paragraph"/>
        <w:spacing w:before="0" w:beforeAutospacing="0" w:after="0" w:afterAutospacing="0" w:line="480" w:lineRule="auto"/>
        <w:jc w:val="both"/>
        <w:textAlignment w:val="baseline"/>
        <w:rPr>
          <w:i/>
        </w:rPr>
      </w:pPr>
      <w:r>
        <w:rPr>
          <w:i/>
        </w:rPr>
        <w:t xml:space="preserve">Barriers to Recruitment and Retention </w:t>
      </w:r>
      <w:r w:rsidR="00C14A55">
        <w:rPr>
          <w:i/>
        </w:rPr>
        <w:t>of Women in the Trades</w:t>
      </w:r>
    </w:p>
    <w:p w14:paraId="1FF35AD2" w14:textId="557129C8" w:rsidR="00A52381" w:rsidRDefault="00A52381" w:rsidP="00A52381">
      <w:pPr>
        <w:pStyle w:val="paragraph"/>
        <w:spacing w:before="0" w:beforeAutospacing="0" w:after="0" w:afterAutospacing="0" w:line="480" w:lineRule="auto"/>
        <w:ind w:firstLine="720"/>
        <w:jc w:val="both"/>
        <w:textAlignment w:val="baseline"/>
      </w:pPr>
      <w:r>
        <w:t>Historically</w:t>
      </w:r>
      <w:r w:rsidR="00475EB0">
        <w:t xml:space="preserve">, racial and gender discrimination </w:t>
      </w:r>
      <w:r>
        <w:t>has</w:t>
      </w:r>
      <w:r w:rsidR="00475EB0">
        <w:t xml:space="preserve"> been prevalent in the construction trades nationally and</w:t>
      </w:r>
      <w:r>
        <w:t>, in particular, in NYC.</w:t>
      </w:r>
      <w:r>
        <w:rPr>
          <w:rStyle w:val="FootnoteReference"/>
        </w:rPr>
        <w:footnoteReference w:id="21"/>
      </w:r>
      <w:r>
        <w:t xml:space="preserve"> Following decades of demonstrations and pressure, including litigation brought under Ti</w:t>
      </w:r>
      <w:r w:rsidR="00C14A55">
        <w:t>tle VII of the Civil Rights Act</w:t>
      </w:r>
      <w:r>
        <w:t xml:space="preserve"> by civil rights and community groups, </w:t>
      </w:r>
      <w:r w:rsidR="00475EB0">
        <w:t xml:space="preserve">a combination of government monitoring and court and regulatory rulings resulted in </w:t>
      </w:r>
      <w:r>
        <w:t>some changes to increase</w:t>
      </w:r>
      <w:r w:rsidR="00475EB0">
        <w:t xml:space="preserve"> diversity in the City’s construction industry.</w:t>
      </w:r>
      <w:r w:rsidR="00475EB0">
        <w:rPr>
          <w:rStyle w:val="FootnoteReference"/>
        </w:rPr>
        <w:footnoteReference w:id="22"/>
      </w:r>
      <w:r w:rsidR="00475EB0">
        <w:t xml:space="preserve"> In 2009, a memorandum of unders</w:t>
      </w:r>
      <w:r w:rsidR="00C14A55">
        <w:t>tanding was entered into by the BCTC</w:t>
      </w:r>
      <w:r w:rsidR="00475EB0">
        <w:t xml:space="preserve"> to “promote diversity” in 24 union apprenticeship programs.</w:t>
      </w:r>
      <w:r w:rsidR="00475EB0">
        <w:rPr>
          <w:rStyle w:val="FootnoteReference"/>
        </w:rPr>
        <w:footnoteReference w:id="23"/>
      </w:r>
      <w:r w:rsidR="00475EB0">
        <w:t xml:space="preserve"> As a result, by 2012, two-thirds of the City’s 5,743 registered apprentices were people of color and almost 11 percent were women.</w:t>
      </w:r>
      <w:r w:rsidR="00475EB0">
        <w:rPr>
          <w:rStyle w:val="FootnoteReference"/>
        </w:rPr>
        <w:footnoteReference w:id="24"/>
      </w:r>
    </w:p>
    <w:p w14:paraId="4BEA7297" w14:textId="2A378F59" w:rsidR="00C14A55" w:rsidRDefault="00A52381" w:rsidP="004E2A64">
      <w:pPr>
        <w:pStyle w:val="paragraph"/>
        <w:spacing w:before="0" w:beforeAutospacing="0" w:after="0" w:afterAutospacing="0" w:line="480" w:lineRule="auto"/>
        <w:ind w:firstLine="720"/>
        <w:jc w:val="both"/>
        <w:textAlignment w:val="baseline"/>
      </w:pPr>
      <w:r>
        <w:t>Nationally</w:t>
      </w:r>
      <w:r w:rsidR="00475EB0">
        <w:t>, results from the Institute for Women’s Policy Research’s (IWPR) 2021 Tradeswomen’s Retention and Advancement Survey (“</w:t>
      </w:r>
      <w:r w:rsidR="008657E2">
        <w:t>IWPR Survey</w:t>
      </w:r>
      <w:r w:rsidR="00475EB0">
        <w:t>”) show that the challenge for improving gender diversity in construction apprenticeships is retention as much as recruitment.</w:t>
      </w:r>
      <w:r w:rsidR="00475EB0">
        <w:rPr>
          <w:rStyle w:val="FootnoteReference"/>
        </w:rPr>
        <w:footnoteReference w:id="25"/>
      </w:r>
    </w:p>
    <w:p w14:paraId="46DF9377" w14:textId="6C2F302F" w:rsidR="00A52381" w:rsidRDefault="00A52381" w:rsidP="00C14A55">
      <w:pPr>
        <w:pStyle w:val="paragraph"/>
        <w:spacing w:before="0" w:beforeAutospacing="0" w:after="0" w:afterAutospacing="0" w:line="480" w:lineRule="auto"/>
        <w:ind w:firstLine="720"/>
        <w:jc w:val="both"/>
        <w:textAlignment w:val="baseline"/>
      </w:pPr>
      <w:r>
        <w:t>While many women who work in the trades have reported feeling respected and enjoying their work and the support and comradery among co-workers, many others face isolation,</w:t>
      </w:r>
      <w:r w:rsidR="00C14A55">
        <w:t xml:space="preserve"> </w:t>
      </w:r>
      <w:r>
        <w:t xml:space="preserve">are held to a different standard than their male co-workers, and must contend with an </w:t>
      </w:r>
      <w:r w:rsidR="00C14A55">
        <w:t>unsupportive</w:t>
      </w:r>
      <w:r>
        <w:t xml:space="preserve"> or even hostile work environment.</w:t>
      </w:r>
      <w:r>
        <w:rPr>
          <w:rStyle w:val="FootnoteReference"/>
        </w:rPr>
        <w:footnoteReference w:id="26"/>
      </w:r>
      <w:r>
        <w:t xml:space="preserve"> </w:t>
      </w:r>
      <w:r w:rsidR="009F19E0">
        <w:t xml:space="preserve">A 2019 NBC News profile of eight women in the City’s construction trades exposed the reality of being a woman in </w:t>
      </w:r>
      <w:r w:rsidR="00475EB0">
        <w:t>a</w:t>
      </w:r>
      <w:r w:rsidR="009F19E0">
        <w:t xml:space="preserve"> male-dominated industry, </w:t>
      </w:r>
      <w:r w:rsidR="008657E2">
        <w:t>which included issues related to</w:t>
      </w:r>
      <w:r w:rsidR="009846ED">
        <w:t xml:space="preserve"> </w:t>
      </w:r>
      <w:r w:rsidR="00475EB0">
        <w:t xml:space="preserve">(1) </w:t>
      </w:r>
      <w:r w:rsidR="009F19E0">
        <w:t xml:space="preserve">being the only woman on the job, </w:t>
      </w:r>
      <w:r w:rsidR="00475EB0">
        <w:t xml:space="preserve">(2) </w:t>
      </w:r>
      <w:r w:rsidR="009F19E0">
        <w:t xml:space="preserve">sexual harassment, </w:t>
      </w:r>
      <w:r w:rsidR="00475EB0">
        <w:t xml:space="preserve">(3) </w:t>
      </w:r>
      <w:r w:rsidR="009846ED">
        <w:t>a lack of</w:t>
      </w:r>
      <w:r w:rsidR="009F19E0">
        <w:t xml:space="preserve"> separate changing room</w:t>
      </w:r>
      <w:r w:rsidR="009846ED">
        <w:t>s</w:t>
      </w:r>
      <w:r w:rsidR="009F19E0">
        <w:t xml:space="preserve"> or restroom</w:t>
      </w:r>
      <w:r w:rsidR="009846ED">
        <w:t>s at the job site</w:t>
      </w:r>
      <w:r w:rsidR="009F19E0">
        <w:t xml:space="preserve">, </w:t>
      </w:r>
      <w:r w:rsidR="00475EB0">
        <w:t xml:space="preserve">(4) </w:t>
      </w:r>
      <w:r w:rsidR="009F19E0">
        <w:t xml:space="preserve">being passed over </w:t>
      </w:r>
      <w:r w:rsidR="009846ED">
        <w:t xml:space="preserve">for promotions </w:t>
      </w:r>
      <w:r w:rsidR="009F19E0">
        <w:t>due to concern</w:t>
      </w:r>
      <w:r w:rsidR="009846ED">
        <w:t>s</w:t>
      </w:r>
      <w:r w:rsidR="009F19E0">
        <w:t xml:space="preserve"> that </w:t>
      </w:r>
      <w:r w:rsidR="008657E2">
        <w:t>they</w:t>
      </w:r>
      <w:r w:rsidR="009F19E0">
        <w:t xml:space="preserve"> will miss work to care for their children, and </w:t>
      </w:r>
      <w:r w:rsidR="00475EB0">
        <w:t xml:space="preserve">(5) </w:t>
      </w:r>
      <w:r w:rsidR="009F19E0">
        <w:t xml:space="preserve">being </w:t>
      </w:r>
      <w:r w:rsidR="009846ED">
        <w:t>“</w:t>
      </w:r>
      <w:r w:rsidR="009F19E0">
        <w:t>berated for working in the industry as a woman.</w:t>
      </w:r>
      <w:r w:rsidR="009846ED">
        <w:t>”</w:t>
      </w:r>
      <w:r w:rsidR="009F19E0">
        <w:rPr>
          <w:rStyle w:val="FootnoteReference"/>
        </w:rPr>
        <w:footnoteReference w:id="27"/>
      </w:r>
    </w:p>
    <w:p w14:paraId="74BCD7C5" w14:textId="4D7C9087" w:rsidR="008235D7" w:rsidRDefault="00A52381" w:rsidP="008235D7">
      <w:pPr>
        <w:pStyle w:val="paragraph"/>
        <w:spacing w:before="0" w:beforeAutospacing="0" w:after="0" w:afterAutospacing="0" w:line="480" w:lineRule="auto"/>
        <w:ind w:firstLine="720"/>
        <w:jc w:val="both"/>
        <w:textAlignment w:val="baseline"/>
      </w:pPr>
      <w:r>
        <w:t>Male-dominated workplaces are a risk factor for workplace sexual harassment and assault, and being</w:t>
      </w:r>
      <w:r w:rsidR="009F19E0">
        <w:t xml:space="preserve"> isolated at work can be alienating and dangerous for women working in the trades</w:t>
      </w:r>
      <w:r w:rsidR="00475EB0">
        <w:t>.</w:t>
      </w:r>
      <w:r w:rsidR="009F19E0">
        <w:rPr>
          <w:rStyle w:val="FootnoteReference"/>
        </w:rPr>
        <w:footnoteReference w:id="28"/>
      </w:r>
      <w:r w:rsidR="00475EB0">
        <w:t xml:space="preserve"> </w:t>
      </w:r>
      <w:r w:rsidR="009F19E0">
        <w:t xml:space="preserve">Nationally, </w:t>
      </w:r>
      <w:r w:rsidR="009846ED">
        <w:t xml:space="preserve">the </w:t>
      </w:r>
      <w:r w:rsidR="009F19E0">
        <w:t xml:space="preserve">IWPR </w:t>
      </w:r>
      <w:r w:rsidR="008657E2">
        <w:t>S</w:t>
      </w:r>
      <w:r w:rsidR="009F19E0">
        <w:t>urvey found that 26.5 percent of respondents reported that they always or frequently experience gender-based harassment</w:t>
      </w:r>
      <w:r w:rsidR="009846ED">
        <w:t xml:space="preserve">, </w:t>
      </w:r>
      <w:r w:rsidR="009F19E0">
        <w:t>23.6 percent always or frequently experience sexual harassment</w:t>
      </w:r>
      <w:r w:rsidR="009846ED">
        <w:t>,</w:t>
      </w:r>
      <w:r w:rsidR="009F19E0">
        <w:t xml:space="preserve"> </w:t>
      </w:r>
      <w:r w:rsidR="009846ED">
        <w:t>and</w:t>
      </w:r>
      <w:r w:rsidR="009F19E0">
        <w:t xml:space="preserve"> 21.7 percent of respondents of color reported always or frequently experiencing racial harassment.</w:t>
      </w:r>
      <w:r w:rsidR="009F19E0">
        <w:rPr>
          <w:rStyle w:val="FootnoteReference"/>
        </w:rPr>
        <w:footnoteReference w:id="29"/>
      </w:r>
      <w:r w:rsidR="009F19E0">
        <w:t xml:space="preserve"> Relatedly, 19 percent of LGBTQ+ respondents reported that they suffer harassment based on sexual orientation.</w:t>
      </w:r>
      <w:r w:rsidR="009F19E0">
        <w:rPr>
          <w:rStyle w:val="FootnoteReference"/>
        </w:rPr>
        <w:footnoteReference w:id="30"/>
      </w:r>
      <w:r w:rsidR="009F19E0">
        <w:t xml:space="preserve"> Overall, 25.2 percent of survey respondents reported that they are always or frequently told that they are on the job solely to fill a quota.</w:t>
      </w:r>
      <w:r w:rsidR="009F19E0">
        <w:rPr>
          <w:rStyle w:val="FootnoteReference"/>
        </w:rPr>
        <w:footnoteReference w:id="31"/>
      </w:r>
      <w:r w:rsidR="008235D7">
        <w:t xml:space="preserve"> </w:t>
      </w:r>
    </w:p>
    <w:p w14:paraId="740D9D84" w14:textId="641743EC" w:rsidR="009F19E0" w:rsidRDefault="009F19E0" w:rsidP="008235D7">
      <w:pPr>
        <w:pStyle w:val="paragraph"/>
        <w:spacing w:before="0" w:beforeAutospacing="0" w:after="0" w:afterAutospacing="0" w:line="480" w:lineRule="auto"/>
        <w:ind w:firstLine="720"/>
        <w:jc w:val="both"/>
        <w:textAlignment w:val="baseline"/>
      </w:pPr>
      <w:r>
        <w:t xml:space="preserve">Another </w:t>
      </w:r>
      <w:r w:rsidR="00A52381">
        <w:t>result</w:t>
      </w:r>
      <w:r>
        <w:t xml:space="preserve"> of being a woman in a male-dominated workplace is the feeling of not being treated equally to men.</w:t>
      </w:r>
      <w:r>
        <w:rPr>
          <w:rStyle w:val="FootnoteReference"/>
        </w:rPr>
        <w:footnoteReference w:id="32"/>
      </w:r>
      <w:r w:rsidRPr="00527F77">
        <w:t xml:space="preserve"> </w:t>
      </w:r>
      <w:r w:rsidR="008235D7">
        <w:t>According to the</w:t>
      </w:r>
      <w:r>
        <w:t xml:space="preserve"> IWPR</w:t>
      </w:r>
      <w:r w:rsidR="008235D7">
        <w:t xml:space="preserve"> </w:t>
      </w:r>
      <w:r w:rsidR="008657E2">
        <w:t>S</w:t>
      </w:r>
      <w:r>
        <w:t>urvey</w:t>
      </w:r>
      <w:r w:rsidR="009846ED">
        <w:t>,</w:t>
      </w:r>
      <w:r>
        <w:t xml:space="preserve"> 84.4 percent of respondents report</w:t>
      </w:r>
      <w:r w:rsidR="009846ED">
        <w:t>ed</w:t>
      </w:r>
      <w:r>
        <w:t xml:space="preserve"> </w:t>
      </w:r>
      <w:r w:rsidR="009846ED">
        <w:t>feeling they received un</w:t>
      </w:r>
      <w:r>
        <w:t>equal</w:t>
      </w:r>
      <w:r w:rsidR="009846ED">
        <w:t xml:space="preserve"> treatment</w:t>
      </w:r>
      <w:r>
        <w:t xml:space="preserve"> to men in at least one aspect of work and learning experiences,</w:t>
      </w:r>
      <w:r w:rsidR="009846ED">
        <w:t xml:space="preserve"> </w:t>
      </w:r>
      <w:r w:rsidR="00A52381">
        <w:t>such as</w:t>
      </w:r>
      <w:r w:rsidR="009846ED">
        <w:t xml:space="preserve"> being held to a different standard</w:t>
      </w:r>
      <w:r>
        <w:t>,</w:t>
      </w:r>
      <w:r w:rsidR="009846ED">
        <w:t xml:space="preserve"> regarding</w:t>
      </w:r>
      <w:r>
        <w:t xml:space="preserve"> promotions and leadership roles, and in hiring and layoffs.</w:t>
      </w:r>
      <w:r>
        <w:rPr>
          <w:rStyle w:val="FootnoteReference"/>
        </w:rPr>
        <w:footnoteReference w:id="33"/>
      </w:r>
      <w:r>
        <w:t xml:space="preserve"> </w:t>
      </w:r>
      <w:r w:rsidR="009846ED">
        <w:t>A</w:t>
      </w:r>
      <w:r>
        <w:t>mong women of color in the industry</w:t>
      </w:r>
      <w:r w:rsidR="009846ED">
        <w:t>,</w:t>
      </w:r>
      <w:r>
        <w:t xml:space="preserve"> 47.7 percent reported that they are </w:t>
      </w:r>
      <w:r w:rsidR="009846ED">
        <w:t>“</w:t>
      </w:r>
      <w:r>
        <w:t>rarely or never</w:t>
      </w:r>
      <w:r w:rsidR="009846ED">
        <w:t>”</w:t>
      </w:r>
      <w:r>
        <w:t xml:space="preserve"> held to the same standard as men, and only 18.9 percent felt that they </w:t>
      </w:r>
      <w:r w:rsidR="009846ED">
        <w:t>could “</w:t>
      </w:r>
      <w:r>
        <w:t>frequently or always</w:t>
      </w:r>
      <w:r w:rsidR="009846ED">
        <w:t>”</w:t>
      </w:r>
      <w:r>
        <w:t xml:space="preserve"> rely on basic equality standards and expectations.</w:t>
      </w:r>
      <w:r>
        <w:rPr>
          <w:rStyle w:val="FootnoteReference"/>
        </w:rPr>
        <w:footnoteReference w:id="34"/>
      </w:r>
      <w:r w:rsidRPr="00135487">
        <w:t xml:space="preserve"> Black respondents </w:t>
      </w:r>
      <w:r>
        <w:t>we</w:t>
      </w:r>
      <w:r w:rsidRPr="00135487">
        <w:t>re more likely than others to report rarely or never being treated equally in the allocation of overtime (21.1 percent) and also report</w:t>
      </w:r>
      <w:r w:rsidR="009846ED">
        <w:t>ed</w:t>
      </w:r>
      <w:r w:rsidRPr="00135487">
        <w:t xml:space="preserve"> comparat</w:t>
      </w:r>
      <w:r>
        <w:t>ively high inequality when it ca</w:t>
      </w:r>
      <w:r w:rsidRPr="00135487">
        <w:t>me to layoffs (3</w:t>
      </w:r>
      <w:r>
        <w:t>1.6 percent) and promotions (36</w:t>
      </w:r>
      <w:r w:rsidRPr="00135487">
        <w:t xml:space="preserve"> percent).</w:t>
      </w:r>
      <w:r>
        <w:rPr>
          <w:rStyle w:val="FootnoteReference"/>
        </w:rPr>
        <w:footnoteReference w:id="35"/>
      </w:r>
    </w:p>
    <w:p w14:paraId="7B54366A" w14:textId="77777777" w:rsidR="006E1DC9" w:rsidRDefault="009F19E0" w:rsidP="009D7E64">
      <w:pPr>
        <w:pStyle w:val="paragraph"/>
        <w:spacing w:before="0" w:beforeAutospacing="0" w:after="0" w:afterAutospacing="0" w:line="480" w:lineRule="auto"/>
        <w:ind w:firstLine="720"/>
        <w:jc w:val="both"/>
        <w:textAlignment w:val="baseline"/>
      </w:pPr>
      <w:r>
        <w:t xml:space="preserve">Overall, 44.4 percent of </w:t>
      </w:r>
      <w:r w:rsidR="009846ED">
        <w:t xml:space="preserve">the IWPR </w:t>
      </w:r>
      <w:r w:rsidR="008657E2">
        <w:t>S</w:t>
      </w:r>
      <w:r>
        <w:t xml:space="preserve">urvey respondents </w:t>
      </w:r>
      <w:r w:rsidRPr="0064127F">
        <w:t>reported that they have left or seriously considered leaving the trades due to workplace hostility and harassment</w:t>
      </w:r>
      <w:r>
        <w:t>.</w:t>
      </w:r>
      <w:r>
        <w:rPr>
          <w:rStyle w:val="FootnoteReference"/>
        </w:rPr>
        <w:footnoteReference w:id="36"/>
      </w:r>
      <w:r>
        <w:t xml:space="preserve"> The </w:t>
      </w:r>
      <w:r w:rsidR="001E0D8B">
        <w:t>share is</w:t>
      </w:r>
      <w:r>
        <w:t xml:space="preserve"> particularly high among LGBTQ+ respondents, 54.3 percent of whom have left or seriously considered leaving </w:t>
      </w:r>
      <w:r w:rsidR="001E0D8B">
        <w:t xml:space="preserve">the industry </w:t>
      </w:r>
      <w:r>
        <w:t>due to workplace hostility and harassment.</w:t>
      </w:r>
      <w:r>
        <w:rPr>
          <w:rStyle w:val="FootnoteReference"/>
        </w:rPr>
        <w:footnoteReference w:id="37"/>
      </w:r>
      <w:r>
        <w:t xml:space="preserve"> The most commonly cited reason</w:t>
      </w:r>
      <w:r w:rsidR="009846ED">
        <w:t>s</w:t>
      </w:r>
      <w:r>
        <w:t xml:space="preserve"> </w:t>
      </w:r>
      <w:r w:rsidR="006E1DC9">
        <w:t xml:space="preserve">for deciding to leave, </w:t>
      </w:r>
      <w:r>
        <w:t>by 47.2 percent of respondents</w:t>
      </w:r>
      <w:r w:rsidR="006E1DC9">
        <w:t>,</w:t>
      </w:r>
      <w:r>
        <w:t xml:space="preserve"> </w:t>
      </w:r>
      <w:r w:rsidR="009846ED">
        <w:t>was a</w:t>
      </w:r>
      <w:r>
        <w:t xml:space="preserve"> lack of respect/harassment, which </w:t>
      </w:r>
      <w:r w:rsidR="009846ED">
        <w:t xml:space="preserve">was </w:t>
      </w:r>
      <w:r>
        <w:t>ranked as</w:t>
      </w:r>
      <w:r w:rsidR="009846ED">
        <w:t xml:space="preserve"> the</w:t>
      </w:r>
      <w:r>
        <w:t xml:space="preserve"> most important </w:t>
      </w:r>
      <w:r w:rsidR="009846ED">
        <w:t xml:space="preserve">issue </w:t>
      </w:r>
      <w:r>
        <w:t>by Black and white non-Hispanic respondents, and the second most common reason for Latina respondents.</w:t>
      </w:r>
      <w:r>
        <w:rPr>
          <w:rStyle w:val="FootnoteReference"/>
        </w:rPr>
        <w:footnoteReference w:id="38"/>
      </w:r>
      <w:r>
        <w:t xml:space="preserve"> Meanwhile, 32.9 percent </w:t>
      </w:r>
      <w:r w:rsidR="009846ED">
        <w:t xml:space="preserve">of respondents </w:t>
      </w:r>
      <w:r>
        <w:t xml:space="preserve">reported that they were tired of the </w:t>
      </w:r>
      <w:r w:rsidR="009846ED">
        <w:t>“</w:t>
      </w:r>
      <w:r>
        <w:t>yelling culture</w:t>
      </w:r>
      <w:r w:rsidR="009846ED">
        <w:t>”</w:t>
      </w:r>
      <w:r>
        <w:t xml:space="preserve"> and disrespect</w:t>
      </w:r>
      <w:r w:rsidR="009846ED">
        <w:t xml:space="preserve"> experienced on the job</w:t>
      </w:r>
      <w:r>
        <w:t>.</w:t>
      </w:r>
      <w:r>
        <w:rPr>
          <w:rStyle w:val="FootnoteReference"/>
        </w:rPr>
        <w:footnoteReference w:id="39"/>
      </w:r>
    </w:p>
    <w:p w14:paraId="21843169" w14:textId="680D611E" w:rsidR="009F19E0" w:rsidRDefault="009F19E0" w:rsidP="006E1DC9">
      <w:pPr>
        <w:pStyle w:val="paragraph"/>
        <w:spacing w:before="0" w:beforeAutospacing="0" w:after="0" w:afterAutospacing="0" w:line="480" w:lineRule="auto"/>
        <w:ind w:firstLine="720"/>
        <w:jc w:val="both"/>
        <w:textAlignment w:val="baseline"/>
      </w:pPr>
      <w:r w:rsidRPr="0064127F">
        <w:t>While the most frequently cited reasons for women leaving the trades are linked to poor workplace environment</w:t>
      </w:r>
      <w:r w:rsidR="009846ED" w:rsidRPr="0064127F">
        <w:t>s</w:t>
      </w:r>
      <w:r>
        <w:t>,</w:t>
      </w:r>
      <w:r w:rsidR="009846ED">
        <w:rPr>
          <w:rStyle w:val="FootnoteReference"/>
        </w:rPr>
        <w:footnoteReference w:id="40"/>
      </w:r>
      <w:r>
        <w:t xml:space="preserve"> </w:t>
      </w:r>
      <w:r w:rsidR="009846ED">
        <w:t xml:space="preserve">another </w:t>
      </w:r>
      <w:r>
        <w:t xml:space="preserve">major contributing factor to women leaving </w:t>
      </w:r>
      <w:r w:rsidR="009846ED">
        <w:t>is the</w:t>
      </w:r>
      <w:r>
        <w:t xml:space="preserve"> difficult</w:t>
      </w:r>
      <w:r w:rsidR="009846ED">
        <w:t>y many women face in</w:t>
      </w:r>
      <w:r>
        <w:t xml:space="preserve"> finding childcare.</w:t>
      </w:r>
      <w:r>
        <w:rPr>
          <w:rStyle w:val="FootnoteReference"/>
        </w:rPr>
        <w:footnoteReference w:id="41"/>
      </w:r>
      <w:r>
        <w:t xml:space="preserve"> </w:t>
      </w:r>
      <w:r w:rsidR="006E1DC9">
        <w:t>Though the majority of IWPR S</w:t>
      </w:r>
      <w:r>
        <w:t>urvey respondents were parents thriving in the trades, pregnancy, maternity, and child and eldercare responsibilities present</w:t>
      </w:r>
      <w:r w:rsidR="009846ED">
        <w:t>ed</w:t>
      </w:r>
      <w:r>
        <w:t xml:space="preserve"> problems for many tradespeople</w:t>
      </w:r>
      <w:r w:rsidR="00A52381">
        <w:t xml:space="preserve"> and lead some to consi</w:t>
      </w:r>
      <w:r w:rsidR="00D3104E">
        <w:t>der leaving the trades.</w:t>
      </w:r>
      <w:r w:rsidR="00D3104E">
        <w:rPr>
          <w:rStyle w:val="FootnoteReference"/>
        </w:rPr>
        <w:footnoteReference w:id="42"/>
      </w:r>
      <w:r w:rsidR="00D3104E">
        <w:t xml:space="preserve"> </w:t>
      </w:r>
      <w:r w:rsidR="00A52381">
        <w:t xml:space="preserve">Difficulties </w:t>
      </w:r>
      <w:r>
        <w:t xml:space="preserve">surrounding parental leave and childcare </w:t>
      </w:r>
      <w:r w:rsidR="009846ED">
        <w:t xml:space="preserve">costs </w:t>
      </w:r>
      <w:r>
        <w:t xml:space="preserve">are amplified </w:t>
      </w:r>
      <w:r w:rsidR="009846ED">
        <w:t xml:space="preserve">for women working </w:t>
      </w:r>
      <w:r>
        <w:t>in the trades</w:t>
      </w:r>
      <w:r w:rsidR="009D7E64">
        <w:t xml:space="preserve"> </w:t>
      </w:r>
      <w:r w:rsidR="009846ED">
        <w:t xml:space="preserve">because many jobs are </w:t>
      </w:r>
      <w:r>
        <w:t>demanding when it comes to the early</w:t>
      </w:r>
      <w:r w:rsidR="009846ED">
        <w:t xml:space="preserve"> hours</w:t>
      </w:r>
      <w:r>
        <w:t xml:space="preserve"> and physical nature of the work.</w:t>
      </w:r>
      <w:r>
        <w:rPr>
          <w:rStyle w:val="FootnoteReference"/>
        </w:rPr>
        <w:footnoteReference w:id="43"/>
      </w:r>
      <w:r>
        <w:t xml:space="preserve"> </w:t>
      </w:r>
      <w:r w:rsidR="009D7E64">
        <w:t>Data also suggest that women have c</w:t>
      </w:r>
      <w:r w:rsidR="009846ED">
        <w:t xml:space="preserve">oncerns </w:t>
      </w:r>
      <w:r w:rsidR="009D7E64">
        <w:t>about</w:t>
      </w:r>
      <w:r>
        <w:t xml:space="preserve"> </w:t>
      </w:r>
      <w:r w:rsidR="009846ED">
        <w:t xml:space="preserve">the availability of </w:t>
      </w:r>
      <w:r>
        <w:t>accommodations</w:t>
      </w:r>
      <w:r w:rsidR="009846ED">
        <w:t xml:space="preserve"> for pregnancies</w:t>
      </w:r>
      <w:r>
        <w:t xml:space="preserve">, </w:t>
      </w:r>
      <w:r w:rsidR="009846ED">
        <w:t xml:space="preserve">such as whether </w:t>
      </w:r>
      <w:r>
        <w:t>paid time off</w:t>
      </w:r>
      <w:r w:rsidR="009846ED">
        <w:t xml:space="preserve"> is possible</w:t>
      </w:r>
      <w:r>
        <w:t xml:space="preserve"> if temporary light duty is not available, </w:t>
      </w:r>
      <w:r w:rsidR="009D7E64">
        <w:t>and related to being</w:t>
      </w:r>
      <w:r w:rsidR="009846ED">
        <w:t xml:space="preserve"> able to find </w:t>
      </w:r>
      <w:r>
        <w:t>accessible childcare during construction hours.</w:t>
      </w:r>
      <w:r>
        <w:rPr>
          <w:rStyle w:val="FootnoteReference"/>
        </w:rPr>
        <w:footnoteReference w:id="44"/>
      </w:r>
      <w:r>
        <w:t xml:space="preserve"> </w:t>
      </w:r>
      <w:r w:rsidR="009D7E64">
        <w:t xml:space="preserve">According to the IWPR </w:t>
      </w:r>
      <w:r w:rsidR="006E1DC9">
        <w:t>S</w:t>
      </w:r>
      <w:r w:rsidR="009D7E64">
        <w:t>urvey</w:t>
      </w:r>
      <w:r>
        <w:t xml:space="preserve">, </w:t>
      </w:r>
      <w:r w:rsidRPr="00E969B4">
        <w:t xml:space="preserve">69.1 percent </w:t>
      </w:r>
      <w:r>
        <w:t>of respondents with children reported</w:t>
      </w:r>
      <w:r w:rsidRPr="00E969B4">
        <w:t xml:space="preserve"> that difficulty with finding childcare is a </w:t>
      </w:r>
      <w:r w:rsidR="009846ED">
        <w:t>“</w:t>
      </w:r>
      <w:r w:rsidRPr="00E969B4">
        <w:t>very or somewhat</w:t>
      </w:r>
      <w:r w:rsidR="009846ED">
        <w:t>”</w:t>
      </w:r>
      <w:r w:rsidRPr="00E969B4">
        <w:t xml:space="preserve"> important reason for considering </w:t>
      </w:r>
      <w:r w:rsidR="009846ED">
        <w:t>leaving.</w:t>
      </w:r>
      <w:r w:rsidR="009846ED">
        <w:rPr>
          <w:rStyle w:val="FootnoteReference"/>
        </w:rPr>
        <w:footnoteReference w:id="45"/>
      </w:r>
      <w:r w:rsidR="009846ED">
        <w:t xml:space="preserve"> Of those</w:t>
      </w:r>
      <w:r w:rsidR="00DA69C1">
        <w:t xml:space="preserve"> women</w:t>
      </w:r>
      <w:r w:rsidR="009846ED">
        <w:t xml:space="preserve">, </w:t>
      </w:r>
      <w:r w:rsidRPr="00E969B4">
        <w:t xml:space="preserve">67.7 percent </w:t>
      </w:r>
      <w:r>
        <w:t>reported</w:t>
      </w:r>
      <w:r w:rsidRPr="00E969B4">
        <w:t xml:space="preserve"> they want to spend more time with their kids, 63.4 percent report</w:t>
      </w:r>
      <w:r>
        <w:t>ed</w:t>
      </w:r>
      <w:r w:rsidRPr="00E969B4">
        <w:t xml:space="preserve"> that </w:t>
      </w:r>
      <w:r w:rsidR="00DA69C1">
        <w:t xml:space="preserve">a </w:t>
      </w:r>
      <w:r w:rsidRPr="00E969B4">
        <w:t>lack of pregnancy accommodation</w:t>
      </w:r>
      <w:r w:rsidR="00DA69C1">
        <w:t>s</w:t>
      </w:r>
      <w:r w:rsidRPr="00E969B4">
        <w:t xml:space="preserve"> is/was very or somewhat important for thinking about leaving, and 58.7 percent note</w:t>
      </w:r>
      <w:r>
        <w:t>d</w:t>
      </w:r>
      <w:r w:rsidRPr="00E969B4">
        <w:t xml:space="preserve"> </w:t>
      </w:r>
      <w:r w:rsidR="00DA69C1">
        <w:t xml:space="preserve">a </w:t>
      </w:r>
      <w:r w:rsidRPr="00E969B4">
        <w:t>lack of breastfeeding support</w:t>
      </w:r>
      <w:r>
        <w:t>.</w:t>
      </w:r>
      <w:r>
        <w:rPr>
          <w:rStyle w:val="FootnoteReference"/>
        </w:rPr>
        <w:footnoteReference w:id="46"/>
      </w:r>
    </w:p>
    <w:p w14:paraId="676842B0" w14:textId="3DDD65F4" w:rsidR="009F19E0" w:rsidRPr="009A04F6" w:rsidRDefault="009D7E64" w:rsidP="006154BA">
      <w:pPr>
        <w:pStyle w:val="paragraph"/>
        <w:spacing w:before="0" w:beforeAutospacing="0" w:after="0" w:afterAutospacing="0" w:line="480" w:lineRule="auto"/>
        <w:jc w:val="both"/>
        <w:textAlignment w:val="baseline"/>
        <w:rPr>
          <w:i/>
        </w:rPr>
      </w:pPr>
      <w:r>
        <w:rPr>
          <w:i/>
        </w:rPr>
        <w:t xml:space="preserve">The </w:t>
      </w:r>
      <w:r w:rsidR="009F19E0" w:rsidRPr="009A04F6">
        <w:rPr>
          <w:i/>
        </w:rPr>
        <w:t>Importance of Unionized Construction Jobs for Women</w:t>
      </w:r>
    </w:p>
    <w:p w14:paraId="25D346F6" w14:textId="4B0429FC" w:rsidR="009F19E0" w:rsidRDefault="006E1DC9" w:rsidP="006154BA">
      <w:pPr>
        <w:pStyle w:val="paragraph"/>
        <w:spacing w:before="0" w:beforeAutospacing="0" w:after="0" w:afterAutospacing="0" w:line="480" w:lineRule="auto"/>
        <w:jc w:val="both"/>
        <w:textAlignment w:val="baseline"/>
      </w:pPr>
      <w:r>
        <w:tab/>
        <w:t>According to the IWPR S</w:t>
      </w:r>
      <w:r w:rsidR="009F19E0">
        <w:t>urvey, over 60 percent of women enter the trades</w:t>
      </w:r>
      <w:r w:rsidR="00DA69C1">
        <w:t xml:space="preserve"> </w:t>
      </w:r>
      <w:r w:rsidR="00A52381">
        <w:t>because of</w:t>
      </w:r>
      <w:r w:rsidR="00DA69C1">
        <w:t xml:space="preserve"> the</w:t>
      </w:r>
      <w:r w:rsidR="009F19E0">
        <w:t xml:space="preserve"> pay and benefits that are available in construction jobs.</w:t>
      </w:r>
      <w:r w:rsidR="009F19E0">
        <w:rPr>
          <w:rStyle w:val="FootnoteReference"/>
        </w:rPr>
        <w:footnoteReference w:id="47"/>
      </w:r>
      <w:r w:rsidR="009F19E0">
        <w:t xml:space="preserve"> However, when disaggregating union and non-union respondents, 70.3 percent of union respondents identified earnings as a “very important” reason for entering the trades</w:t>
      </w:r>
      <w:r w:rsidR="00A52381">
        <w:t>, versus</w:t>
      </w:r>
      <w:r w:rsidR="009F19E0">
        <w:t xml:space="preserve"> 53.4 percent of non-union respondents.</w:t>
      </w:r>
      <w:r w:rsidR="009F19E0">
        <w:rPr>
          <w:rStyle w:val="FootnoteReference"/>
        </w:rPr>
        <w:footnoteReference w:id="48"/>
      </w:r>
      <w:r w:rsidR="009F19E0">
        <w:t xml:space="preserve"> This </w:t>
      </w:r>
      <w:r w:rsidR="00A52381">
        <w:t>difference</w:t>
      </w:r>
      <w:r w:rsidR="009F19E0">
        <w:t xml:space="preserve"> likely reflects the fact that pay and benefits are substantially higher in construction jobs </w:t>
      </w:r>
      <w:r>
        <w:t xml:space="preserve">that </w:t>
      </w:r>
      <w:r w:rsidR="00916137">
        <w:t xml:space="preserve">are </w:t>
      </w:r>
      <w:r w:rsidR="009F19E0">
        <w:t>covered by collective bargaining agreements</w:t>
      </w:r>
      <w:r w:rsidR="00DA69C1">
        <w:t xml:space="preserve"> compared to those construction jobs</w:t>
      </w:r>
      <w:r w:rsidR="009F19E0">
        <w:t xml:space="preserve"> that are not.</w:t>
      </w:r>
      <w:r w:rsidR="009F19E0">
        <w:rPr>
          <w:rStyle w:val="FootnoteReference"/>
        </w:rPr>
        <w:footnoteReference w:id="49"/>
      </w:r>
      <w:r w:rsidR="009F19E0" w:rsidRPr="00D32843">
        <w:t xml:space="preserve"> A national analysis of the full-time earnings of construction workers </w:t>
      </w:r>
      <w:r w:rsidR="009F19E0">
        <w:t>from</w:t>
      </w:r>
      <w:r w:rsidR="009F19E0" w:rsidRPr="00D32843">
        <w:t xml:space="preserve"> 2016 to 2018 found that women not covered by a union contract earned 40.1 percent less than women who </w:t>
      </w:r>
      <w:r w:rsidR="009F19E0">
        <w:t xml:space="preserve">were covered by </w:t>
      </w:r>
      <w:r w:rsidR="00A52381">
        <w:t>such a contract.</w:t>
      </w:r>
      <w:r w:rsidR="00A52381">
        <w:rPr>
          <w:rStyle w:val="FootnoteReference"/>
        </w:rPr>
        <w:footnoteReference w:id="50"/>
      </w:r>
      <w:r w:rsidR="00A52381">
        <w:t xml:space="preserve"> Meanwhile</w:t>
      </w:r>
      <w:r w:rsidR="00882AA7">
        <w:t>, the</w:t>
      </w:r>
      <w:r w:rsidR="009F19E0" w:rsidRPr="00D32843">
        <w:t xml:space="preserve"> corresponding gap</w:t>
      </w:r>
      <w:r w:rsidR="00A52381" w:rsidRPr="00D32843">
        <w:t xml:space="preserve"> </w:t>
      </w:r>
      <w:r w:rsidR="00A52381">
        <w:t>for men</w:t>
      </w:r>
      <w:r w:rsidR="009F19E0" w:rsidRPr="00D32843">
        <w:t xml:space="preserve"> </w:t>
      </w:r>
      <w:r w:rsidR="009F19E0">
        <w:t>was slightly smaller, at 34</w:t>
      </w:r>
      <w:r w:rsidR="009F19E0" w:rsidRPr="00D32843">
        <w:t xml:space="preserve"> percent</w:t>
      </w:r>
      <w:r w:rsidR="009F19E0">
        <w:t>.</w:t>
      </w:r>
      <w:r w:rsidR="009F19E0">
        <w:rPr>
          <w:rStyle w:val="FootnoteReference"/>
        </w:rPr>
        <w:footnoteReference w:id="51"/>
      </w:r>
    </w:p>
    <w:p w14:paraId="355609DC" w14:textId="05262B95" w:rsidR="009F19E0" w:rsidRDefault="009F19E0" w:rsidP="006154BA">
      <w:pPr>
        <w:pStyle w:val="paragraph"/>
        <w:spacing w:before="0" w:beforeAutospacing="0" w:after="0" w:afterAutospacing="0" w:line="480" w:lineRule="auto"/>
        <w:jc w:val="both"/>
        <w:textAlignment w:val="baseline"/>
      </w:pPr>
      <w:r>
        <w:tab/>
      </w:r>
      <w:r w:rsidR="00841DE8">
        <w:t>T</w:t>
      </w:r>
      <w:r>
        <w:t xml:space="preserve">he differences between union and non-union respondents </w:t>
      </w:r>
      <w:r w:rsidR="00841DE8">
        <w:t>were</w:t>
      </w:r>
      <w:r>
        <w:t xml:space="preserve"> even greater</w:t>
      </w:r>
      <w:r w:rsidR="00841DE8">
        <w:t xml:space="preserve"> when it came to benefits</w:t>
      </w:r>
      <w:r>
        <w:t xml:space="preserve">: 73.8 percent of union respondents described benefits as </w:t>
      </w:r>
      <w:r w:rsidR="00841DE8">
        <w:t xml:space="preserve">being </w:t>
      </w:r>
      <w:r>
        <w:t xml:space="preserve">very important, compared to 41.8 percent of </w:t>
      </w:r>
      <w:r w:rsidR="002F7D7B">
        <w:t>non-union</w:t>
      </w:r>
      <w:r>
        <w:t xml:space="preserve"> respondents.</w:t>
      </w:r>
      <w:r>
        <w:rPr>
          <w:rStyle w:val="FootnoteReference"/>
        </w:rPr>
        <w:footnoteReference w:id="52"/>
      </w:r>
      <w:r>
        <w:t xml:space="preserve"> Similar to the earnings issue, </w:t>
      </w:r>
      <w:r w:rsidR="00CD45F0">
        <w:t xml:space="preserve">these </w:t>
      </w:r>
      <w:r>
        <w:t xml:space="preserve">responses likely reflect the fact that </w:t>
      </w:r>
      <w:r w:rsidR="00BC0AE5">
        <w:t xml:space="preserve">“good </w:t>
      </w:r>
      <w:r>
        <w:t>benefits</w:t>
      </w:r>
      <w:r w:rsidR="00BC0AE5">
        <w:t>”</w:t>
      </w:r>
      <w:r>
        <w:t xml:space="preserve"> are much more common in the union sector.</w:t>
      </w:r>
      <w:r>
        <w:rPr>
          <w:rStyle w:val="FootnoteReference"/>
        </w:rPr>
        <w:footnoteReference w:id="53"/>
      </w:r>
      <w:r>
        <w:t xml:space="preserve"> According to the Center for Construction Research and Training, data show </w:t>
      </w:r>
      <w:r w:rsidR="00CD45F0">
        <w:t xml:space="preserve">that </w:t>
      </w:r>
      <w:r>
        <w:t>72.2 percen</w:t>
      </w:r>
      <w:r w:rsidR="006E1DC9">
        <w:t xml:space="preserve">t of union construction workers, </w:t>
      </w:r>
      <w:r>
        <w:t>compared to 38.8 percent of non-union workers</w:t>
      </w:r>
      <w:r w:rsidR="006E1DC9">
        <w:t xml:space="preserve">, </w:t>
      </w:r>
      <w:r>
        <w:t>received health insurance.</w:t>
      </w:r>
      <w:r>
        <w:rPr>
          <w:rStyle w:val="FootnoteReference"/>
        </w:rPr>
        <w:footnoteReference w:id="54"/>
      </w:r>
      <w:r>
        <w:t xml:space="preserve"> Moreover, </w:t>
      </w:r>
      <w:r w:rsidRPr="00F66E60">
        <w:t>union construction workers are also more likely to have access to and participate in retirement plans</w:t>
      </w:r>
      <w:r>
        <w:t>.</w:t>
      </w:r>
      <w:r>
        <w:rPr>
          <w:rStyle w:val="FootnoteReference"/>
        </w:rPr>
        <w:footnoteReference w:id="55"/>
      </w:r>
    </w:p>
    <w:p w14:paraId="40C50321" w14:textId="3BD21945" w:rsidR="009F19E0" w:rsidRDefault="009F19E0" w:rsidP="006154BA">
      <w:pPr>
        <w:pStyle w:val="paragraph"/>
        <w:spacing w:before="0" w:beforeAutospacing="0" w:after="0" w:afterAutospacing="0" w:line="480" w:lineRule="auto"/>
        <w:jc w:val="both"/>
        <w:textAlignment w:val="baseline"/>
      </w:pPr>
      <w:r>
        <w:tab/>
      </w:r>
      <w:r w:rsidR="003D5F2E">
        <w:t xml:space="preserve">Finally, outreach is another issue. </w:t>
      </w:r>
      <w:r>
        <w:t xml:space="preserve">Despite the opportunities for earnings and benefits, most women learn about </w:t>
      </w:r>
      <w:r w:rsidR="003D5F2E">
        <w:t>job</w:t>
      </w:r>
      <w:r w:rsidR="00D90145">
        <w:t xml:space="preserve">s </w:t>
      </w:r>
      <w:r>
        <w:t xml:space="preserve">in the trades </w:t>
      </w:r>
      <w:r w:rsidR="003D5F2E">
        <w:t>through</w:t>
      </w:r>
      <w:r>
        <w:t xml:space="preserve"> family and friends.</w:t>
      </w:r>
      <w:r>
        <w:rPr>
          <w:rStyle w:val="FootnoteReference"/>
        </w:rPr>
        <w:footnoteReference w:id="56"/>
      </w:r>
      <w:r>
        <w:t xml:space="preserve"> </w:t>
      </w:r>
      <w:r w:rsidR="003D5F2E">
        <w:t>Data suggests that j</w:t>
      </w:r>
      <w:r>
        <w:t>ob training programs, high school counselors</w:t>
      </w:r>
      <w:r w:rsidR="003D5F2E">
        <w:t>,</w:t>
      </w:r>
      <w:r>
        <w:t xml:space="preserve"> and American Job Centers generally fail to alert </w:t>
      </w:r>
      <w:r w:rsidR="003D5F2E">
        <w:t>women</w:t>
      </w:r>
      <w:r>
        <w:t xml:space="preserve"> to industry</w:t>
      </w:r>
      <w:r w:rsidR="00D90145">
        <w:t xml:space="preserve"> opportunities.</w:t>
      </w:r>
      <w:r>
        <w:rPr>
          <w:rStyle w:val="FootnoteReference"/>
        </w:rPr>
        <w:footnoteReference w:id="57"/>
      </w:r>
      <w:r>
        <w:t xml:space="preserve"> </w:t>
      </w:r>
      <w:r w:rsidR="00D90145">
        <w:t>This,</w:t>
      </w:r>
      <w:r w:rsidR="003D5F2E">
        <w:t xml:space="preserve"> in turn</w:t>
      </w:r>
      <w:r w:rsidR="00D90145">
        <w:t>,</w:t>
      </w:r>
      <w:r>
        <w:t xml:space="preserve"> speaks to the outdated notion that construction is men’s work</w:t>
      </w:r>
      <w:r w:rsidR="00D3104E">
        <w:t>, which is</w:t>
      </w:r>
      <w:r>
        <w:t xml:space="preserve"> </w:t>
      </w:r>
      <w:r w:rsidR="003D5F2E">
        <w:t>a mindset that continues to negatively</w:t>
      </w:r>
      <w:r>
        <w:t xml:space="preserve"> affect women in the industry</w:t>
      </w:r>
      <w:r w:rsidR="00D90145">
        <w:t xml:space="preserve"> today</w:t>
      </w:r>
      <w:r>
        <w:t>.</w:t>
      </w:r>
      <w:r>
        <w:rPr>
          <w:rStyle w:val="FootnoteReference"/>
        </w:rPr>
        <w:footnoteReference w:id="58"/>
      </w:r>
    </w:p>
    <w:p w14:paraId="124FDCA2" w14:textId="6C26CBC1" w:rsidR="009F19E0" w:rsidRPr="00C07B3C" w:rsidRDefault="009F19E0" w:rsidP="006154BA">
      <w:pPr>
        <w:spacing w:line="480" w:lineRule="auto"/>
        <w:contextualSpacing/>
        <w:jc w:val="both"/>
        <w:rPr>
          <w:i/>
        </w:rPr>
      </w:pPr>
      <w:r w:rsidRPr="00C33D84">
        <w:rPr>
          <w:bCs/>
          <w:i/>
          <w:iCs/>
        </w:rPr>
        <w:t>The Apprenticeship Pipeline in New York City</w:t>
      </w:r>
      <w:r w:rsidRPr="0067158D">
        <w:rPr>
          <w:bCs/>
        </w:rPr>
        <w:t xml:space="preserve"> </w:t>
      </w:r>
    </w:p>
    <w:p w14:paraId="6EB2B6F6" w14:textId="25AC2FE9" w:rsidR="009F19E0" w:rsidRPr="006645B9" w:rsidRDefault="009F19E0" w:rsidP="00BF6545">
      <w:pPr>
        <w:spacing w:line="480" w:lineRule="auto"/>
        <w:contextualSpacing/>
        <w:jc w:val="both"/>
        <w:rPr>
          <w:bCs/>
        </w:rPr>
      </w:pPr>
      <w:r w:rsidRPr="0067158D">
        <w:rPr>
          <w:bCs/>
        </w:rPr>
        <w:tab/>
      </w:r>
      <w:r w:rsidR="001C55B0">
        <w:rPr>
          <w:bCs/>
        </w:rPr>
        <w:t>T</w:t>
      </w:r>
      <w:r w:rsidRPr="0067158D">
        <w:rPr>
          <w:bCs/>
        </w:rPr>
        <w:t>rade unions assist in recruiting, training</w:t>
      </w:r>
      <w:r w:rsidR="00D471A2">
        <w:rPr>
          <w:bCs/>
        </w:rPr>
        <w:t>,</w:t>
      </w:r>
      <w:r w:rsidRPr="0067158D">
        <w:rPr>
          <w:bCs/>
        </w:rPr>
        <w:t xml:space="preserve"> and educating skilled workers.</w:t>
      </w:r>
      <w:r w:rsidR="001C55B0">
        <w:rPr>
          <w:bCs/>
        </w:rPr>
        <w:t xml:space="preserve"> </w:t>
      </w:r>
      <w:r w:rsidR="00502AA9">
        <w:t>As</w:t>
      </w:r>
      <w:r w:rsidR="00D471A2">
        <w:t xml:space="preserve"> many jobs in the trades require apprenticeship</w:t>
      </w:r>
      <w:r w:rsidR="00502AA9">
        <w:t>-</w:t>
      </w:r>
      <w:r w:rsidR="00D471A2">
        <w:t xml:space="preserve"> or moderate- to long-term on-the-job training</w:t>
      </w:r>
      <w:r w:rsidR="00A44863">
        <w:t xml:space="preserve">, </w:t>
      </w:r>
      <w:r w:rsidR="00502AA9">
        <w:t xml:space="preserve">the training offered by unions can be vital to finding </w:t>
      </w:r>
      <w:r w:rsidR="001C55B0">
        <w:t>an entry into the industry</w:t>
      </w:r>
      <w:r w:rsidR="00D471A2">
        <w:t>.</w:t>
      </w:r>
      <w:r w:rsidR="000B3B79">
        <w:rPr>
          <w:rStyle w:val="FootnoteReference"/>
        </w:rPr>
        <w:footnoteReference w:id="59"/>
      </w:r>
      <w:r w:rsidR="00A44863">
        <w:rPr>
          <w:bCs/>
        </w:rPr>
        <w:t xml:space="preserve"> </w:t>
      </w:r>
      <w:r w:rsidR="00BF6545">
        <w:rPr>
          <w:bCs/>
        </w:rPr>
        <w:t>Further, u</w:t>
      </w:r>
      <w:r w:rsidR="00BF6545" w:rsidRPr="0067158D">
        <w:rPr>
          <w:bCs/>
        </w:rPr>
        <w:t xml:space="preserve">nion apprenticeships offer opportunities to work while developing skills and earning apprenticeship certificates – which can be “tantamount </w:t>
      </w:r>
      <w:r w:rsidR="00BF6545" w:rsidRPr="006645B9">
        <w:rPr>
          <w:bCs/>
        </w:rPr>
        <w:t>to a $40,000 - $50,000 technical education program”</w:t>
      </w:r>
      <w:r w:rsidR="00BF6545" w:rsidRPr="006645B9">
        <w:rPr>
          <w:rStyle w:val="FootnoteReference"/>
          <w:bCs/>
        </w:rPr>
        <w:footnoteReference w:id="60"/>
      </w:r>
      <w:r w:rsidR="00BF6545">
        <w:rPr>
          <w:bCs/>
        </w:rPr>
        <w:t xml:space="preserve"> and can lead to comparatively higher wages.</w:t>
      </w:r>
      <w:r w:rsidR="00BF6545" w:rsidRPr="006645B9">
        <w:rPr>
          <w:rStyle w:val="FootnoteReference"/>
          <w:bCs/>
        </w:rPr>
        <w:footnoteReference w:id="61"/>
      </w:r>
      <w:r w:rsidR="00BF6545" w:rsidRPr="006645B9">
        <w:rPr>
          <w:bCs/>
        </w:rPr>
        <w:t xml:space="preserve"> </w:t>
      </w:r>
      <w:r w:rsidR="001C55B0">
        <w:rPr>
          <w:bCs/>
        </w:rPr>
        <w:t xml:space="preserve">In New York, </w:t>
      </w:r>
      <w:r w:rsidR="001C55B0" w:rsidRPr="0064127F">
        <w:rPr>
          <w:bCs/>
        </w:rPr>
        <w:t>m</w:t>
      </w:r>
      <w:r w:rsidRPr="0064127F">
        <w:rPr>
          <w:bCs/>
        </w:rPr>
        <w:t xml:space="preserve">any of the city’s apprenticeship training programs are supported through the </w:t>
      </w:r>
      <w:r w:rsidR="001C55B0" w:rsidRPr="0064127F">
        <w:rPr>
          <w:bCs/>
        </w:rPr>
        <w:t>C</w:t>
      </w:r>
      <w:r w:rsidRPr="0064127F">
        <w:rPr>
          <w:bCs/>
        </w:rPr>
        <w:t>ity’s construction industry’s Joint Apprenticeship and Training Committee (JATC),</w:t>
      </w:r>
      <w:r w:rsidRPr="0067158D">
        <w:rPr>
          <w:bCs/>
        </w:rPr>
        <w:t xml:space="preserve"> which was developed via collective bargaining between the unions and the city’s developers.</w:t>
      </w:r>
      <w:r w:rsidRPr="0067158D">
        <w:rPr>
          <w:rStyle w:val="FootnoteReference"/>
          <w:bCs/>
        </w:rPr>
        <w:footnoteReference w:id="62"/>
      </w:r>
      <w:r w:rsidRPr="0067158D">
        <w:rPr>
          <w:bCs/>
        </w:rPr>
        <w:t xml:space="preserve"> The JATC provides apprenticeship</w:t>
      </w:r>
      <w:r w:rsidR="00BF6545">
        <w:rPr>
          <w:bCs/>
        </w:rPr>
        <w:t>s</w:t>
      </w:r>
      <w:r w:rsidRPr="0067158D">
        <w:rPr>
          <w:bCs/>
        </w:rPr>
        <w:t>, continuing education</w:t>
      </w:r>
      <w:r w:rsidR="00BF6545">
        <w:rPr>
          <w:bCs/>
        </w:rPr>
        <w:t xml:space="preserve">, </w:t>
      </w:r>
      <w:r w:rsidRPr="0067158D">
        <w:rPr>
          <w:bCs/>
        </w:rPr>
        <w:t>training programs, and other types of training for all union members.</w:t>
      </w:r>
      <w:r w:rsidRPr="0067158D">
        <w:rPr>
          <w:rStyle w:val="FootnoteReference"/>
          <w:bCs/>
        </w:rPr>
        <w:footnoteReference w:id="63"/>
      </w:r>
      <w:r w:rsidR="00A44863">
        <w:rPr>
          <w:bCs/>
        </w:rPr>
        <w:t xml:space="preserve"> </w:t>
      </w:r>
      <w:r w:rsidR="00BF6545">
        <w:rPr>
          <w:bCs/>
        </w:rPr>
        <w:t>The</w:t>
      </w:r>
      <w:r w:rsidRPr="006645B9">
        <w:rPr>
          <w:bCs/>
        </w:rPr>
        <w:t xml:space="preserve"> lifelong qualifications </w:t>
      </w:r>
      <w:r w:rsidR="00BF6545">
        <w:rPr>
          <w:bCs/>
        </w:rPr>
        <w:t xml:space="preserve">offered by apprenticeships can </w:t>
      </w:r>
      <w:r w:rsidRPr="006645B9">
        <w:rPr>
          <w:bCs/>
        </w:rPr>
        <w:t>act as a pathway to future work in unionized construction anywhere in the country.</w:t>
      </w:r>
      <w:r w:rsidRPr="006645B9">
        <w:rPr>
          <w:rStyle w:val="FootnoteReference"/>
          <w:bCs/>
        </w:rPr>
        <w:footnoteReference w:id="64"/>
      </w:r>
      <w:r w:rsidR="00A44863" w:rsidRPr="006645B9">
        <w:rPr>
          <w:bCs/>
        </w:rPr>
        <w:t xml:space="preserve"> </w:t>
      </w:r>
    </w:p>
    <w:p w14:paraId="05A07A1A" w14:textId="1204E2BB" w:rsidR="009F19E0" w:rsidRPr="0067158D" w:rsidRDefault="006645B9" w:rsidP="009F707D">
      <w:pPr>
        <w:spacing w:line="480" w:lineRule="auto"/>
        <w:ind w:firstLine="720"/>
        <w:jc w:val="both"/>
      </w:pPr>
      <w:r w:rsidRPr="006645B9">
        <w:t>While u</w:t>
      </w:r>
      <w:r w:rsidR="009F19E0" w:rsidRPr="006645B9">
        <w:t xml:space="preserve">nion work </w:t>
      </w:r>
      <w:r w:rsidR="00A44863" w:rsidRPr="006645B9">
        <w:t xml:space="preserve">can </w:t>
      </w:r>
      <w:r w:rsidR="009F19E0" w:rsidRPr="006645B9">
        <w:t>provide a springboard into the middle class, entry into union construction jobs can be challenging for persons unfamiliar with the process.</w:t>
      </w:r>
      <w:r w:rsidR="009F19E0" w:rsidRPr="006645B9">
        <w:rPr>
          <w:rStyle w:val="FootnoteReference"/>
        </w:rPr>
        <w:footnoteReference w:id="65"/>
      </w:r>
      <w:r w:rsidR="009F19E0" w:rsidRPr="006645B9">
        <w:t xml:space="preserve"> Individuals typically need to apply via apprenticeships</w:t>
      </w:r>
      <w:r w:rsidR="009F19E0" w:rsidRPr="0067158D">
        <w:t xml:space="preserve"> which are regulated by the New York </w:t>
      </w:r>
      <w:r w:rsidR="000226DE">
        <w:t xml:space="preserve">State </w:t>
      </w:r>
      <w:r w:rsidR="009F19E0" w:rsidRPr="0067158D">
        <w:t>Department of Labor (NYS</w:t>
      </w:r>
      <w:r w:rsidR="000226DE">
        <w:t>D</w:t>
      </w:r>
      <w:r w:rsidR="009F19E0" w:rsidRPr="0067158D">
        <w:t>OL). NYS</w:t>
      </w:r>
      <w:r w:rsidR="000226DE">
        <w:t>D</w:t>
      </w:r>
      <w:r w:rsidR="009F19E0" w:rsidRPr="0067158D">
        <w:t>OL sets the standards for “recruitment, education, safety and welfare of apprentices</w:t>
      </w:r>
      <w:r w:rsidR="009F707D">
        <w:t>”</w:t>
      </w:r>
      <w:r w:rsidR="009F19E0" w:rsidRPr="0067158D">
        <w:t xml:space="preserve"> and issues Certificates of Completion.</w:t>
      </w:r>
      <w:r w:rsidR="009F19E0" w:rsidRPr="0067158D">
        <w:rPr>
          <w:rStyle w:val="FootnoteReference"/>
        </w:rPr>
        <w:footnoteReference w:id="66"/>
      </w:r>
      <w:r w:rsidR="009F19E0" w:rsidRPr="0067158D">
        <w:t xml:space="preserve"> Applicants can apply either through general recruitment – which is publicized by the union every two or three years – and includes </w:t>
      </w:r>
      <w:r w:rsidR="009F19E0">
        <w:t>a</w:t>
      </w:r>
      <w:r w:rsidR="009F19E0" w:rsidRPr="0067158D">
        <w:t xml:space="preserve"> specific number of spots available in an apprenticeship program; or via so-called “direct-entry” applications, which come via qualified graduates of pre-apprenticeship or veterans programs.</w:t>
      </w:r>
      <w:r w:rsidR="009F19E0" w:rsidRPr="0067158D">
        <w:rPr>
          <w:rStyle w:val="FootnoteReference"/>
        </w:rPr>
        <w:footnoteReference w:id="67"/>
      </w:r>
      <w:r w:rsidR="009F707D">
        <w:t xml:space="preserve"> </w:t>
      </w:r>
      <w:r w:rsidR="009F19E0" w:rsidRPr="0067158D">
        <w:t>Approved pre-apprenticeship and veterans programs include:</w:t>
      </w:r>
    </w:p>
    <w:p w14:paraId="7878F8EE" w14:textId="77777777" w:rsidR="009F19E0" w:rsidRPr="0067158D" w:rsidRDefault="009F19E0" w:rsidP="004E2A64">
      <w:pPr>
        <w:pStyle w:val="ListParagraph"/>
        <w:numPr>
          <w:ilvl w:val="0"/>
          <w:numId w:val="36"/>
        </w:numPr>
        <w:spacing w:line="480" w:lineRule="auto"/>
        <w:jc w:val="both"/>
      </w:pPr>
      <w:r w:rsidRPr="0067158D">
        <w:t>Construction Skills – for NYC public school students</w:t>
      </w:r>
    </w:p>
    <w:p w14:paraId="53F2B939" w14:textId="77777777" w:rsidR="009F19E0" w:rsidRPr="0067158D" w:rsidRDefault="009F19E0" w:rsidP="004E2A64">
      <w:pPr>
        <w:pStyle w:val="ListParagraph"/>
        <w:numPr>
          <w:ilvl w:val="0"/>
          <w:numId w:val="36"/>
        </w:numPr>
        <w:spacing w:line="480" w:lineRule="auto"/>
        <w:jc w:val="both"/>
      </w:pPr>
      <w:r w:rsidRPr="0067158D">
        <w:t>Helmets to Hardhats – for veterans of the U.S. armed forces</w:t>
      </w:r>
    </w:p>
    <w:p w14:paraId="21B895CD" w14:textId="77777777" w:rsidR="009F19E0" w:rsidRPr="0067158D" w:rsidRDefault="009F19E0" w:rsidP="004E2A64">
      <w:pPr>
        <w:pStyle w:val="ListParagraph"/>
        <w:numPr>
          <w:ilvl w:val="0"/>
          <w:numId w:val="36"/>
        </w:numPr>
        <w:spacing w:line="480" w:lineRule="auto"/>
        <w:jc w:val="both"/>
      </w:pPr>
      <w:r w:rsidRPr="0067158D">
        <w:t>Non-traditional Employment for Women – for adult women</w:t>
      </w:r>
    </w:p>
    <w:p w14:paraId="4157A7FF" w14:textId="67E91DB2" w:rsidR="009F19E0" w:rsidRPr="0067158D" w:rsidRDefault="009F19E0" w:rsidP="004E2A64">
      <w:pPr>
        <w:pStyle w:val="ListParagraph"/>
        <w:numPr>
          <w:ilvl w:val="0"/>
          <w:numId w:val="36"/>
        </w:numPr>
        <w:spacing w:line="480" w:lineRule="auto"/>
        <w:jc w:val="both"/>
      </w:pPr>
      <w:r w:rsidRPr="0067158D">
        <w:t>Building Works – for low-income unemployed individuals</w:t>
      </w:r>
      <w:r w:rsidR="004E2A64">
        <w:t>.</w:t>
      </w:r>
      <w:r w:rsidRPr="0067158D">
        <w:rPr>
          <w:rStyle w:val="FootnoteReference"/>
        </w:rPr>
        <w:footnoteReference w:id="68"/>
      </w:r>
    </w:p>
    <w:p w14:paraId="0E400944" w14:textId="06461305" w:rsidR="00C07B3C" w:rsidRPr="0067158D" w:rsidRDefault="009F707D" w:rsidP="00754A6F">
      <w:pPr>
        <w:spacing w:line="480" w:lineRule="auto"/>
        <w:ind w:firstLine="720"/>
        <w:jc w:val="both"/>
      </w:pPr>
      <w:r>
        <w:t>While d</w:t>
      </w:r>
      <w:r w:rsidRPr="0067158D">
        <w:t xml:space="preserve">irect-entry applicants via NYSDOL are </w:t>
      </w:r>
      <w:r>
        <w:t xml:space="preserve">also </w:t>
      </w:r>
      <w:r w:rsidRPr="0067158D">
        <w:t xml:space="preserve">required to have all the </w:t>
      </w:r>
      <w:r w:rsidRPr="0064127F">
        <w:t>requisite skills required</w:t>
      </w:r>
      <w:r w:rsidRPr="0067158D">
        <w:t xml:space="preserve"> for apprenticeships</w:t>
      </w:r>
      <w:r>
        <w:t>,</w:t>
      </w:r>
      <w:r w:rsidRPr="0067158D">
        <w:rPr>
          <w:rStyle w:val="FootnoteReference"/>
        </w:rPr>
        <w:footnoteReference w:id="69"/>
      </w:r>
      <w:r w:rsidRPr="0067158D">
        <w:t xml:space="preserve"> </w:t>
      </w:r>
      <w:r>
        <w:t>t</w:t>
      </w:r>
      <w:r w:rsidR="009F19E0" w:rsidRPr="0067158D">
        <w:t>hese approved direct-entry pre-apprenticeship programs ensure people interested in obtaining union jobs can enter the workforce during the interim period between general recruitments.</w:t>
      </w:r>
      <w:r w:rsidR="009F19E0" w:rsidRPr="0067158D">
        <w:rPr>
          <w:rStyle w:val="FootnoteReference"/>
        </w:rPr>
        <w:footnoteReference w:id="70"/>
      </w:r>
    </w:p>
    <w:p w14:paraId="78949625" w14:textId="0096C4AC" w:rsidR="006154BA" w:rsidRDefault="006154BA" w:rsidP="00C07B3C">
      <w:pPr>
        <w:pStyle w:val="ColorfulList-Accent11"/>
        <w:ind w:left="0"/>
        <w:jc w:val="both"/>
        <w:rPr>
          <w:rFonts w:ascii="Times New Roman" w:hAnsi="Times New Roman"/>
          <w:b/>
          <w:smallCaps/>
        </w:rPr>
      </w:pPr>
      <w:r>
        <w:rPr>
          <w:rFonts w:ascii="Times New Roman" w:hAnsi="Times New Roman"/>
          <w:b/>
          <w:smallCaps/>
        </w:rPr>
        <w:t>I</w:t>
      </w:r>
      <w:r w:rsidR="0064127F">
        <w:rPr>
          <w:rFonts w:ascii="Times New Roman" w:hAnsi="Times New Roman"/>
          <w:b/>
          <w:smallCaps/>
        </w:rPr>
        <w:t>II</w:t>
      </w:r>
      <w:r>
        <w:rPr>
          <w:rFonts w:ascii="Times New Roman" w:hAnsi="Times New Roman"/>
          <w:b/>
          <w:smallCaps/>
        </w:rPr>
        <w:t>.</w:t>
      </w:r>
      <w:r>
        <w:rPr>
          <w:rFonts w:ascii="Times New Roman" w:hAnsi="Times New Roman"/>
          <w:b/>
          <w:smallCaps/>
        </w:rPr>
        <w:tab/>
      </w:r>
      <w:r w:rsidRPr="006154BA">
        <w:rPr>
          <w:rFonts w:ascii="Times New Roman" w:hAnsi="Times New Roman"/>
          <w:b/>
          <w:smallCaps/>
        </w:rPr>
        <w:t>City</w:t>
      </w:r>
      <w:r w:rsidR="00C07B3C">
        <w:rPr>
          <w:rFonts w:ascii="Times New Roman" w:hAnsi="Times New Roman"/>
          <w:b/>
          <w:smallCaps/>
        </w:rPr>
        <w:t>-Sponsored</w:t>
      </w:r>
      <w:r w:rsidRPr="006154BA">
        <w:rPr>
          <w:rFonts w:ascii="Times New Roman" w:hAnsi="Times New Roman"/>
          <w:b/>
          <w:smallCaps/>
        </w:rPr>
        <w:t xml:space="preserve"> Initiatives to </w:t>
      </w:r>
      <w:r w:rsidR="00C07B3C">
        <w:rPr>
          <w:rFonts w:ascii="Times New Roman" w:hAnsi="Times New Roman"/>
          <w:b/>
          <w:smallCaps/>
        </w:rPr>
        <w:t>Increase Equity and Diversity in</w:t>
      </w:r>
      <w:r w:rsidRPr="006154BA">
        <w:rPr>
          <w:rFonts w:ascii="Times New Roman" w:hAnsi="Times New Roman"/>
          <w:b/>
          <w:smallCaps/>
        </w:rPr>
        <w:t xml:space="preserve"> the Construction Industry </w:t>
      </w:r>
    </w:p>
    <w:p w14:paraId="3ABFAF70" w14:textId="77777777" w:rsidR="00C07B3C" w:rsidRPr="009E3476" w:rsidRDefault="00C07B3C" w:rsidP="00C07B3C">
      <w:pPr>
        <w:pStyle w:val="ColorfulList-Accent11"/>
        <w:ind w:left="0"/>
        <w:jc w:val="both"/>
        <w:rPr>
          <w:u w:val="single"/>
        </w:rPr>
      </w:pPr>
    </w:p>
    <w:p w14:paraId="3C2DA0C1" w14:textId="6F6906A1" w:rsidR="009F19E0" w:rsidRPr="009F19E0" w:rsidRDefault="009F19E0" w:rsidP="006154BA">
      <w:pPr>
        <w:spacing w:line="480" w:lineRule="auto"/>
        <w:jc w:val="both"/>
        <w:rPr>
          <w:bCs/>
          <w:i/>
          <w:iCs/>
        </w:rPr>
      </w:pPr>
      <w:r w:rsidRPr="009F19E0">
        <w:rPr>
          <w:bCs/>
          <w:i/>
          <w:iCs/>
        </w:rPr>
        <w:t>2020 Project Labor Agreement</w:t>
      </w:r>
      <w:r w:rsidR="0082096B">
        <w:rPr>
          <w:bCs/>
          <w:i/>
          <w:iCs/>
        </w:rPr>
        <w:t>s</w:t>
      </w:r>
      <w:r w:rsidRPr="009F19E0">
        <w:rPr>
          <w:bCs/>
          <w:i/>
          <w:iCs/>
        </w:rPr>
        <w:t xml:space="preserve"> </w:t>
      </w:r>
    </w:p>
    <w:p w14:paraId="1675E08A" w14:textId="607ADF8C" w:rsidR="00222566" w:rsidRPr="00C07B3C" w:rsidRDefault="009F19E0" w:rsidP="00222566">
      <w:pPr>
        <w:spacing w:line="480" w:lineRule="auto"/>
        <w:ind w:firstLine="720"/>
        <w:jc w:val="both"/>
      </w:pPr>
      <w:r w:rsidRPr="00DF7BBA">
        <w:t xml:space="preserve">In August 2020, </w:t>
      </w:r>
      <w:r w:rsidR="00C64825">
        <w:t xml:space="preserve">former </w:t>
      </w:r>
      <w:r w:rsidR="004F2C8A">
        <w:t xml:space="preserve">NYC </w:t>
      </w:r>
      <w:r w:rsidR="000226DE">
        <w:t>M</w:t>
      </w:r>
      <w:r w:rsidR="004F2C8A">
        <w:t>ayor</w:t>
      </w:r>
      <w:r w:rsidR="00C64825">
        <w:t xml:space="preserve"> Bill</w:t>
      </w:r>
      <w:r w:rsidRPr="00DF7BBA">
        <w:t xml:space="preserve"> de Blasio announced an agreement between the City and BCTC </w:t>
      </w:r>
      <w:r w:rsidR="005F2B2F">
        <w:t>on a series of new</w:t>
      </w:r>
      <w:r w:rsidRPr="00DF7BBA">
        <w:t xml:space="preserve"> Project Labor Agreement</w:t>
      </w:r>
      <w:r w:rsidR="005F2B2F">
        <w:t>s</w:t>
      </w:r>
      <w:r w:rsidRPr="00DF7BBA">
        <w:t xml:space="preserve"> (</w:t>
      </w:r>
      <w:r w:rsidR="00C64825">
        <w:t>“</w:t>
      </w:r>
      <w:r w:rsidRPr="00DF7BBA">
        <w:t>PLA</w:t>
      </w:r>
      <w:r w:rsidR="00C64825">
        <w:t>”</w:t>
      </w:r>
      <w:r w:rsidRPr="00DF7BBA">
        <w:t>).</w:t>
      </w:r>
      <w:r w:rsidRPr="00DF7BBA">
        <w:rPr>
          <w:rStyle w:val="FootnoteReference"/>
        </w:rPr>
        <w:footnoteReference w:id="71"/>
      </w:r>
      <w:r w:rsidRPr="00DF7BBA">
        <w:t xml:space="preserve"> A PLA is a comprehensive contract between building trade unions, the City</w:t>
      </w:r>
      <w:r w:rsidR="00346828">
        <w:t>,</w:t>
      </w:r>
      <w:r w:rsidRPr="00DF7BBA">
        <w:t xml:space="preserve"> and site contractors that governs terms and conditions of employment for all craft labor on a designated construction project.</w:t>
      </w:r>
      <w:r>
        <w:rPr>
          <w:rStyle w:val="FootnoteReference"/>
        </w:rPr>
        <w:footnoteReference w:id="72"/>
      </w:r>
      <w:r w:rsidRPr="00DF7BBA">
        <w:t xml:space="preserve"> In addition, </w:t>
      </w:r>
      <w:r w:rsidR="00395FA3">
        <w:t>as a</w:t>
      </w:r>
      <w:r w:rsidRPr="00DF7BBA">
        <w:t xml:space="preserve"> pre-hire agreement for various trades working on a project</w:t>
      </w:r>
      <w:r w:rsidR="00395FA3">
        <w:t xml:space="preserve">, </w:t>
      </w:r>
      <w:r w:rsidR="00346828">
        <w:t>the</w:t>
      </w:r>
      <w:r w:rsidR="00395FA3">
        <w:t xml:space="preserve"> PLA </w:t>
      </w:r>
      <w:r w:rsidRPr="00DF7BBA">
        <w:t>establishes uniform terms and conditions</w:t>
      </w:r>
      <w:r w:rsidR="00395FA3">
        <w:t xml:space="preserve"> </w:t>
      </w:r>
      <w:r w:rsidRPr="00DF7BBA">
        <w:t xml:space="preserve">such as wages, hours, </w:t>
      </w:r>
      <w:r w:rsidR="00346828">
        <w:t xml:space="preserve">and </w:t>
      </w:r>
      <w:r w:rsidRPr="00DF7BBA">
        <w:t xml:space="preserve">work rules, </w:t>
      </w:r>
      <w:r w:rsidR="00346828">
        <w:t xml:space="preserve">as well as </w:t>
      </w:r>
      <w:r w:rsidRPr="00DF7BBA">
        <w:t>grievance, dispute, and arbitration procedures.</w:t>
      </w:r>
      <w:r>
        <w:rPr>
          <w:rStyle w:val="FootnoteReference"/>
        </w:rPr>
        <w:footnoteReference w:id="73"/>
      </w:r>
      <w:r w:rsidRPr="00DF7BBA">
        <w:t xml:space="preserve"> The purpose of the agreement is to allow project owners, contractors</w:t>
      </w:r>
      <w:r w:rsidR="00395FA3">
        <w:t>,</w:t>
      </w:r>
      <w:r w:rsidRPr="00DF7BBA">
        <w:t xml:space="preserve"> and unions to anticipate and avoid problems that increase the costs or slow down a project.</w:t>
      </w:r>
      <w:r>
        <w:rPr>
          <w:rStyle w:val="FootnoteReference"/>
        </w:rPr>
        <w:footnoteReference w:id="74"/>
      </w:r>
      <w:r w:rsidRPr="00DF7BBA">
        <w:t xml:space="preserve"> </w:t>
      </w:r>
    </w:p>
    <w:p w14:paraId="1AD9B301" w14:textId="553F119A" w:rsidR="00346828" w:rsidRDefault="00395FA3" w:rsidP="0033072B">
      <w:pPr>
        <w:spacing w:line="480" w:lineRule="auto"/>
        <w:ind w:firstLine="720"/>
        <w:jc w:val="both"/>
      </w:pPr>
      <w:r>
        <w:t>The</w:t>
      </w:r>
      <w:r w:rsidR="00063B61">
        <w:t xml:space="preserve"> </w:t>
      </w:r>
      <w:r w:rsidRPr="00DF7BBA">
        <w:t>Citywide Renovation PLA covers</w:t>
      </w:r>
      <w:r w:rsidR="00063B61">
        <w:t xml:space="preserve"> </w:t>
      </w:r>
      <w:r w:rsidRPr="00DF7BBA">
        <w:t>renovation construction on City-owned buildings</w:t>
      </w:r>
      <w:r w:rsidR="00063B61">
        <w:t xml:space="preserve"> led by a dedicated set of City of agencies and the </w:t>
      </w:r>
      <w:r w:rsidRPr="0064127F">
        <w:t>New Construction PLA</w:t>
      </w:r>
      <w:r w:rsidRPr="00DF7BBA">
        <w:t xml:space="preserve"> covers </w:t>
      </w:r>
      <w:r w:rsidR="00063B61">
        <w:t xml:space="preserve">new construction on </w:t>
      </w:r>
      <w:r w:rsidRPr="00DF7BBA">
        <w:t>selected future projects.</w:t>
      </w:r>
      <w:r w:rsidRPr="00DF7BBA">
        <w:rPr>
          <w:rStyle w:val="FootnoteReference"/>
        </w:rPr>
        <w:footnoteReference w:id="75"/>
      </w:r>
      <w:r w:rsidR="00222566">
        <w:rPr>
          <w:b/>
        </w:rPr>
        <w:t xml:space="preserve"> </w:t>
      </w:r>
      <w:r w:rsidR="00073BBD" w:rsidRPr="00C07B3C">
        <w:rPr>
          <w:bCs/>
        </w:rPr>
        <w:t>Both of t</w:t>
      </w:r>
      <w:r w:rsidR="00073BBD" w:rsidRPr="00073BBD">
        <w:rPr>
          <w:bCs/>
        </w:rPr>
        <w:t>hese</w:t>
      </w:r>
      <w:r w:rsidR="00073BBD">
        <w:rPr>
          <w:bCs/>
        </w:rPr>
        <w:t xml:space="preserve"> PLAs are valid on </w:t>
      </w:r>
      <w:r w:rsidR="00E24BE6">
        <w:rPr>
          <w:bCs/>
        </w:rPr>
        <w:t>active construction projects through 2</w:t>
      </w:r>
      <w:r w:rsidR="00073BBD">
        <w:rPr>
          <w:bCs/>
        </w:rPr>
        <w:t xml:space="preserve">024. </w:t>
      </w:r>
      <w:r w:rsidR="00E52C0F">
        <w:t>Each</w:t>
      </w:r>
      <w:r w:rsidR="004F2C8A">
        <w:t xml:space="preserve"> </w:t>
      </w:r>
      <w:r w:rsidR="009F19E0" w:rsidRPr="00DF7BBA">
        <w:t xml:space="preserve">PLA </w:t>
      </w:r>
      <w:r w:rsidR="00222566">
        <w:t xml:space="preserve">also </w:t>
      </w:r>
      <w:r w:rsidR="009F19E0" w:rsidRPr="00DF7BBA">
        <w:t>includes an apprenticeship Memorandum of Understanding (</w:t>
      </w:r>
      <w:r w:rsidR="00222566">
        <w:t>“</w:t>
      </w:r>
      <w:r w:rsidR="009F19E0" w:rsidRPr="0064127F">
        <w:t>MOU</w:t>
      </w:r>
      <w:r w:rsidR="009F19E0" w:rsidRPr="00DF7BBA">
        <w:t>)</w:t>
      </w:r>
      <w:r w:rsidR="00222566">
        <w:t>”</w:t>
      </w:r>
      <w:r w:rsidR="009F19E0" w:rsidRPr="00DF7BBA">
        <w:t xml:space="preserve"> requiring </w:t>
      </w:r>
      <w:r w:rsidR="00222566">
        <w:t xml:space="preserve">that </w:t>
      </w:r>
      <w:r w:rsidR="009F19E0" w:rsidRPr="00DF7BBA">
        <w:t xml:space="preserve">70 percent of </w:t>
      </w:r>
      <w:r w:rsidR="009F19E0">
        <w:t xml:space="preserve">new </w:t>
      </w:r>
      <w:r w:rsidR="009F19E0" w:rsidRPr="00DF7BBA">
        <w:t xml:space="preserve">apprenticeship </w:t>
      </w:r>
      <w:r w:rsidR="009F19E0">
        <w:t xml:space="preserve">positions </w:t>
      </w:r>
      <w:r w:rsidR="009F19E0" w:rsidRPr="00DF7BBA">
        <w:t>be filled by</w:t>
      </w:r>
      <w:r w:rsidR="009F19E0">
        <w:t xml:space="preserve"> </w:t>
      </w:r>
      <w:r w:rsidR="009F19E0" w:rsidRPr="00DF7BBA">
        <w:t xml:space="preserve">graduates of </w:t>
      </w:r>
      <w:r w:rsidR="00222566">
        <w:t>certain</w:t>
      </w:r>
      <w:r w:rsidR="009F19E0">
        <w:t xml:space="preserve"> following pre-apprenticeship programs</w:t>
      </w:r>
      <w:r w:rsidR="00222566">
        <w:t>.</w:t>
      </w:r>
      <w:r w:rsidR="00222566">
        <w:rPr>
          <w:rStyle w:val="FootnoteReference"/>
        </w:rPr>
        <w:footnoteReference w:id="76"/>
      </w:r>
      <w:r w:rsidR="00222566">
        <w:t xml:space="preserve"> These are</w:t>
      </w:r>
      <w:r w:rsidR="009F19E0">
        <w:t>:</w:t>
      </w:r>
      <w:r w:rsidR="00222566">
        <w:t xml:space="preserve"> (1)</w:t>
      </w:r>
      <w:r w:rsidR="009F19E0">
        <w:t xml:space="preserve"> </w:t>
      </w:r>
      <w:r w:rsidR="009F19E0" w:rsidRPr="00DF7BBA">
        <w:t xml:space="preserve">public high school </w:t>
      </w:r>
      <w:r w:rsidR="009F19E0">
        <w:t xml:space="preserve">students from the </w:t>
      </w:r>
      <w:r w:rsidR="009F19E0" w:rsidRPr="00DF7BBA">
        <w:t xml:space="preserve">Edward J. Malloy Initiative for Construction Skills, </w:t>
      </w:r>
      <w:r w:rsidR="00222566">
        <w:t xml:space="preserve">(2) </w:t>
      </w:r>
      <w:r w:rsidR="009F19E0" w:rsidRPr="00DF7BBA">
        <w:t xml:space="preserve">veterans referred by New York City Helmets to Hardhats, </w:t>
      </w:r>
      <w:r w:rsidR="00222566">
        <w:t xml:space="preserve">(3) </w:t>
      </w:r>
      <w:r w:rsidR="009F19E0" w:rsidRPr="00DF7BBA">
        <w:t>women of Nontraditional Employment for Women (</w:t>
      </w:r>
      <w:r w:rsidR="00222566">
        <w:t>“</w:t>
      </w:r>
      <w:r w:rsidR="009F19E0" w:rsidRPr="00DF7BBA">
        <w:t>NEW</w:t>
      </w:r>
      <w:r w:rsidR="00222566">
        <w:t>”</w:t>
      </w:r>
      <w:r w:rsidR="009F19E0" w:rsidRPr="00DF7BBA">
        <w:t xml:space="preserve">), </w:t>
      </w:r>
      <w:r w:rsidR="00222566">
        <w:t xml:space="preserve">(4) </w:t>
      </w:r>
      <w:r w:rsidR="009F19E0" w:rsidRPr="00DF7BBA">
        <w:t>NYCHA and Section 8 residents</w:t>
      </w:r>
      <w:r w:rsidR="009F19E0">
        <w:t>,</w:t>
      </w:r>
      <w:r w:rsidR="009F19E0" w:rsidRPr="00DF7BBA">
        <w:t xml:space="preserve"> and </w:t>
      </w:r>
      <w:r w:rsidR="00222566">
        <w:t xml:space="preserve">(5) </w:t>
      </w:r>
      <w:r w:rsidR="009F19E0" w:rsidRPr="00DF7BBA">
        <w:t xml:space="preserve">employees of certain certified </w:t>
      </w:r>
      <w:r w:rsidR="0033072B" w:rsidRPr="0033072B">
        <w:t>Minority and Women-owned Business Enterprises</w:t>
      </w:r>
      <w:r w:rsidR="0033072B">
        <w:t xml:space="preserve"> (</w:t>
      </w:r>
      <w:r w:rsidR="009F19E0" w:rsidRPr="00DF7BBA">
        <w:t>M/WBEs</w:t>
      </w:r>
      <w:r w:rsidR="0033072B">
        <w:t>)</w:t>
      </w:r>
      <w:r w:rsidR="009F19E0" w:rsidRPr="00DF7BBA">
        <w:t>.</w:t>
      </w:r>
      <w:r w:rsidR="009F19E0">
        <w:rPr>
          <w:rStyle w:val="FootnoteReference"/>
        </w:rPr>
        <w:footnoteReference w:id="77"/>
      </w:r>
      <w:r w:rsidR="009F19E0" w:rsidRPr="00DF7BBA">
        <w:rPr>
          <w:shd w:val="clear" w:color="auto" w:fill="FFFFFF"/>
        </w:rPr>
        <w:t xml:space="preserve"> </w:t>
      </w:r>
      <w:r w:rsidR="00073BBD">
        <w:rPr>
          <w:shd w:val="clear" w:color="auto" w:fill="FFFFFF"/>
        </w:rPr>
        <w:t>Specifically</w:t>
      </w:r>
      <w:r w:rsidR="009F19E0">
        <w:rPr>
          <w:shd w:val="clear" w:color="auto" w:fill="FFFFFF"/>
        </w:rPr>
        <w:t xml:space="preserve">, </w:t>
      </w:r>
      <w:r w:rsidR="009F19E0" w:rsidRPr="00DF7BBA">
        <w:t>15</w:t>
      </w:r>
      <w:r w:rsidR="00222566">
        <w:t xml:space="preserve"> percent</w:t>
      </w:r>
      <w:r w:rsidR="009F19E0" w:rsidRPr="00DF7BBA">
        <w:t xml:space="preserve"> of annual apprenticeship slots </w:t>
      </w:r>
      <w:r w:rsidR="009F19E0">
        <w:t xml:space="preserve">are </w:t>
      </w:r>
      <w:r w:rsidR="009F19E0" w:rsidRPr="00DF7BBA">
        <w:t xml:space="preserve">reserved for </w:t>
      </w:r>
      <w:r w:rsidR="00222566">
        <w:t>female</w:t>
      </w:r>
      <w:r w:rsidR="009F19E0" w:rsidRPr="00DF7BBA">
        <w:t xml:space="preserve"> graduates of NEW’s pre-apprenticeship program.</w:t>
      </w:r>
      <w:r w:rsidR="009F19E0">
        <w:rPr>
          <w:rStyle w:val="FootnoteReference"/>
        </w:rPr>
        <w:footnoteReference w:id="78"/>
      </w:r>
      <w:r w:rsidR="00346828">
        <w:t xml:space="preserve"> </w:t>
      </w:r>
      <w:r w:rsidR="00E24BE6">
        <w:t xml:space="preserve">According to the MOU, </w:t>
      </w:r>
      <w:r w:rsidR="0033072B">
        <w:t>t</w:t>
      </w:r>
      <w:r w:rsidR="00346828">
        <w:t xml:space="preserve">he </w:t>
      </w:r>
      <w:r w:rsidR="009F19E0" w:rsidRPr="00DF7BBA">
        <w:t>BCTC and the Building Trades Employers Association (</w:t>
      </w:r>
      <w:r w:rsidR="00D21288">
        <w:t>“</w:t>
      </w:r>
      <w:r w:rsidR="009F19E0" w:rsidRPr="00DF7BBA">
        <w:t>BTEA</w:t>
      </w:r>
      <w:r w:rsidR="0033072B">
        <w:t>”)</w:t>
      </w:r>
      <w:r w:rsidR="00E24BE6">
        <w:t xml:space="preserve"> are required </w:t>
      </w:r>
      <w:r w:rsidR="00346828" w:rsidRPr="0064127F">
        <w:t>to pursue</w:t>
      </w:r>
      <w:r w:rsidR="009F19E0" w:rsidRPr="00DF7BBA">
        <w:t xml:space="preserve"> fund</w:t>
      </w:r>
      <w:r w:rsidR="00346828">
        <w:t>s</w:t>
      </w:r>
      <w:r w:rsidR="009F19E0" w:rsidRPr="00DF7BBA">
        <w:t xml:space="preserve"> to support </w:t>
      </w:r>
      <w:r w:rsidR="00346828">
        <w:t xml:space="preserve">these goals; namely through pledged </w:t>
      </w:r>
      <w:r w:rsidR="008B4C2B">
        <w:t>support of</w:t>
      </w:r>
      <w:r w:rsidR="009F19E0" w:rsidRPr="00DF7BBA">
        <w:t xml:space="preserve"> pre-apprenticeship </w:t>
      </w:r>
      <w:r w:rsidR="00BA2707">
        <w:t>positions,</w:t>
      </w:r>
      <w:r w:rsidR="009F19E0" w:rsidRPr="00DF7BBA">
        <w:t xml:space="preserve"> in order to reach scheduled annual </w:t>
      </w:r>
      <w:r w:rsidR="00346828">
        <w:t xml:space="preserve">targets for the </w:t>
      </w:r>
      <w:r w:rsidR="009F19E0" w:rsidRPr="00DF7BBA">
        <w:t>apprenticeship</w:t>
      </w:r>
      <w:r w:rsidR="00346828">
        <w:t>s</w:t>
      </w:r>
      <w:r w:rsidR="009F19E0" w:rsidRPr="00DF7BBA">
        <w:t>.</w:t>
      </w:r>
      <w:r w:rsidR="009F19E0">
        <w:rPr>
          <w:rStyle w:val="FootnoteReference"/>
        </w:rPr>
        <w:footnoteReference w:id="79"/>
      </w:r>
      <w:r w:rsidR="009F19E0" w:rsidRPr="00DF7BBA">
        <w:t xml:space="preserve"> </w:t>
      </w:r>
    </w:p>
    <w:p w14:paraId="1CB1E414" w14:textId="6F376492" w:rsidR="002A5C6E" w:rsidRPr="00346828" w:rsidRDefault="00346828" w:rsidP="00563A14">
      <w:pPr>
        <w:spacing w:line="480" w:lineRule="auto"/>
        <w:ind w:firstLine="720"/>
        <w:contextualSpacing/>
        <w:jc w:val="both"/>
      </w:pPr>
      <w:r w:rsidRPr="00DF7BBA">
        <w:t xml:space="preserve">Upon the announcement of the agreement, some expressed skepticism about the deal, </w:t>
      </w:r>
      <w:r>
        <w:t>charging</w:t>
      </w:r>
      <w:r w:rsidRPr="00DF7BBA">
        <w:t xml:space="preserve"> that </w:t>
      </w:r>
      <w:r>
        <w:t>the Mayor’s Office</w:t>
      </w:r>
      <w:r w:rsidRPr="00DF7BBA">
        <w:t xml:space="preserve"> did not address whether contractors or the BCTC would be penalized </w:t>
      </w:r>
      <w:r>
        <w:t>if they</w:t>
      </w:r>
      <w:r w:rsidRPr="00DF7BBA">
        <w:t xml:space="preserve"> fail</w:t>
      </w:r>
      <w:r>
        <w:t>ed</w:t>
      </w:r>
      <w:r w:rsidRPr="00DF7BBA">
        <w:t xml:space="preserve"> to meet </w:t>
      </w:r>
      <w:r>
        <w:t>their</w:t>
      </w:r>
      <w:r w:rsidRPr="00DF7BBA">
        <w:t xml:space="preserve"> targets.</w:t>
      </w:r>
      <w:r>
        <w:rPr>
          <w:rStyle w:val="FootnoteReference"/>
        </w:rPr>
        <w:footnoteReference w:id="80"/>
      </w:r>
      <w:r>
        <w:t xml:space="preserve"> </w:t>
      </w:r>
      <w:r w:rsidRPr="00DF7BBA">
        <w:t xml:space="preserve">The Minority and Women Contractors Developers Association </w:t>
      </w:r>
      <w:r>
        <w:t xml:space="preserve">also </w:t>
      </w:r>
      <w:r w:rsidR="003E2079">
        <w:t>remained skeptical and emphasized the importance of how the</w:t>
      </w:r>
      <w:r>
        <w:t xml:space="preserve"> stated goals might</w:t>
      </w:r>
      <w:r w:rsidRPr="00DF7BBA">
        <w:t xml:space="preserve"> interact with other minority and </w:t>
      </w:r>
      <w:r>
        <w:t>women-owned</w:t>
      </w:r>
      <w:r w:rsidRPr="00DF7BBA">
        <w:t xml:space="preserve"> business targets on publicly</w:t>
      </w:r>
      <w:r>
        <w:t>-</w:t>
      </w:r>
      <w:r w:rsidRPr="00DF7BBA">
        <w:t>funded projects.</w:t>
      </w:r>
      <w:r>
        <w:rPr>
          <w:rStyle w:val="FootnoteReference"/>
        </w:rPr>
        <w:footnoteReference w:id="81"/>
      </w:r>
      <w:r w:rsidRPr="00DF7BBA">
        <w:t xml:space="preserve"> </w:t>
      </w:r>
      <w:r>
        <w:t>However, the d</w:t>
      </w:r>
      <w:r w:rsidRPr="00DF7BBA">
        <w:t>e Blasio</w:t>
      </w:r>
      <w:r>
        <w:t xml:space="preserve"> Administration</w:t>
      </w:r>
      <w:r w:rsidRPr="00DF7BBA">
        <w:t xml:space="preserve"> and the BCTC touted </w:t>
      </w:r>
      <w:r>
        <w:t xml:space="preserve">that </w:t>
      </w:r>
      <w:r w:rsidRPr="00DF7BBA">
        <w:t xml:space="preserve">the PLA </w:t>
      </w:r>
      <w:r>
        <w:t xml:space="preserve">would </w:t>
      </w:r>
      <w:r w:rsidRPr="00DF7BBA">
        <w:t xml:space="preserve">connect low-income New Yorkers and those from marginalized communities with apprenticeship opportunities that will lead to </w:t>
      </w:r>
      <w:r>
        <w:t>well-</w:t>
      </w:r>
      <w:r w:rsidRPr="00DF7BBA">
        <w:t xml:space="preserve">paid </w:t>
      </w:r>
      <w:r>
        <w:t>unionized jobs in the construction industry</w:t>
      </w:r>
      <w:r w:rsidRPr="00DF7BBA">
        <w:t>.</w:t>
      </w:r>
      <w:r>
        <w:rPr>
          <w:rStyle w:val="FootnoteReference"/>
        </w:rPr>
        <w:footnoteReference w:id="82"/>
      </w:r>
      <w:r>
        <w:t xml:space="preserve"> </w:t>
      </w:r>
    </w:p>
    <w:p w14:paraId="465F3077" w14:textId="399166AA" w:rsidR="006154BA" w:rsidRPr="003571DE" w:rsidRDefault="006154BA" w:rsidP="006154BA">
      <w:pPr>
        <w:spacing w:line="480" w:lineRule="auto"/>
        <w:jc w:val="both"/>
        <w:rPr>
          <w:i/>
        </w:rPr>
      </w:pPr>
      <w:r w:rsidRPr="003571DE">
        <w:rPr>
          <w:i/>
        </w:rPr>
        <w:t>HireNY</w:t>
      </w:r>
      <w:r w:rsidR="00650DE7">
        <w:rPr>
          <w:i/>
        </w:rPr>
        <w:t>C: NYCEDC Development</w:t>
      </w:r>
    </w:p>
    <w:p w14:paraId="06BC86F6" w14:textId="77777777" w:rsidR="000B5179" w:rsidRDefault="006154BA" w:rsidP="000B5179">
      <w:pPr>
        <w:spacing w:line="480" w:lineRule="auto"/>
        <w:ind w:firstLine="720"/>
        <w:jc w:val="both"/>
        <w:rPr>
          <w:shd w:val="clear" w:color="auto" w:fill="FFFFFF"/>
        </w:rPr>
      </w:pPr>
      <w:r w:rsidRPr="002F33E2">
        <w:rPr>
          <w:rFonts w:eastAsia="Calibri"/>
        </w:rPr>
        <w:t xml:space="preserve">In October 2015, </w:t>
      </w:r>
      <w:r>
        <w:rPr>
          <w:rFonts w:eastAsia="Calibri"/>
        </w:rPr>
        <w:t>Mayor de Blasio</w:t>
      </w:r>
      <w:r w:rsidRPr="002F33E2">
        <w:rPr>
          <w:rFonts w:eastAsia="Calibri"/>
        </w:rPr>
        <w:t xml:space="preserve"> </w:t>
      </w:r>
      <w:r>
        <w:rPr>
          <w:rFonts w:eastAsia="Calibri"/>
        </w:rPr>
        <w:t xml:space="preserve">announced </w:t>
      </w:r>
      <w:r>
        <w:rPr>
          <w:shd w:val="clear" w:color="auto" w:fill="FFFFFF"/>
        </w:rPr>
        <w:t>a new citywide initiative</w:t>
      </w:r>
      <w:r w:rsidR="00A16C92">
        <w:rPr>
          <w:shd w:val="clear" w:color="auto" w:fill="FFFFFF"/>
        </w:rPr>
        <w:t xml:space="preserve"> called </w:t>
      </w:r>
      <w:r w:rsidRPr="00C07B3C">
        <w:rPr>
          <w:i/>
          <w:shd w:val="clear" w:color="auto" w:fill="FFFFFF"/>
        </w:rPr>
        <w:t>HireNYC</w:t>
      </w:r>
      <w:r>
        <w:rPr>
          <w:shd w:val="clear" w:color="auto" w:fill="FFFFFF"/>
        </w:rPr>
        <w:t>, a public</w:t>
      </w:r>
      <w:r w:rsidR="00A16C92">
        <w:rPr>
          <w:shd w:val="clear" w:color="auto" w:fill="FFFFFF"/>
        </w:rPr>
        <w:t>-</w:t>
      </w:r>
      <w:r>
        <w:rPr>
          <w:shd w:val="clear" w:color="auto" w:fill="FFFFFF"/>
        </w:rPr>
        <w:t>private partnership designed to create new jobs and training opportunities for New</w:t>
      </w:r>
      <w:r w:rsidR="004354EE">
        <w:rPr>
          <w:shd w:val="clear" w:color="auto" w:fill="FFFFFF"/>
        </w:rPr>
        <w:t xml:space="preserve"> Yorkers</w:t>
      </w:r>
      <w:r w:rsidRPr="002F33E2">
        <w:rPr>
          <w:shd w:val="clear" w:color="auto" w:fill="FFFFFF"/>
        </w:rPr>
        <w:t>.</w:t>
      </w:r>
      <w:r w:rsidRPr="002F33E2">
        <w:rPr>
          <w:rStyle w:val="FootnoteReference"/>
          <w:shd w:val="clear" w:color="auto" w:fill="FFFFFF"/>
        </w:rPr>
        <w:footnoteReference w:id="83"/>
      </w:r>
      <w:r>
        <w:rPr>
          <w:shd w:val="clear" w:color="auto" w:fill="FFFFFF"/>
        </w:rPr>
        <w:t xml:space="preserve"> </w:t>
      </w:r>
      <w:r w:rsidRPr="002F33E2">
        <w:rPr>
          <w:shd w:val="clear" w:color="auto" w:fill="FFFFFF"/>
        </w:rPr>
        <w:t xml:space="preserve">According to </w:t>
      </w:r>
      <w:r>
        <w:rPr>
          <w:shd w:val="clear" w:color="auto" w:fill="FFFFFF"/>
        </w:rPr>
        <w:t xml:space="preserve">the </w:t>
      </w:r>
      <w:r w:rsidR="004354EE">
        <w:rPr>
          <w:shd w:val="clear" w:color="auto" w:fill="FFFFFF"/>
        </w:rPr>
        <w:t>de Blasio A</w:t>
      </w:r>
      <w:r w:rsidRPr="002F33E2">
        <w:rPr>
          <w:shd w:val="clear" w:color="auto" w:fill="FFFFFF"/>
        </w:rPr>
        <w:t xml:space="preserve">dministration, </w:t>
      </w:r>
      <w:r w:rsidRPr="004354EE">
        <w:rPr>
          <w:i/>
          <w:iCs/>
          <w:shd w:val="clear" w:color="auto" w:fill="FFFFFF"/>
        </w:rPr>
        <w:t>HireNYC</w:t>
      </w:r>
      <w:r w:rsidRPr="002F33E2">
        <w:rPr>
          <w:shd w:val="clear" w:color="auto" w:fill="FFFFFF"/>
        </w:rPr>
        <w:t xml:space="preserve"> </w:t>
      </w:r>
      <w:r w:rsidR="004354EE">
        <w:rPr>
          <w:shd w:val="clear" w:color="auto" w:fill="FFFFFF"/>
        </w:rPr>
        <w:t>would leverage the City’s purchasing power and public investment in construction and real estate,</w:t>
      </w:r>
      <w:r w:rsidR="004354EE">
        <w:rPr>
          <w:rStyle w:val="FootnoteReference"/>
          <w:shd w:val="clear" w:color="auto" w:fill="FFFFFF"/>
        </w:rPr>
        <w:footnoteReference w:id="84"/>
      </w:r>
      <w:r w:rsidR="004354EE">
        <w:rPr>
          <w:shd w:val="clear" w:color="auto" w:fill="FFFFFF"/>
        </w:rPr>
        <w:t xml:space="preserve"> and </w:t>
      </w:r>
      <w:r w:rsidRPr="002F33E2">
        <w:rPr>
          <w:shd w:val="clear" w:color="auto" w:fill="FFFFFF"/>
        </w:rPr>
        <w:t>ensure that large contracts</w:t>
      </w:r>
      <w:r w:rsidR="004354EE">
        <w:rPr>
          <w:shd w:val="clear" w:color="auto" w:fill="FFFFFF"/>
        </w:rPr>
        <w:t>,</w:t>
      </w:r>
      <w:r w:rsidRPr="002F33E2">
        <w:rPr>
          <w:shd w:val="clear" w:color="auto" w:fill="FFFFFF"/>
        </w:rPr>
        <w:t xml:space="preserve"> which make up over 90 percent</w:t>
      </w:r>
      <w:r w:rsidRPr="002F33E2">
        <w:rPr>
          <w:b/>
          <w:bCs/>
          <w:shd w:val="clear" w:color="auto" w:fill="FFFFFF"/>
        </w:rPr>
        <w:t> </w:t>
      </w:r>
      <w:r w:rsidRPr="002F33E2">
        <w:rPr>
          <w:shd w:val="clear" w:color="auto" w:fill="FFFFFF"/>
        </w:rPr>
        <w:t xml:space="preserve">of the City’s non-emergency spending, as well as construction and development investments, </w:t>
      </w:r>
      <w:r w:rsidR="004354EE">
        <w:rPr>
          <w:shd w:val="clear" w:color="auto" w:fill="FFFFFF"/>
        </w:rPr>
        <w:t>would</w:t>
      </w:r>
      <w:r w:rsidRPr="002F33E2">
        <w:rPr>
          <w:shd w:val="clear" w:color="auto" w:fill="FFFFFF"/>
        </w:rPr>
        <w:t xml:space="preserve"> help provide New Yorkers with access to thousands of jobs.</w:t>
      </w:r>
      <w:r w:rsidRPr="002F33E2">
        <w:rPr>
          <w:rStyle w:val="FootnoteReference"/>
          <w:shd w:val="clear" w:color="auto" w:fill="FFFFFF"/>
        </w:rPr>
        <w:footnoteReference w:id="85"/>
      </w:r>
      <w:r>
        <w:rPr>
          <w:shd w:val="clear" w:color="auto" w:fill="FFFFFF"/>
        </w:rPr>
        <w:t xml:space="preserve"> The citywide initiative </w:t>
      </w:r>
      <w:r w:rsidR="00EC531C">
        <w:rPr>
          <w:shd w:val="clear" w:color="auto" w:fill="FFFFFF"/>
        </w:rPr>
        <w:t xml:space="preserve">was also designed to </w:t>
      </w:r>
      <w:r>
        <w:rPr>
          <w:shd w:val="clear" w:color="auto" w:fill="FFFFFF"/>
        </w:rPr>
        <w:t>expand</w:t>
      </w:r>
      <w:r w:rsidR="00EC531C">
        <w:rPr>
          <w:shd w:val="clear" w:color="auto" w:fill="FFFFFF"/>
        </w:rPr>
        <w:t xml:space="preserve"> upon </w:t>
      </w:r>
      <w:r w:rsidRPr="002F33E2">
        <w:rPr>
          <w:shd w:val="clear" w:color="auto" w:fill="FFFFFF"/>
        </w:rPr>
        <w:t>targeted hiring programs</w:t>
      </w:r>
      <w:r w:rsidR="00EC531C">
        <w:rPr>
          <w:shd w:val="clear" w:color="auto" w:fill="FFFFFF"/>
        </w:rPr>
        <w:t>,</w:t>
      </w:r>
      <w:r w:rsidRPr="002F33E2">
        <w:rPr>
          <w:shd w:val="clear" w:color="auto" w:fill="FFFFFF"/>
        </w:rPr>
        <w:t xml:space="preserve"> </w:t>
      </w:r>
      <w:r>
        <w:rPr>
          <w:shd w:val="clear" w:color="auto" w:fill="FFFFFF"/>
        </w:rPr>
        <w:t xml:space="preserve">while also </w:t>
      </w:r>
      <w:r w:rsidR="00EC531C">
        <w:rPr>
          <w:shd w:val="clear" w:color="auto" w:fill="FFFFFF"/>
        </w:rPr>
        <w:t>establishing</w:t>
      </w:r>
      <w:r w:rsidRPr="002F33E2">
        <w:rPr>
          <w:shd w:val="clear" w:color="auto" w:fill="FFFFFF"/>
        </w:rPr>
        <w:t xml:space="preserve"> new guidelines to require employers receiving City contracts</w:t>
      </w:r>
      <w:r w:rsidR="00A027FD">
        <w:rPr>
          <w:shd w:val="clear" w:color="auto" w:fill="FFFFFF"/>
        </w:rPr>
        <w:t xml:space="preserve"> –</w:t>
      </w:r>
      <w:r w:rsidR="00EC531C">
        <w:rPr>
          <w:shd w:val="clear" w:color="auto" w:fill="FFFFFF"/>
        </w:rPr>
        <w:t xml:space="preserve"> </w:t>
      </w:r>
      <w:r w:rsidRPr="002F33E2">
        <w:rPr>
          <w:shd w:val="clear" w:color="auto" w:fill="FFFFFF"/>
        </w:rPr>
        <w:t>or working on development projects receiving City subsidies</w:t>
      </w:r>
      <w:r w:rsidR="00EC531C">
        <w:rPr>
          <w:shd w:val="clear" w:color="auto" w:fill="FFFFFF"/>
        </w:rPr>
        <w:t xml:space="preserve"> </w:t>
      </w:r>
      <w:r w:rsidR="00A027FD">
        <w:rPr>
          <w:shd w:val="clear" w:color="auto" w:fill="FFFFFF"/>
        </w:rPr>
        <w:t>–</w:t>
      </w:r>
      <w:r w:rsidRPr="002F33E2">
        <w:rPr>
          <w:shd w:val="clear" w:color="auto" w:fill="FFFFFF"/>
        </w:rPr>
        <w:t xml:space="preserve"> to work with the City’s public workforce.</w:t>
      </w:r>
      <w:r w:rsidRPr="002F33E2">
        <w:rPr>
          <w:rStyle w:val="FootnoteReference"/>
          <w:shd w:val="clear" w:color="auto" w:fill="FFFFFF"/>
        </w:rPr>
        <w:footnoteReference w:id="86"/>
      </w:r>
      <w:r>
        <w:rPr>
          <w:shd w:val="clear" w:color="auto" w:fill="FFFFFF"/>
        </w:rPr>
        <w:t xml:space="preserve"> </w:t>
      </w:r>
      <w:r w:rsidR="00EC531C">
        <w:rPr>
          <w:shd w:val="clear" w:color="auto" w:fill="FFFFFF"/>
        </w:rPr>
        <w:t xml:space="preserve">Further, </w:t>
      </w:r>
      <w:r w:rsidRPr="00C07B3C">
        <w:rPr>
          <w:i/>
          <w:shd w:val="clear" w:color="auto" w:fill="FFFFFF"/>
        </w:rPr>
        <w:t>HireNYC</w:t>
      </w:r>
      <w:r w:rsidRPr="002C2D7A">
        <w:rPr>
          <w:shd w:val="clear" w:color="auto" w:fill="FFFFFF"/>
        </w:rPr>
        <w:t xml:space="preserve"> includes five different programs</w:t>
      </w:r>
      <w:r w:rsidR="00EC531C">
        <w:rPr>
          <w:shd w:val="clear" w:color="auto" w:fill="FFFFFF"/>
        </w:rPr>
        <w:t>,</w:t>
      </w:r>
      <w:r w:rsidRPr="002C2D7A">
        <w:rPr>
          <w:shd w:val="clear" w:color="auto" w:fill="FFFFFF"/>
        </w:rPr>
        <w:t xml:space="preserve"> applying to different aspects of city business, and each program has differing requirements</w:t>
      </w:r>
      <w:r w:rsidRPr="002C2D7A">
        <w:rPr>
          <w:shd w:val="clear" w:color="auto" w:fill="FFFFFF"/>
          <w:vertAlign w:val="superscript"/>
        </w:rPr>
        <w:footnoteReference w:id="87"/>
      </w:r>
      <w:r w:rsidR="0097064B">
        <w:rPr>
          <w:shd w:val="clear" w:color="auto" w:fill="FFFFFF"/>
        </w:rPr>
        <w:t xml:space="preserve"> and requires qualifying</w:t>
      </w:r>
      <w:r>
        <w:rPr>
          <w:shd w:val="clear" w:color="auto" w:fill="FFFFFF"/>
        </w:rPr>
        <w:t xml:space="preserve"> developers, general c</w:t>
      </w:r>
      <w:r w:rsidRPr="002C2D7A">
        <w:rPr>
          <w:shd w:val="clear" w:color="auto" w:fill="FFFFFF"/>
        </w:rPr>
        <w:t>ontractors</w:t>
      </w:r>
      <w:r w:rsidR="0097064B">
        <w:rPr>
          <w:shd w:val="clear" w:color="auto" w:fill="FFFFFF"/>
        </w:rPr>
        <w:t>,</w:t>
      </w:r>
      <w:r w:rsidRPr="002C2D7A">
        <w:rPr>
          <w:shd w:val="clear" w:color="auto" w:fill="FFFFFF"/>
        </w:rPr>
        <w:t xml:space="preserve"> and sub-contractors </w:t>
      </w:r>
      <w:r w:rsidR="0097064B">
        <w:rPr>
          <w:shd w:val="clear" w:color="auto" w:fill="FFFFFF"/>
        </w:rPr>
        <w:t>to</w:t>
      </w:r>
      <w:r w:rsidRPr="002C2D7A">
        <w:rPr>
          <w:shd w:val="clear" w:color="auto" w:fill="FFFFFF"/>
        </w:rPr>
        <w:t xml:space="preserve"> enroll with the </w:t>
      </w:r>
      <w:r w:rsidRPr="0097064B">
        <w:rPr>
          <w:bCs/>
          <w:i/>
          <w:iCs/>
          <w:shd w:val="clear" w:color="auto" w:fill="FFFFFF"/>
        </w:rPr>
        <w:t>HireNYC portal</w:t>
      </w:r>
      <w:r w:rsidR="00EC531C">
        <w:rPr>
          <w:rStyle w:val="FootnoteReference"/>
          <w:bCs/>
          <w:shd w:val="clear" w:color="auto" w:fill="FFFFFF"/>
        </w:rPr>
        <w:footnoteReference w:id="88"/>
      </w:r>
      <w:r w:rsidRPr="002C2D7A">
        <w:rPr>
          <w:shd w:val="clear" w:color="auto" w:fill="FFFFFF"/>
        </w:rPr>
        <w:t> and interview qualified candidates who meet the requirements of th</w:t>
      </w:r>
      <w:r>
        <w:rPr>
          <w:shd w:val="clear" w:color="auto" w:fill="FFFFFF"/>
        </w:rPr>
        <w:t>e entry and mid-level positions associated with the contract</w:t>
      </w:r>
      <w:r w:rsidRPr="002C2D7A">
        <w:rPr>
          <w:shd w:val="clear" w:color="auto" w:fill="FFFFFF"/>
        </w:rPr>
        <w:t>.</w:t>
      </w:r>
      <w:r>
        <w:rPr>
          <w:rStyle w:val="FootnoteReference"/>
          <w:shd w:val="clear" w:color="auto" w:fill="FFFFFF"/>
        </w:rPr>
        <w:footnoteReference w:id="89"/>
      </w:r>
    </w:p>
    <w:p w14:paraId="35756A91" w14:textId="6327BE4D" w:rsidR="006154BA" w:rsidRDefault="006154BA" w:rsidP="000B5179">
      <w:pPr>
        <w:spacing w:line="480" w:lineRule="auto"/>
        <w:ind w:firstLine="720"/>
        <w:jc w:val="both"/>
        <w:rPr>
          <w:shd w:val="clear" w:color="auto" w:fill="FFFFFF"/>
        </w:rPr>
      </w:pPr>
      <w:r>
        <w:rPr>
          <w:shd w:val="clear" w:color="auto" w:fill="FFFFFF"/>
        </w:rPr>
        <w:t xml:space="preserve">Under the </w:t>
      </w:r>
      <w:r w:rsidRPr="00C07B3C">
        <w:rPr>
          <w:i/>
          <w:shd w:val="clear" w:color="auto" w:fill="FFFFFF"/>
        </w:rPr>
        <w:t>HireNYC</w:t>
      </w:r>
      <w:r>
        <w:rPr>
          <w:shd w:val="clear" w:color="auto" w:fill="FFFFFF"/>
        </w:rPr>
        <w:t xml:space="preserve"> initiative, s</w:t>
      </w:r>
      <w:r w:rsidRPr="002C2D7A">
        <w:rPr>
          <w:shd w:val="clear" w:color="auto" w:fill="FFFFFF"/>
        </w:rPr>
        <w:t xml:space="preserve">olicitations for </w:t>
      </w:r>
      <w:r w:rsidR="00EA7F51">
        <w:rPr>
          <w:shd w:val="clear" w:color="auto" w:fill="FFFFFF"/>
        </w:rPr>
        <w:t>NYC Economic Development Corporation (“</w:t>
      </w:r>
      <w:r w:rsidRPr="002C2D7A">
        <w:rPr>
          <w:shd w:val="clear" w:color="auto" w:fill="FFFFFF"/>
        </w:rPr>
        <w:t>NYCEDC</w:t>
      </w:r>
      <w:r w:rsidR="00EA7F51">
        <w:rPr>
          <w:shd w:val="clear" w:color="auto" w:fill="FFFFFF"/>
        </w:rPr>
        <w:t>”)</w:t>
      </w:r>
      <w:r w:rsidRPr="002C2D7A">
        <w:rPr>
          <w:shd w:val="clear" w:color="auto" w:fill="FFFFFF"/>
        </w:rPr>
        <w:t xml:space="preserve"> projects</w:t>
      </w:r>
      <w:r w:rsidR="00A14CFF">
        <w:rPr>
          <w:shd w:val="clear" w:color="auto" w:fill="FFFFFF"/>
        </w:rPr>
        <w:t xml:space="preserve"> valued</w:t>
      </w:r>
      <w:r w:rsidRPr="002C2D7A">
        <w:rPr>
          <w:shd w:val="clear" w:color="auto" w:fill="FFFFFF"/>
        </w:rPr>
        <w:t xml:space="preserve"> above $1 million</w:t>
      </w:r>
      <w:r w:rsidR="00A14CFF">
        <w:rPr>
          <w:shd w:val="clear" w:color="auto" w:fill="FFFFFF"/>
        </w:rPr>
        <w:t>,</w:t>
      </w:r>
      <w:r w:rsidRPr="002C2D7A">
        <w:rPr>
          <w:shd w:val="clear" w:color="auto" w:fill="FFFFFF"/>
        </w:rPr>
        <w:t xml:space="preserve"> and </w:t>
      </w:r>
      <w:r w:rsidR="00423336">
        <w:rPr>
          <w:shd w:val="clear" w:color="auto" w:fill="FFFFFF"/>
        </w:rPr>
        <w:t>NYC Housing Preservation and Development (“</w:t>
      </w:r>
      <w:r w:rsidRPr="002C2D7A">
        <w:rPr>
          <w:shd w:val="clear" w:color="auto" w:fill="FFFFFF"/>
        </w:rPr>
        <w:t>HPD</w:t>
      </w:r>
      <w:r w:rsidR="00423336">
        <w:rPr>
          <w:shd w:val="clear" w:color="auto" w:fill="FFFFFF"/>
        </w:rPr>
        <w:t>”)</w:t>
      </w:r>
      <w:r w:rsidRPr="002C2D7A">
        <w:rPr>
          <w:shd w:val="clear" w:color="auto" w:fill="FFFFFF"/>
        </w:rPr>
        <w:t xml:space="preserve"> projects </w:t>
      </w:r>
      <w:r w:rsidR="00423336">
        <w:rPr>
          <w:shd w:val="clear" w:color="auto" w:fill="FFFFFF"/>
        </w:rPr>
        <w:t xml:space="preserve">valued </w:t>
      </w:r>
      <w:r w:rsidRPr="002C2D7A">
        <w:rPr>
          <w:shd w:val="clear" w:color="auto" w:fill="FFFFFF"/>
        </w:rPr>
        <w:t>above $2 million</w:t>
      </w:r>
      <w:r w:rsidR="00423336">
        <w:rPr>
          <w:shd w:val="clear" w:color="auto" w:fill="FFFFFF"/>
        </w:rPr>
        <w:t>,</w:t>
      </w:r>
      <w:r w:rsidRPr="002C2D7A">
        <w:rPr>
          <w:shd w:val="clear" w:color="auto" w:fill="FFFFFF"/>
        </w:rPr>
        <w:t xml:space="preserve"> </w:t>
      </w:r>
      <w:r w:rsidR="00423336">
        <w:rPr>
          <w:shd w:val="clear" w:color="auto" w:fill="FFFFFF"/>
        </w:rPr>
        <w:t xml:space="preserve">also </w:t>
      </w:r>
      <w:r w:rsidRPr="002C2D7A">
        <w:rPr>
          <w:shd w:val="clear" w:color="auto" w:fill="FFFFFF"/>
        </w:rPr>
        <w:t>contain new language requiring HireNYC obligations.</w:t>
      </w:r>
      <w:r>
        <w:rPr>
          <w:rStyle w:val="FootnoteReference"/>
          <w:shd w:val="clear" w:color="auto" w:fill="FFFFFF"/>
        </w:rPr>
        <w:footnoteReference w:id="90"/>
      </w:r>
      <w:r>
        <w:rPr>
          <w:shd w:val="clear" w:color="auto" w:fill="FFFFFF"/>
        </w:rPr>
        <w:t xml:space="preserve"> For example, s</w:t>
      </w:r>
      <w:r w:rsidRPr="002C2D7A">
        <w:rPr>
          <w:shd w:val="clear" w:color="auto" w:fill="FFFFFF"/>
        </w:rPr>
        <w:t>olicitations for NYCEDC projects above $1 million</w:t>
      </w:r>
      <w:r>
        <w:rPr>
          <w:shd w:val="clear" w:color="auto" w:fill="FFFFFF"/>
        </w:rPr>
        <w:t xml:space="preserve"> require qualifying employers hiring for construction-related positions to:</w:t>
      </w:r>
    </w:p>
    <w:p w14:paraId="74861AC8" w14:textId="5BA75AFD" w:rsidR="006154BA" w:rsidRDefault="006154BA" w:rsidP="002A5C6E">
      <w:pPr>
        <w:pStyle w:val="ListParagraph"/>
        <w:numPr>
          <w:ilvl w:val="0"/>
          <w:numId w:val="37"/>
        </w:numPr>
        <w:spacing w:line="360" w:lineRule="auto"/>
        <w:jc w:val="both"/>
        <w:rPr>
          <w:shd w:val="clear" w:color="auto" w:fill="FFFFFF"/>
        </w:rPr>
      </w:pPr>
      <w:r w:rsidRPr="002F29E6">
        <w:rPr>
          <w:shd w:val="clear" w:color="auto" w:fill="FFFFFF"/>
        </w:rPr>
        <w:t xml:space="preserve">Enroll with the </w:t>
      </w:r>
      <w:r w:rsidRPr="00C07B3C">
        <w:rPr>
          <w:i/>
          <w:shd w:val="clear" w:color="auto" w:fill="FFFFFF"/>
        </w:rPr>
        <w:t>HireNYC</w:t>
      </w:r>
      <w:r w:rsidRPr="002F29E6">
        <w:rPr>
          <w:shd w:val="clear" w:color="auto" w:fill="FFFFFF"/>
        </w:rPr>
        <w:t xml:space="preserve"> portal within 30 days of the full execution of the contract</w:t>
      </w:r>
      <w:r w:rsidR="00423336">
        <w:rPr>
          <w:shd w:val="clear" w:color="auto" w:fill="FFFFFF"/>
        </w:rPr>
        <w:t>,</w:t>
      </w:r>
      <w:r w:rsidRPr="002F29E6">
        <w:rPr>
          <w:shd w:val="clear" w:color="auto" w:fill="FFFFFF"/>
        </w:rPr>
        <w:t xml:space="preserve"> in order to att</w:t>
      </w:r>
      <w:r>
        <w:rPr>
          <w:shd w:val="clear" w:color="auto" w:fill="FFFFFF"/>
        </w:rPr>
        <w:t xml:space="preserve">est to upcoming hiring needs; </w:t>
      </w:r>
    </w:p>
    <w:p w14:paraId="57BE7041" w14:textId="77777777" w:rsidR="006154BA" w:rsidRDefault="006154BA" w:rsidP="002A5C6E">
      <w:pPr>
        <w:pStyle w:val="ListParagraph"/>
        <w:numPr>
          <w:ilvl w:val="0"/>
          <w:numId w:val="37"/>
        </w:numPr>
        <w:spacing w:line="360" w:lineRule="auto"/>
        <w:jc w:val="both"/>
        <w:rPr>
          <w:shd w:val="clear" w:color="auto" w:fill="FFFFFF"/>
        </w:rPr>
      </w:pPr>
      <w:r w:rsidRPr="002F29E6">
        <w:rPr>
          <w:shd w:val="clear" w:color="auto" w:fill="FFFFFF"/>
        </w:rPr>
        <w:t xml:space="preserve">Share information about the new entry and mid-level open positions </w:t>
      </w:r>
      <w:r>
        <w:rPr>
          <w:shd w:val="clear" w:color="auto" w:fill="FFFFFF"/>
        </w:rPr>
        <w:t xml:space="preserve">associated with the contract; </w:t>
      </w:r>
    </w:p>
    <w:p w14:paraId="3FE5425C" w14:textId="77777777" w:rsidR="006154BA" w:rsidRDefault="006154BA" w:rsidP="002A5C6E">
      <w:pPr>
        <w:pStyle w:val="ListParagraph"/>
        <w:numPr>
          <w:ilvl w:val="0"/>
          <w:numId w:val="37"/>
        </w:numPr>
        <w:spacing w:line="360" w:lineRule="auto"/>
        <w:jc w:val="both"/>
        <w:rPr>
          <w:shd w:val="clear" w:color="auto" w:fill="FFFFFF"/>
        </w:rPr>
      </w:pPr>
      <w:r w:rsidRPr="002F29E6">
        <w:rPr>
          <w:shd w:val="clear" w:color="auto" w:fill="FFFFFF"/>
        </w:rPr>
        <w:t>Interview the qualified candida</w:t>
      </w:r>
      <w:r>
        <w:rPr>
          <w:shd w:val="clear" w:color="auto" w:fill="FFFFFF"/>
        </w:rPr>
        <w:t xml:space="preserve">tes referred by the City; and </w:t>
      </w:r>
    </w:p>
    <w:p w14:paraId="4A1D287F" w14:textId="32F43093" w:rsidR="00423336" w:rsidRPr="00650DE7" w:rsidRDefault="006154BA" w:rsidP="002A5C6E">
      <w:pPr>
        <w:pStyle w:val="ListParagraph"/>
        <w:numPr>
          <w:ilvl w:val="0"/>
          <w:numId w:val="37"/>
        </w:numPr>
        <w:spacing w:line="480" w:lineRule="auto"/>
        <w:jc w:val="both"/>
        <w:rPr>
          <w:shd w:val="clear" w:color="auto" w:fill="FFFFFF"/>
        </w:rPr>
      </w:pPr>
      <w:r w:rsidRPr="002F29E6">
        <w:rPr>
          <w:shd w:val="clear" w:color="auto" w:fill="FFFFFF"/>
        </w:rPr>
        <w:t>Report on the individuals in</w:t>
      </w:r>
      <w:r>
        <w:rPr>
          <w:shd w:val="clear" w:color="auto" w:fill="FFFFFF"/>
        </w:rPr>
        <w:t>terviewed and hired.</w:t>
      </w:r>
      <w:r w:rsidR="002A5C6E">
        <w:rPr>
          <w:rStyle w:val="FootnoteReference"/>
          <w:shd w:val="clear" w:color="auto" w:fill="FFFFFF"/>
        </w:rPr>
        <w:footnoteReference w:id="91"/>
      </w:r>
      <w:r>
        <w:rPr>
          <w:shd w:val="clear" w:color="auto" w:fill="FFFFFF"/>
        </w:rPr>
        <w:t xml:space="preserve"> </w:t>
      </w:r>
    </w:p>
    <w:p w14:paraId="29D0F314" w14:textId="21BDC725" w:rsidR="006154BA" w:rsidRPr="002C2D7A" w:rsidRDefault="00423336" w:rsidP="001E5BFC">
      <w:pPr>
        <w:spacing w:line="480" w:lineRule="auto"/>
        <w:ind w:firstLine="720"/>
        <w:jc w:val="both"/>
        <w:rPr>
          <w:shd w:val="clear" w:color="auto" w:fill="FFFFFF"/>
        </w:rPr>
      </w:pPr>
      <w:r>
        <w:rPr>
          <w:shd w:val="clear" w:color="auto" w:fill="FFFFFF"/>
        </w:rPr>
        <w:t>Further, w</w:t>
      </w:r>
      <w:r w:rsidR="006154BA" w:rsidRPr="007F2E16">
        <w:rPr>
          <w:shd w:val="clear" w:color="auto" w:fill="FFFFFF"/>
        </w:rPr>
        <w:t>hile</w:t>
      </w:r>
      <w:r>
        <w:rPr>
          <w:shd w:val="clear" w:color="auto" w:fill="FFFFFF"/>
        </w:rPr>
        <w:t xml:space="preserve"> the</w:t>
      </w:r>
      <w:r w:rsidR="006154BA" w:rsidRPr="007F2E16">
        <w:rPr>
          <w:shd w:val="clear" w:color="auto" w:fill="FFFFFF"/>
        </w:rPr>
        <w:t xml:space="preserve"> </w:t>
      </w:r>
      <w:r w:rsidR="006154BA" w:rsidRPr="00C07B3C">
        <w:rPr>
          <w:i/>
          <w:shd w:val="clear" w:color="auto" w:fill="FFFFFF"/>
        </w:rPr>
        <w:t>HireNYC</w:t>
      </w:r>
      <w:r w:rsidRPr="00C07B3C">
        <w:rPr>
          <w:i/>
          <w:shd w:val="clear" w:color="auto" w:fill="FFFFFF"/>
        </w:rPr>
        <w:t xml:space="preserve"> </w:t>
      </w:r>
      <w:r>
        <w:rPr>
          <w:shd w:val="clear" w:color="auto" w:fill="FFFFFF"/>
        </w:rPr>
        <w:t>stipulations would not require</w:t>
      </w:r>
      <w:r w:rsidR="006154BA" w:rsidRPr="007F2E16">
        <w:rPr>
          <w:shd w:val="clear" w:color="auto" w:fill="FFFFFF"/>
        </w:rPr>
        <w:t xml:space="preserve"> an employer to hire the specific candidates that the City referred, it does require that employers comply with NYCEDC’s process of engagement, including providing an explanation as to why it did not hire the c</w:t>
      </w:r>
      <w:r w:rsidR="006154BA">
        <w:rPr>
          <w:shd w:val="clear" w:color="auto" w:fill="FFFFFF"/>
        </w:rPr>
        <w:t>andidates referred by the City</w:t>
      </w:r>
      <w:r>
        <w:rPr>
          <w:shd w:val="clear" w:color="auto" w:fill="FFFFFF"/>
        </w:rPr>
        <w:t xml:space="preserve"> and it creates accountability for breach.</w:t>
      </w:r>
      <w:r w:rsidR="006154BA">
        <w:rPr>
          <w:rStyle w:val="FootnoteReference"/>
          <w:shd w:val="clear" w:color="auto" w:fill="FFFFFF"/>
        </w:rPr>
        <w:footnoteReference w:id="92"/>
      </w:r>
      <w:r w:rsidR="006154BA">
        <w:rPr>
          <w:shd w:val="clear" w:color="auto" w:fill="FFFFFF"/>
        </w:rPr>
        <w:t xml:space="preserve"> </w:t>
      </w:r>
      <w:r>
        <w:rPr>
          <w:shd w:val="clear" w:color="auto" w:fill="FFFFFF"/>
        </w:rPr>
        <w:t>Namely, pursuant to the program’s guidelines, “l</w:t>
      </w:r>
      <w:r w:rsidR="006154BA" w:rsidRPr="007F2E16">
        <w:rPr>
          <w:shd w:val="clear" w:color="auto" w:fill="FFFFFF"/>
        </w:rPr>
        <w:t>iquidated damages of up to $2,500 per breach</w:t>
      </w:r>
      <w:r>
        <w:rPr>
          <w:shd w:val="clear" w:color="auto" w:fill="FFFFFF"/>
        </w:rPr>
        <w:t>”</w:t>
      </w:r>
      <w:r w:rsidR="006154BA" w:rsidRPr="007F2E16">
        <w:rPr>
          <w:shd w:val="clear" w:color="auto" w:fill="FFFFFF"/>
        </w:rPr>
        <w:t xml:space="preserve"> will be assessed for not registering with the</w:t>
      </w:r>
      <w:r w:rsidR="006154BA">
        <w:rPr>
          <w:shd w:val="clear" w:color="auto" w:fill="FFFFFF"/>
        </w:rPr>
        <w:t xml:space="preserve"> </w:t>
      </w:r>
      <w:r w:rsidR="006154BA" w:rsidRPr="00C07B3C">
        <w:rPr>
          <w:i/>
          <w:shd w:val="clear" w:color="auto" w:fill="FFFFFF"/>
        </w:rPr>
        <w:t xml:space="preserve">HireNYC </w:t>
      </w:r>
      <w:r w:rsidR="006154BA">
        <w:rPr>
          <w:shd w:val="clear" w:color="auto" w:fill="FFFFFF"/>
        </w:rPr>
        <w:t>Portal</w:t>
      </w:r>
      <w:r w:rsidR="006154BA" w:rsidRPr="007F2E16">
        <w:rPr>
          <w:shd w:val="clear" w:color="auto" w:fill="FFFFFF"/>
        </w:rPr>
        <w:t xml:space="preserve"> in a timely manner, withholding relevant job openings from the City, or failing to interview qualified candidates</w:t>
      </w:r>
      <w:r>
        <w:rPr>
          <w:shd w:val="clear" w:color="auto" w:fill="FFFFFF"/>
        </w:rPr>
        <w:t>;</w:t>
      </w:r>
      <w:r w:rsidR="006154BA">
        <w:rPr>
          <w:rStyle w:val="FootnoteReference"/>
          <w:shd w:val="clear" w:color="auto" w:fill="FFFFFF"/>
        </w:rPr>
        <w:footnoteReference w:id="93"/>
      </w:r>
      <w:r w:rsidR="006154BA" w:rsidRPr="007F2E16">
        <w:rPr>
          <w:shd w:val="clear" w:color="auto" w:fill="FFFFFF"/>
        </w:rPr>
        <w:t xml:space="preserve"> </w:t>
      </w:r>
      <w:r>
        <w:rPr>
          <w:shd w:val="clear" w:color="auto" w:fill="FFFFFF"/>
        </w:rPr>
        <w:t xml:space="preserve">while </w:t>
      </w:r>
      <w:r w:rsidR="006154BA" w:rsidRPr="007F2E16">
        <w:rPr>
          <w:shd w:val="clear" w:color="auto" w:fill="FFFFFF"/>
        </w:rPr>
        <w:t xml:space="preserve">other breaches could lead to </w:t>
      </w:r>
      <w:r>
        <w:rPr>
          <w:shd w:val="clear" w:color="auto" w:fill="FFFFFF"/>
        </w:rPr>
        <w:t xml:space="preserve">an </w:t>
      </w:r>
      <w:r w:rsidR="006154BA" w:rsidRPr="007F2E16">
        <w:rPr>
          <w:shd w:val="clear" w:color="auto" w:fill="FFFFFF"/>
        </w:rPr>
        <w:t>assessment of $500 in liquidated damages</w:t>
      </w:r>
      <w:r>
        <w:rPr>
          <w:shd w:val="clear" w:color="auto" w:fill="FFFFFF"/>
        </w:rPr>
        <w:t xml:space="preserve"> </w:t>
      </w:r>
      <w:r w:rsidR="006154BA" w:rsidRPr="007F2E16">
        <w:rPr>
          <w:shd w:val="clear" w:color="auto" w:fill="FFFFFF"/>
        </w:rPr>
        <w:t xml:space="preserve">and </w:t>
      </w:r>
      <w:r>
        <w:rPr>
          <w:shd w:val="clear" w:color="auto" w:fill="FFFFFF"/>
        </w:rPr>
        <w:t>“</w:t>
      </w:r>
      <w:r w:rsidR="006154BA" w:rsidRPr="007F2E16">
        <w:rPr>
          <w:shd w:val="clear" w:color="auto" w:fill="FFFFFF"/>
        </w:rPr>
        <w:t>continued failure may lead to the City holding the Contractor in default of the contract.</w:t>
      </w:r>
      <w:r>
        <w:rPr>
          <w:shd w:val="clear" w:color="auto" w:fill="FFFFFF"/>
        </w:rPr>
        <w:t>”</w:t>
      </w:r>
      <w:r w:rsidR="006154BA">
        <w:rPr>
          <w:rStyle w:val="FootnoteReference"/>
          <w:shd w:val="clear" w:color="auto" w:fill="FFFFFF"/>
        </w:rPr>
        <w:footnoteReference w:id="94"/>
      </w:r>
      <w:r w:rsidR="001E5BFC">
        <w:rPr>
          <w:shd w:val="clear" w:color="auto" w:fill="FFFFFF"/>
        </w:rPr>
        <w:t xml:space="preserve"> </w:t>
      </w:r>
      <w:r>
        <w:rPr>
          <w:shd w:val="clear" w:color="auto" w:fill="FFFFFF"/>
        </w:rPr>
        <w:t xml:space="preserve">Additionally, </w:t>
      </w:r>
      <w:r w:rsidR="001E5BFC">
        <w:rPr>
          <w:shd w:val="clear" w:color="auto" w:fill="FFFFFF"/>
        </w:rPr>
        <w:t xml:space="preserve">pursuant to the program, </w:t>
      </w:r>
      <w:r>
        <w:rPr>
          <w:shd w:val="clear" w:color="auto" w:fill="FFFFFF"/>
        </w:rPr>
        <w:t xml:space="preserve">HPD’s </w:t>
      </w:r>
      <w:r w:rsidR="006154BA" w:rsidRPr="00FB1024">
        <w:rPr>
          <w:shd w:val="clear" w:color="auto" w:fill="FFFFFF"/>
        </w:rPr>
        <w:t xml:space="preserve">affordable housing projects receiving $2 million or more in City subsidy </w:t>
      </w:r>
      <w:r w:rsidR="006154BA">
        <w:rPr>
          <w:shd w:val="clear" w:color="auto" w:fill="FFFFFF"/>
        </w:rPr>
        <w:t>r</w:t>
      </w:r>
      <w:r w:rsidR="006154BA" w:rsidRPr="00FB1024">
        <w:rPr>
          <w:shd w:val="clear" w:color="auto" w:fill="FFFFFF"/>
        </w:rPr>
        <w:t>equir</w:t>
      </w:r>
      <w:r w:rsidR="001E5BFC">
        <w:rPr>
          <w:shd w:val="clear" w:color="auto" w:fill="FFFFFF"/>
        </w:rPr>
        <w:t>e</w:t>
      </w:r>
      <w:r w:rsidR="006154BA" w:rsidRPr="00FB1024">
        <w:rPr>
          <w:shd w:val="clear" w:color="auto" w:fill="FFFFFF"/>
        </w:rPr>
        <w:t xml:space="preserve"> developers, contractors and sub-contractors to post open construction positions and to consider qualified Workforce1 candidates.</w:t>
      </w:r>
      <w:r w:rsidR="006154BA" w:rsidRPr="00FB1024">
        <w:rPr>
          <w:shd w:val="clear" w:color="auto" w:fill="FFFFFF"/>
          <w:vertAlign w:val="superscript"/>
        </w:rPr>
        <w:footnoteReference w:id="95"/>
      </w:r>
      <w:r w:rsidR="006154BA" w:rsidRPr="00FB1024">
        <w:rPr>
          <w:shd w:val="clear" w:color="auto" w:fill="FFFFFF"/>
        </w:rPr>
        <w:t xml:space="preserve"> Since March 2016, 34 projects have been included in this program.</w:t>
      </w:r>
      <w:r w:rsidR="006154BA" w:rsidRPr="00FB1024">
        <w:rPr>
          <w:shd w:val="clear" w:color="auto" w:fill="FFFFFF"/>
          <w:vertAlign w:val="superscript"/>
        </w:rPr>
        <w:footnoteReference w:id="96"/>
      </w:r>
    </w:p>
    <w:p w14:paraId="32DE04C6" w14:textId="06998A50" w:rsidR="00556423" w:rsidRPr="00C07B3C" w:rsidRDefault="006154BA" w:rsidP="006154BA">
      <w:pPr>
        <w:spacing w:line="480" w:lineRule="auto"/>
        <w:ind w:firstLine="720"/>
        <w:jc w:val="both"/>
      </w:pPr>
      <w:r>
        <w:rPr>
          <w:shd w:val="clear" w:color="auto" w:fill="FFFFFF"/>
        </w:rPr>
        <w:t>While t</w:t>
      </w:r>
      <w:r w:rsidRPr="0060196F">
        <w:rPr>
          <w:shd w:val="clear" w:color="auto" w:fill="FFFFFF"/>
        </w:rPr>
        <w:t>he</w:t>
      </w:r>
      <w:r>
        <w:rPr>
          <w:shd w:val="clear" w:color="auto" w:fill="FFFFFF"/>
        </w:rPr>
        <w:t xml:space="preserve"> </w:t>
      </w:r>
      <w:r w:rsidRPr="00C07B3C">
        <w:rPr>
          <w:i/>
          <w:shd w:val="clear" w:color="auto" w:fill="FFFFFF"/>
        </w:rPr>
        <w:t>HireNYC</w:t>
      </w:r>
      <w:r w:rsidRPr="0060196F">
        <w:rPr>
          <w:shd w:val="clear" w:color="auto" w:fill="FFFFFF"/>
        </w:rPr>
        <w:t xml:space="preserve"> initiative is considered a local</w:t>
      </w:r>
      <w:r w:rsidR="00762A52">
        <w:rPr>
          <w:shd w:val="clear" w:color="auto" w:fill="FFFFFF"/>
        </w:rPr>
        <w:t xml:space="preserve">- </w:t>
      </w:r>
      <w:r>
        <w:rPr>
          <w:shd w:val="clear" w:color="auto" w:fill="FFFFFF"/>
        </w:rPr>
        <w:t xml:space="preserve">or low-income hiring program, the program is devoid of </w:t>
      </w:r>
      <w:r w:rsidRPr="0060196F">
        <w:rPr>
          <w:shd w:val="clear" w:color="auto" w:fill="FFFFFF"/>
        </w:rPr>
        <w:t>geogr</w:t>
      </w:r>
      <w:r>
        <w:rPr>
          <w:shd w:val="clear" w:color="auto" w:fill="FFFFFF"/>
        </w:rPr>
        <w:t>aphical or income requirements.</w:t>
      </w:r>
      <w:r w:rsidR="00321B5B">
        <w:rPr>
          <w:rStyle w:val="FootnoteReference"/>
          <w:shd w:val="clear" w:color="auto" w:fill="FFFFFF"/>
        </w:rPr>
        <w:footnoteReference w:id="97"/>
      </w:r>
      <w:r>
        <w:rPr>
          <w:shd w:val="clear" w:color="auto" w:fill="FFFFFF"/>
        </w:rPr>
        <w:t xml:space="preserve"> </w:t>
      </w:r>
      <w:r w:rsidRPr="0060196F">
        <w:rPr>
          <w:shd w:val="clear" w:color="auto" w:fill="FFFFFF"/>
        </w:rPr>
        <w:t xml:space="preserve">Instead, many of </w:t>
      </w:r>
      <w:r w:rsidRPr="00C07B3C">
        <w:rPr>
          <w:i/>
          <w:shd w:val="clear" w:color="auto" w:fill="FFFFFF"/>
        </w:rPr>
        <w:t>HireNYC</w:t>
      </w:r>
      <w:r w:rsidRPr="0060196F">
        <w:rPr>
          <w:shd w:val="clear" w:color="auto" w:fill="FFFFFF"/>
        </w:rPr>
        <w:t xml:space="preserve">’s programs encourage employers to </w:t>
      </w:r>
      <w:r>
        <w:rPr>
          <w:shd w:val="clear" w:color="auto" w:fill="FFFFFF"/>
        </w:rPr>
        <w:t xml:space="preserve">consider referrals made by the City </w:t>
      </w:r>
      <w:r w:rsidRPr="0060196F">
        <w:rPr>
          <w:shd w:val="clear" w:color="auto" w:fill="FFFFFF"/>
        </w:rPr>
        <w:t xml:space="preserve">through the </w:t>
      </w:r>
      <w:r w:rsidR="00A0474B">
        <w:rPr>
          <w:shd w:val="clear" w:color="auto" w:fill="FFFFFF"/>
        </w:rPr>
        <w:t>NYC</w:t>
      </w:r>
      <w:r w:rsidR="00CE4630">
        <w:rPr>
          <w:shd w:val="clear" w:color="auto" w:fill="FFFFFF"/>
        </w:rPr>
        <w:t>SBS</w:t>
      </w:r>
      <w:r>
        <w:rPr>
          <w:shd w:val="clear" w:color="auto" w:fill="FFFFFF"/>
        </w:rPr>
        <w:t xml:space="preserve"> </w:t>
      </w:r>
      <w:r w:rsidRPr="0060196F">
        <w:rPr>
          <w:shd w:val="clear" w:color="auto" w:fill="FFFFFF"/>
        </w:rPr>
        <w:t>Workforce1 Career Centers.</w:t>
      </w:r>
      <w:r w:rsidRPr="0060196F">
        <w:rPr>
          <w:rStyle w:val="FootnoteReference"/>
          <w:shd w:val="clear" w:color="auto" w:fill="FFFFFF"/>
        </w:rPr>
        <w:footnoteReference w:id="98"/>
      </w:r>
      <w:r>
        <w:rPr>
          <w:shd w:val="clear" w:color="auto" w:fill="FFFFFF"/>
        </w:rPr>
        <w:t xml:space="preserve"> </w:t>
      </w:r>
      <w:r w:rsidRPr="008C6B7C">
        <w:t xml:space="preserve">There are </w:t>
      </w:r>
      <w:r>
        <w:t xml:space="preserve">an estimated </w:t>
      </w:r>
      <w:r w:rsidRPr="008C6B7C">
        <w:t xml:space="preserve">22 </w:t>
      </w:r>
      <w:r>
        <w:t>Workforce1 Career Centers</w:t>
      </w:r>
      <w:r w:rsidRPr="008C6B7C">
        <w:t xml:space="preserve"> spread throughout the city, which serve</w:t>
      </w:r>
      <w:r w:rsidR="00321B5B">
        <w:t xml:space="preserve"> primarily</w:t>
      </w:r>
      <w:r w:rsidRPr="008C6B7C">
        <w:t xml:space="preserve"> low-income residents.</w:t>
      </w:r>
      <w:r>
        <w:rPr>
          <w:rStyle w:val="FootnoteReference"/>
        </w:rPr>
        <w:footnoteReference w:id="99"/>
      </w:r>
      <w:r w:rsidRPr="008C6B7C">
        <w:t xml:space="preserve"> </w:t>
      </w:r>
      <w:r w:rsidR="00321B5B">
        <w:t>T</w:t>
      </w:r>
      <w:r w:rsidRPr="008C6B7C">
        <w:t xml:space="preserve">he </w:t>
      </w:r>
      <w:r w:rsidR="002A5B6F">
        <w:t>C</w:t>
      </w:r>
      <w:r w:rsidRPr="008C6B7C">
        <w:t xml:space="preserve">ity </w:t>
      </w:r>
      <w:r w:rsidR="00321B5B">
        <w:t xml:space="preserve">also </w:t>
      </w:r>
      <w:r w:rsidRPr="008C6B7C">
        <w:t xml:space="preserve">conducts outreach in neighborhoods near city-supported housing or economic development projects and works with local </w:t>
      </w:r>
      <w:r w:rsidR="002A5B6F">
        <w:t>community-based</w:t>
      </w:r>
      <w:r w:rsidRPr="008C6B7C">
        <w:t xml:space="preserve"> organizations to help residents get referr</w:t>
      </w:r>
      <w:r w:rsidR="00556423">
        <w:t>als</w:t>
      </w:r>
      <w:r w:rsidRPr="008C6B7C">
        <w:t xml:space="preserve"> to the </w:t>
      </w:r>
      <w:r w:rsidR="00556423" w:rsidRPr="00C07B3C">
        <w:rPr>
          <w:i/>
        </w:rPr>
        <w:t xml:space="preserve">HireNYC </w:t>
      </w:r>
      <w:r w:rsidRPr="008C6B7C">
        <w:t>projects through their Workforce1 center.</w:t>
      </w:r>
      <w:r>
        <w:rPr>
          <w:rStyle w:val="FootnoteReference"/>
        </w:rPr>
        <w:footnoteReference w:id="100"/>
      </w:r>
      <w:r>
        <w:t xml:space="preserve"> </w:t>
      </w:r>
      <w:r w:rsidR="00650DE7">
        <w:t xml:space="preserve">To date, there has been little to no information </w:t>
      </w:r>
      <w:r w:rsidR="008D458D">
        <w:t xml:space="preserve">or data publicly released </w:t>
      </w:r>
      <w:r w:rsidR="00650DE7">
        <w:t xml:space="preserve">from which to assess the outcomes </w:t>
      </w:r>
      <w:r w:rsidR="00650DE7" w:rsidRPr="00C07B3C">
        <w:rPr>
          <w:i/>
        </w:rPr>
        <w:t xml:space="preserve">HireNYC Development </w:t>
      </w:r>
      <w:r w:rsidR="00650DE7">
        <w:t>program.</w:t>
      </w:r>
    </w:p>
    <w:p w14:paraId="40BAD658" w14:textId="660B3419" w:rsidR="0068317F" w:rsidRDefault="00B957E4" w:rsidP="006154BA">
      <w:pPr>
        <w:pStyle w:val="ColorfulList-Accent11"/>
        <w:tabs>
          <w:tab w:val="left" w:pos="720"/>
          <w:tab w:val="left" w:pos="1440"/>
          <w:tab w:val="left" w:pos="3176"/>
        </w:tabs>
        <w:spacing w:before="120" w:line="480" w:lineRule="auto"/>
        <w:ind w:left="0"/>
        <w:jc w:val="both"/>
        <w:rPr>
          <w:rFonts w:ascii="Times New Roman" w:hAnsi="Times New Roman"/>
          <w:b/>
          <w:smallCaps/>
        </w:rPr>
      </w:pPr>
      <w:r w:rsidRPr="00254BD0">
        <w:rPr>
          <w:rFonts w:ascii="Times New Roman" w:hAnsi="Times New Roman"/>
          <w:b/>
          <w:smallCaps/>
        </w:rPr>
        <w:t>IV.</w:t>
      </w:r>
      <w:r w:rsidRPr="00254BD0">
        <w:rPr>
          <w:rFonts w:ascii="Times New Roman" w:hAnsi="Times New Roman"/>
          <w:b/>
          <w:smallCaps/>
        </w:rPr>
        <w:tab/>
      </w:r>
      <w:r w:rsidR="00563A14">
        <w:rPr>
          <w:rFonts w:ascii="Times New Roman" w:hAnsi="Times New Roman"/>
          <w:b/>
          <w:smallCaps/>
        </w:rPr>
        <w:t>Proposed</w:t>
      </w:r>
      <w:r w:rsidR="000B5179">
        <w:rPr>
          <w:rFonts w:ascii="Times New Roman" w:hAnsi="Times New Roman"/>
          <w:b/>
          <w:smallCaps/>
        </w:rPr>
        <w:t xml:space="preserve"> </w:t>
      </w:r>
      <w:r w:rsidR="00C52761">
        <w:rPr>
          <w:rFonts w:ascii="Times New Roman" w:hAnsi="Times New Roman"/>
          <w:b/>
          <w:smallCaps/>
        </w:rPr>
        <w:t xml:space="preserve">Int. No </w:t>
      </w:r>
      <w:r w:rsidR="009F19E0">
        <w:rPr>
          <w:rFonts w:ascii="Times New Roman" w:hAnsi="Times New Roman"/>
          <w:b/>
          <w:smallCaps/>
        </w:rPr>
        <w:t>179</w:t>
      </w:r>
      <w:r w:rsidR="00563A14">
        <w:rPr>
          <w:rFonts w:ascii="Times New Roman" w:hAnsi="Times New Roman"/>
          <w:b/>
          <w:smallCaps/>
        </w:rPr>
        <w:t>-A</w:t>
      </w:r>
    </w:p>
    <w:p w14:paraId="1E416D22" w14:textId="55B3876F" w:rsidR="000A4399" w:rsidRPr="000A4399" w:rsidRDefault="00AA1531" w:rsidP="000A4399">
      <w:pPr>
        <w:spacing w:line="480" w:lineRule="auto"/>
        <w:jc w:val="both"/>
      </w:pPr>
      <w:r>
        <w:tab/>
      </w:r>
      <w:r w:rsidR="00563A14">
        <w:t xml:space="preserve">Proposed </w:t>
      </w:r>
      <w:r w:rsidR="00C52761">
        <w:t xml:space="preserve">Int. No. </w:t>
      </w:r>
      <w:r w:rsidR="009F19E0">
        <w:t>179</w:t>
      </w:r>
      <w:r w:rsidR="002A5C6E">
        <w:t>-</w:t>
      </w:r>
      <w:r w:rsidR="00563A14">
        <w:t>A</w:t>
      </w:r>
      <w:r w:rsidR="000A4399">
        <w:t xml:space="preserve"> </w:t>
      </w:r>
      <w:r w:rsidR="000A4399" w:rsidRPr="000A4399">
        <w:t>would require an office designated by the Mayor to submit to the Council and publish online a report containing information about the role of women and gender non-binary, non-conforming, and intersex workers in nontraditional careers no later than July 1, 2023. This report would review the role of women and gender non-binary, non-confirming and intersex workers in nontraditional careers, which would encompass industries that have traditionally hired a higher proportion of male employees, including the construction, utility, maintenance, green and transportation industries. The report would be developed in consultation with various city agencies, individuals who are currently employed in a nontraditional workplace, who work at unions or organizations conducting relevant work or research and at least one representative from a university or similar academic institution with academic experience and expertise in the study and analysis of labor markets and policy. </w:t>
      </w:r>
    </w:p>
    <w:p w14:paraId="2BB630B9" w14:textId="64506585" w:rsidR="000A4399" w:rsidRDefault="000A4399" w:rsidP="009404F1">
      <w:pPr>
        <w:spacing w:line="480" w:lineRule="auto"/>
        <w:ind w:firstLine="720"/>
        <w:jc w:val="both"/>
      </w:pPr>
      <w:r>
        <w:t xml:space="preserve">Since introduction, this bill was amended from requiring the city to create a task force </w:t>
      </w:r>
      <w:r w:rsidR="009F19E0" w:rsidRPr="009F19E0">
        <w:t>to evaluate</w:t>
      </w:r>
      <w:r w:rsidR="009F19E0">
        <w:t xml:space="preserve"> </w:t>
      </w:r>
      <w:r w:rsidR="009F19E0" w:rsidRPr="009F19E0">
        <w:t>the role of women in nontraditional workplaces, such as women in the construction, utilities, maintenance, green, or transportation industries</w:t>
      </w:r>
      <w:r>
        <w:t>, to requiring a report</w:t>
      </w:r>
      <w:r w:rsidR="0080002C">
        <w:t xml:space="preserve">; and on </w:t>
      </w:r>
      <w:r w:rsidR="0080002C" w:rsidRPr="0080002C">
        <w:t>role of women and gender non-binary, non-conforming, and intersex workers in nontraditional careers.</w:t>
      </w:r>
      <w:r w:rsidR="0080002C">
        <w:t xml:space="preserve"> The bill was also amended to clarify that the mayor may choose the office that would create the report, but to also provide more </w:t>
      </w:r>
      <w:r>
        <w:t xml:space="preserve">comprehensive guidance on what the city would study, who the city would consult in creating the report the timeline for the report, and to clarify that the information in the report would be included to the </w:t>
      </w:r>
      <w:r w:rsidRPr="000A4399">
        <w:t>possible without revealing personally identifiable information</w:t>
      </w:r>
      <w:r w:rsidR="009404F1">
        <w:t>.</w:t>
      </w:r>
    </w:p>
    <w:p w14:paraId="7B537FAC" w14:textId="4D55D9F4" w:rsidR="0080002C" w:rsidRDefault="0080002C" w:rsidP="009404F1">
      <w:pPr>
        <w:spacing w:line="480" w:lineRule="auto"/>
        <w:ind w:firstLine="720"/>
        <w:jc w:val="both"/>
      </w:pPr>
    </w:p>
    <w:p w14:paraId="719731D7" w14:textId="505FFAE4" w:rsidR="0080002C" w:rsidRDefault="0080002C" w:rsidP="009404F1">
      <w:pPr>
        <w:spacing w:line="480" w:lineRule="auto"/>
        <w:ind w:firstLine="720"/>
        <w:jc w:val="both"/>
      </w:pPr>
    </w:p>
    <w:p w14:paraId="0D28EB5A" w14:textId="75D98C19" w:rsidR="0080002C" w:rsidRDefault="0080002C" w:rsidP="009404F1">
      <w:pPr>
        <w:spacing w:line="480" w:lineRule="auto"/>
        <w:ind w:firstLine="720"/>
        <w:jc w:val="both"/>
      </w:pPr>
    </w:p>
    <w:p w14:paraId="35E081F6" w14:textId="00E67CFC" w:rsidR="0080002C" w:rsidRDefault="0080002C" w:rsidP="009404F1">
      <w:pPr>
        <w:spacing w:line="480" w:lineRule="auto"/>
        <w:ind w:firstLine="720"/>
        <w:jc w:val="both"/>
      </w:pPr>
    </w:p>
    <w:p w14:paraId="25556F05" w14:textId="5990D162" w:rsidR="0080002C" w:rsidRDefault="0080002C" w:rsidP="009404F1">
      <w:pPr>
        <w:spacing w:line="480" w:lineRule="auto"/>
        <w:ind w:firstLine="720"/>
        <w:jc w:val="both"/>
      </w:pPr>
    </w:p>
    <w:p w14:paraId="23BD7548" w14:textId="364910B1" w:rsidR="0080002C" w:rsidRDefault="0080002C" w:rsidP="009404F1">
      <w:pPr>
        <w:spacing w:line="480" w:lineRule="auto"/>
        <w:ind w:firstLine="720"/>
        <w:jc w:val="both"/>
      </w:pPr>
    </w:p>
    <w:p w14:paraId="2C121F5B" w14:textId="4E49C3B8" w:rsidR="0080002C" w:rsidRDefault="0080002C" w:rsidP="009404F1">
      <w:pPr>
        <w:spacing w:line="480" w:lineRule="auto"/>
        <w:ind w:firstLine="720"/>
        <w:jc w:val="both"/>
      </w:pPr>
    </w:p>
    <w:p w14:paraId="7EE645A1" w14:textId="630A1EE2" w:rsidR="0080002C" w:rsidRDefault="0080002C" w:rsidP="009404F1">
      <w:pPr>
        <w:spacing w:line="480" w:lineRule="auto"/>
        <w:ind w:firstLine="720"/>
        <w:jc w:val="both"/>
      </w:pPr>
    </w:p>
    <w:p w14:paraId="164FA570" w14:textId="088A6B4B" w:rsidR="0080002C" w:rsidRDefault="0080002C" w:rsidP="009404F1">
      <w:pPr>
        <w:spacing w:line="480" w:lineRule="auto"/>
        <w:ind w:firstLine="720"/>
        <w:jc w:val="both"/>
      </w:pPr>
    </w:p>
    <w:p w14:paraId="4142D92A" w14:textId="3C91ED96" w:rsidR="0080002C" w:rsidRDefault="0080002C" w:rsidP="009404F1">
      <w:pPr>
        <w:spacing w:line="480" w:lineRule="auto"/>
        <w:ind w:firstLine="720"/>
        <w:jc w:val="both"/>
      </w:pPr>
    </w:p>
    <w:p w14:paraId="4554585A" w14:textId="4FCE4BC3" w:rsidR="0080002C" w:rsidRDefault="0080002C" w:rsidP="009404F1">
      <w:pPr>
        <w:spacing w:line="480" w:lineRule="auto"/>
        <w:ind w:firstLine="720"/>
        <w:jc w:val="both"/>
      </w:pPr>
    </w:p>
    <w:p w14:paraId="383D543A" w14:textId="23D50D7D" w:rsidR="0080002C" w:rsidRDefault="0080002C" w:rsidP="009404F1">
      <w:pPr>
        <w:spacing w:line="480" w:lineRule="auto"/>
        <w:ind w:firstLine="720"/>
        <w:jc w:val="both"/>
      </w:pPr>
    </w:p>
    <w:p w14:paraId="3F7334C6" w14:textId="41BC6AE5" w:rsidR="0080002C" w:rsidRDefault="0080002C" w:rsidP="009404F1">
      <w:pPr>
        <w:spacing w:line="480" w:lineRule="auto"/>
        <w:ind w:firstLine="720"/>
        <w:jc w:val="both"/>
      </w:pPr>
    </w:p>
    <w:p w14:paraId="745D9A4C" w14:textId="45F53DE9" w:rsidR="0080002C" w:rsidRDefault="0080002C" w:rsidP="009404F1">
      <w:pPr>
        <w:spacing w:line="480" w:lineRule="auto"/>
        <w:ind w:firstLine="720"/>
        <w:jc w:val="both"/>
      </w:pPr>
    </w:p>
    <w:p w14:paraId="6C54E77D" w14:textId="10418A11" w:rsidR="0080002C" w:rsidRDefault="0080002C" w:rsidP="009404F1">
      <w:pPr>
        <w:spacing w:line="480" w:lineRule="auto"/>
        <w:ind w:firstLine="720"/>
        <w:jc w:val="both"/>
      </w:pPr>
    </w:p>
    <w:p w14:paraId="3D5A7821" w14:textId="52BF6E8B" w:rsidR="0080002C" w:rsidRDefault="0080002C" w:rsidP="009404F1">
      <w:pPr>
        <w:spacing w:line="480" w:lineRule="auto"/>
        <w:ind w:firstLine="720"/>
        <w:jc w:val="both"/>
      </w:pPr>
    </w:p>
    <w:p w14:paraId="15009B32" w14:textId="534E98B1" w:rsidR="0080002C" w:rsidRDefault="0080002C" w:rsidP="009404F1">
      <w:pPr>
        <w:spacing w:line="480" w:lineRule="auto"/>
        <w:ind w:firstLine="720"/>
        <w:jc w:val="both"/>
      </w:pPr>
    </w:p>
    <w:p w14:paraId="09449BBD" w14:textId="2817688B" w:rsidR="0080002C" w:rsidRDefault="0080002C" w:rsidP="009404F1">
      <w:pPr>
        <w:spacing w:line="480" w:lineRule="auto"/>
        <w:ind w:firstLine="720"/>
        <w:jc w:val="both"/>
      </w:pPr>
    </w:p>
    <w:p w14:paraId="25126FE5" w14:textId="4F5B5E09" w:rsidR="0080002C" w:rsidRDefault="0080002C" w:rsidP="009404F1">
      <w:pPr>
        <w:spacing w:line="480" w:lineRule="auto"/>
        <w:ind w:firstLine="720"/>
        <w:jc w:val="both"/>
      </w:pPr>
    </w:p>
    <w:p w14:paraId="7F3361CC" w14:textId="713BC9D7" w:rsidR="0080002C" w:rsidRDefault="0080002C" w:rsidP="009404F1">
      <w:pPr>
        <w:spacing w:line="480" w:lineRule="auto"/>
        <w:ind w:firstLine="720"/>
        <w:jc w:val="both"/>
      </w:pPr>
    </w:p>
    <w:p w14:paraId="1DBB2B54" w14:textId="3079F07C" w:rsidR="0080002C" w:rsidRDefault="0080002C" w:rsidP="009404F1">
      <w:pPr>
        <w:spacing w:line="480" w:lineRule="auto"/>
        <w:ind w:firstLine="720"/>
        <w:jc w:val="both"/>
      </w:pPr>
    </w:p>
    <w:p w14:paraId="510B9D03" w14:textId="45935F5F" w:rsidR="0080002C" w:rsidRDefault="0080002C" w:rsidP="009404F1">
      <w:pPr>
        <w:spacing w:line="480" w:lineRule="auto"/>
        <w:ind w:firstLine="720"/>
        <w:jc w:val="both"/>
      </w:pPr>
    </w:p>
    <w:p w14:paraId="41BE8CD7" w14:textId="462DD8F7" w:rsidR="0080002C" w:rsidRDefault="0080002C" w:rsidP="009404F1">
      <w:pPr>
        <w:spacing w:line="480" w:lineRule="auto"/>
        <w:ind w:firstLine="720"/>
        <w:jc w:val="both"/>
      </w:pPr>
    </w:p>
    <w:p w14:paraId="67E952CC" w14:textId="7D1A387E" w:rsidR="0080002C" w:rsidRDefault="0080002C" w:rsidP="009404F1">
      <w:pPr>
        <w:spacing w:line="480" w:lineRule="auto"/>
        <w:ind w:firstLine="720"/>
        <w:jc w:val="both"/>
      </w:pPr>
    </w:p>
    <w:p w14:paraId="16F26619" w14:textId="6C438247" w:rsidR="0080002C" w:rsidRDefault="0080002C" w:rsidP="009404F1">
      <w:pPr>
        <w:spacing w:line="480" w:lineRule="auto"/>
        <w:ind w:firstLine="720"/>
        <w:jc w:val="both"/>
      </w:pPr>
    </w:p>
    <w:p w14:paraId="74E9DCA5" w14:textId="4AC293B6" w:rsidR="0080002C" w:rsidRDefault="0080002C" w:rsidP="009404F1">
      <w:pPr>
        <w:spacing w:line="480" w:lineRule="auto"/>
        <w:ind w:firstLine="720"/>
        <w:jc w:val="both"/>
      </w:pPr>
    </w:p>
    <w:p w14:paraId="25A98B01" w14:textId="159414D5" w:rsidR="0080002C" w:rsidRPr="0080002C" w:rsidRDefault="0080002C" w:rsidP="0080002C">
      <w:pPr>
        <w:spacing w:line="480" w:lineRule="auto"/>
        <w:jc w:val="center"/>
        <w:rPr>
          <w:b/>
          <w:bCs/>
        </w:rPr>
      </w:pPr>
      <w:r w:rsidRPr="0080002C">
        <w:rPr>
          <w:b/>
          <w:bCs/>
        </w:rPr>
        <w:t>(Intentionally left blank)</w:t>
      </w:r>
    </w:p>
    <w:p w14:paraId="4D37BA55" w14:textId="6DF43168" w:rsidR="0080002C" w:rsidRDefault="0080002C" w:rsidP="009404F1">
      <w:pPr>
        <w:spacing w:line="480" w:lineRule="auto"/>
        <w:ind w:firstLine="720"/>
        <w:jc w:val="both"/>
      </w:pPr>
    </w:p>
    <w:p w14:paraId="4C185D83" w14:textId="5DC858CF" w:rsidR="0080002C" w:rsidRDefault="0080002C" w:rsidP="009404F1">
      <w:pPr>
        <w:spacing w:line="480" w:lineRule="auto"/>
        <w:ind w:firstLine="720"/>
        <w:jc w:val="both"/>
      </w:pPr>
    </w:p>
    <w:p w14:paraId="6A03DE74" w14:textId="3179FF81" w:rsidR="0080002C" w:rsidRDefault="0080002C" w:rsidP="009404F1">
      <w:pPr>
        <w:spacing w:line="480" w:lineRule="auto"/>
        <w:ind w:firstLine="720"/>
        <w:jc w:val="both"/>
      </w:pPr>
    </w:p>
    <w:p w14:paraId="304BB8E7" w14:textId="6CEFFA28" w:rsidR="0080002C" w:rsidRDefault="0080002C" w:rsidP="009404F1">
      <w:pPr>
        <w:spacing w:line="480" w:lineRule="auto"/>
        <w:ind w:firstLine="720"/>
        <w:jc w:val="both"/>
      </w:pPr>
    </w:p>
    <w:p w14:paraId="4D5CB502" w14:textId="7898FDE4" w:rsidR="0080002C" w:rsidRDefault="0080002C" w:rsidP="009404F1">
      <w:pPr>
        <w:spacing w:line="480" w:lineRule="auto"/>
        <w:ind w:firstLine="720"/>
        <w:jc w:val="both"/>
      </w:pPr>
    </w:p>
    <w:p w14:paraId="205110D0" w14:textId="77777777" w:rsidR="0080002C" w:rsidRDefault="0080002C" w:rsidP="009404F1">
      <w:pPr>
        <w:spacing w:line="480" w:lineRule="auto"/>
        <w:ind w:firstLine="720"/>
        <w:jc w:val="both"/>
      </w:pPr>
    </w:p>
    <w:p w14:paraId="1F6F2D65" w14:textId="21B679EA" w:rsidR="0080002C" w:rsidRDefault="0080002C" w:rsidP="009404F1">
      <w:pPr>
        <w:spacing w:line="480" w:lineRule="auto"/>
        <w:ind w:firstLine="720"/>
        <w:jc w:val="both"/>
      </w:pPr>
    </w:p>
    <w:p w14:paraId="706FD893" w14:textId="0DD4860D" w:rsidR="00E04F30" w:rsidRDefault="00E04F30" w:rsidP="009404F1">
      <w:pPr>
        <w:spacing w:line="480" w:lineRule="auto"/>
        <w:ind w:firstLine="720"/>
        <w:jc w:val="both"/>
      </w:pPr>
    </w:p>
    <w:p w14:paraId="2D2763EF" w14:textId="5B319F0A" w:rsidR="00E04F30" w:rsidRDefault="00E04F30" w:rsidP="009404F1">
      <w:pPr>
        <w:spacing w:line="480" w:lineRule="auto"/>
        <w:ind w:firstLine="720"/>
        <w:jc w:val="both"/>
      </w:pPr>
    </w:p>
    <w:p w14:paraId="19AF2CF5" w14:textId="77777777" w:rsidR="00E04F30" w:rsidRDefault="00E04F30" w:rsidP="009404F1">
      <w:pPr>
        <w:spacing w:line="480" w:lineRule="auto"/>
        <w:ind w:firstLine="720"/>
        <w:jc w:val="both"/>
      </w:pPr>
    </w:p>
    <w:p w14:paraId="6E237783" w14:textId="61ACC69D" w:rsidR="0080002C" w:rsidRDefault="0080002C" w:rsidP="009404F1">
      <w:pPr>
        <w:spacing w:line="480" w:lineRule="auto"/>
        <w:ind w:firstLine="720"/>
        <w:jc w:val="both"/>
      </w:pPr>
    </w:p>
    <w:p w14:paraId="3C4C4FC6" w14:textId="569D377E" w:rsidR="0080002C" w:rsidRDefault="0080002C" w:rsidP="009404F1">
      <w:pPr>
        <w:spacing w:line="480" w:lineRule="auto"/>
        <w:ind w:firstLine="720"/>
        <w:jc w:val="both"/>
      </w:pPr>
    </w:p>
    <w:p w14:paraId="6866D16F" w14:textId="4B7D8868" w:rsidR="0080002C" w:rsidRDefault="0080002C" w:rsidP="009404F1">
      <w:pPr>
        <w:spacing w:line="480" w:lineRule="auto"/>
        <w:ind w:firstLine="720"/>
        <w:jc w:val="both"/>
      </w:pPr>
    </w:p>
    <w:p w14:paraId="29E6EC01" w14:textId="1AF89D42" w:rsidR="0080002C" w:rsidRDefault="0080002C" w:rsidP="009404F1">
      <w:pPr>
        <w:spacing w:line="480" w:lineRule="auto"/>
        <w:ind w:firstLine="720"/>
        <w:jc w:val="both"/>
      </w:pPr>
    </w:p>
    <w:p w14:paraId="4EB5BDF9" w14:textId="2D45E0DC" w:rsidR="0080002C" w:rsidRDefault="0080002C" w:rsidP="009404F1">
      <w:pPr>
        <w:spacing w:line="480" w:lineRule="auto"/>
        <w:ind w:firstLine="720"/>
        <w:jc w:val="both"/>
      </w:pPr>
    </w:p>
    <w:p w14:paraId="523670EF" w14:textId="77777777" w:rsidR="0080002C" w:rsidRDefault="0080002C" w:rsidP="0080002C">
      <w:pPr>
        <w:spacing w:line="480" w:lineRule="auto"/>
        <w:jc w:val="both"/>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0A4399" w14:paraId="414DECFB" w14:textId="77777777" w:rsidTr="000A4399">
        <w:trPr>
          <w:tblCellSpacing w:w="0" w:type="dxa"/>
        </w:trPr>
        <w:tc>
          <w:tcPr>
            <w:tcW w:w="0" w:type="auto"/>
            <w:shd w:val="clear" w:color="auto" w:fill="FFFFFF"/>
            <w:vAlign w:val="center"/>
            <w:hideMark/>
          </w:tcPr>
          <w:p w14:paraId="1A0E2EB5" w14:textId="5EA07F8C" w:rsidR="000A4399" w:rsidRDefault="000A4399" w:rsidP="000A4399">
            <w:pPr>
              <w:pStyle w:val="NormalWeb"/>
              <w:shd w:val="clear" w:color="auto" w:fill="FFFFFF"/>
              <w:spacing w:before="0" w:beforeAutospacing="0" w:after="0" w:afterAutospacing="0"/>
              <w:jc w:val="center"/>
              <w:rPr>
                <w:rFonts w:ascii="Times" w:hAnsi="Times"/>
                <w:color w:val="000000"/>
                <w:sz w:val="27"/>
                <w:szCs w:val="27"/>
              </w:rPr>
            </w:pPr>
            <w:r>
              <w:rPr>
                <w:color w:val="000000"/>
              </w:rPr>
              <w:t>Proposed Int. No. 179-A</w:t>
            </w:r>
          </w:p>
          <w:p w14:paraId="2D228316" w14:textId="77777777" w:rsidR="000A4399" w:rsidRDefault="000A4399" w:rsidP="000A4399">
            <w:pPr>
              <w:pStyle w:val="NormalWeb"/>
              <w:shd w:val="clear" w:color="auto" w:fill="FFFFFF"/>
              <w:spacing w:before="0" w:beforeAutospacing="0" w:after="0" w:afterAutospacing="0"/>
              <w:jc w:val="center"/>
              <w:rPr>
                <w:rFonts w:ascii="Times" w:hAnsi="Times"/>
                <w:color w:val="000000"/>
                <w:sz w:val="27"/>
                <w:szCs w:val="27"/>
              </w:rPr>
            </w:pPr>
            <w:r>
              <w:rPr>
                <w:color w:val="000000"/>
              </w:rPr>
              <w:t> </w:t>
            </w:r>
          </w:p>
          <w:p w14:paraId="200BB8B6" w14:textId="77777777" w:rsidR="000A4399" w:rsidRDefault="000A4399" w:rsidP="000A4399">
            <w:pPr>
              <w:pStyle w:val="NormalWeb"/>
              <w:shd w:val="clear" w:color="auto" w:fill="FFFFFF"/>
              <w:spacing w:before="0" w:beforeAutospacing="0" w:after="0" w:afterAutospacing="0"/>
              <w:jc w:val="both"/>
              <w:rPr>
                <w:rFonts w:ascii="Times" w:hAnsi="Times"/>
                <w:color w:val="000000"/>
                <w:sz w:val="27"/>
                <w:szCs w:val="27"/>
              </w:rPr>
            </w:pPr>
            <w:r>
              <w:rPr>
                <w:color w:val="000000"/>
              </w:rPr>
              <w:t>By Council Members Moya, Cabán, Stevens, Farías, Richardson Jordan, Menin, Won, De La Rosa, Nurse, Bottcher and Williams</w:t>
            </w:r>
          </w:p>
          <w:p w14:paraId="7CB9F029" w14:textId="77777777" w:rsidR="000A4399" w:rsidRDefault="000A4399" w:rsidP="000A4399">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043F5121" w14:textId="77777777" w:rsidR="000A4399" w:rsidRDefault="000A4399" w:rsidP="000A4399">
            <w:pPr>
              <w:pStyle w:val="NormalWeb"/>
              <w:shd w:val="clear" w:color="auto" w:fill="FFFFFF"/>
              <w:spacing w:before="0" w:beforeAutospacing="0" w:after="0" w:afterAutospacing="0"/>
              <w:jc w:val="both"/>
              <w:rPr>
                <w:rFonts w:ascii="Times" w:hAnsi="Times"/>
                <w:color w:val="000000"/>
                <w:sz w:val="27"/>
                <w:szCs w:val="27"/>
              </w:rPr>
            </w:pPr>
            <w:r>
              <w:rPr>
                <w:color w:val="000000"/>
              </w:rPr>
              <w:t>A Local Law in relation to a report on the role of women and gender non-binary, non-conforming, and intersex workers in nontraditional careers</w:t>
            </w:r>
          </w:p>
          <w:p w14:paraId="0C1818C3" w14:textId="77777777" w:rsidR="000A4399" w:rsidRDefault="000A4399" w:rsidP="000A4399">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137AA60B" w14:textId="77777777" w:rsidR="000A4399" w:rsidRDefault="000A4399" w:rsidP="000A4399">
            <w:pPr>
              <w:pStyle w:val="NormalWeb"/>
              <w:shd w:val="clear" w:color="auto" w:fill="FFFFFF"/>
              <w:spacing w:before="0" w:beforeAutospacing="0" w:after="0" w:afterAutospacing="0"/>
              <w:jc w:val="both"/>
              <w:rPr>
                <w:rFonts w:ascii="Times" w:hAnsi="Times"/>
                <w:color w:val="000000"/>
                <w:sz w:val="27"/>
                <w:szCs w:val="27"/>
              </w:rPr>
            </w:pPr>
            <w:r>
              <w:rPr>
                <w:color w:val="000000"/>
                <w:u w:val="single"/>
              </w:rPr>
              <w:t>Be it enacted by the Council as follows:</w:t>
            </w:r>
          </w:p>
          <w:p w14:paraId="6340A61F" w14:textId="77777777" w:rsidR="000A4399" w:rsidRDefault="000A4399" w:rsidP="000A4399">
            <w:pPr>
              <w:pStyle w:val="NormalWeb"/>
              <w:shd w:val="clear" w:color="auto" w:fill="FFFFFF"/>
              <w:spacing w:before="0" w:beforeAutospacing="0" w:after="0" w:afterAutospacing="0"/>
              <w:ind w:firstLine="720"/>
              <w:jc w:val="both"/>
              <w:rPr>
                <w:rFonts w:ascii="Times" w:hAnsi="Times"/>
                <w:color w:val="000000"/>
                <w:sz w:val="27"/>
                <w:szCs w:val="27"/>
              </w:rPr>
            </w:pPr>
            <w:r>
              <w:rPr>
                <w:color w:val="000000"/>
              </w:rPr>
              <w:t> </w:t>
            </w:r>
          </w:p>
          <w:p w14:paraId="4231E0F5" w14:textId="77777777" w:rsidR="000A4399" w:rsidRDefault="000A4399" w:rsidP="000A4399">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Section 1. a.</w:t>
            </w:r>
            <w:r>
              <w:rPr>
                <w:rFonts w:ascii="Calibri" w:hAnsi="Calibri" w:cs="Calibri"/>
                <w:color w:val="000000"/>
                <w:sz w:val="22"/>
                <w:szCs w:val="22"/>
              </w:rPr>
              <w:t> </w:t>
            </w:r>
            <w:r>
              <w:rPr>
                <w:color w:val="000000"/>
              </w:rPr>
              <w:t>Definitions. For the purposes of this section, the following terms have the following meanings:</w:t>
            </w:r>
          </w:p>
          <w:p w14:paraId="0E8FEDD9" w14:textId="77777777" w:rsidR="000A4399" w:rsidRDefault="000A4399" w:rsidP="000A4399">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Nontraditional careers. The term “nontraditional careers” means industries that have traditionally hired a higher proportion of male employees, including, but not limited to, fields such as the construction, utilities, maintenance, green, and transportation industries.</w:t>
            </w:r>
          </w:p>
          <w:p w14:paraId="42A46550" w14:textId="77777777" w:rsidR="000A4399" w:rsidRDefault="000A4399" w:rsidP="000A4399">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Sustained negative work environment. The term “sustained negative work environment” means a negative, toxic, or hostile work environment or culture due to harassment, assault, or discrimination on the basis of sexual orientation or gender.</w:t>
            </w:r>
          </w:p>
          <w:p w14:paraId="37CF92D8" w14:textId="77777777" w:rsidR="000A4399" w:rsidRDefault="000A4399" w:rsidP="000A4399">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b. No later than July 1, 2023, a city office to be designated by the mayor shall submit to the council and publish online a report containing the following information about the role of women and gender non-binary, non-conforming, and intersex workers in nontraditional careers:</w:t>
            </w:r>
          </w:p>
          <w:p w14:paraId="314127B6" w14:textId="77777777" w:rsidR="000A4399" w:rsidRDefault="000A4399" w:rsidP="000A4399">
            <w:pPr>
              <w:pStyle w:val="NormalWeb"/>
              <w:shd w:val="clear" w:color="auto" w:fill="FFFFFF"/>
              <w:spacing w:before="0" w:beforeAutospacing="0" w:after="0" w:afterAutospacing="0" w:line="480" w:lineRule="auto"/>
              <w:jc w:val="both"/>
              <w:rPr>
                <w:rFonts w:ascii="Times" w:hAnsi="Times"/>
                <w:color w:val="000000"/>
                <w:sz w:val="27"/>
                <w:szCs w:val="27"/>
              </w:rPr>
            </w:pPr>
            <w:r>
              <w:rPr>
                <w:color w:val="000000"/>
                <w:sz w:val="14"/>
                <w:szCs w:val="14"/>
              </w:rPr>
              <w:t>                     </w:t>
            </w:r>
            <w:r>
              <w:rPr>
                <w:color w:val="000000"/>
              </w:rPr>
              <w:t>1. A comprehensive review of the role of such individuals, including, but not limited to:</w:t>
            </w:r>
          </w:p>
          <w:p w14:paraId="2B9D3049" w14:textId="77777777" w:rsidR="000A4399" w:rsidRDefault="000A4399" w:rsidP="000A4399">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i. Issues related to recruitment and retention of such individuals;</w:t>
            </w:r>
          </w:p>
          <w:p w14:paraId="485218B7" w14:textId="77777777" w:rsidR="000A4399" w:rsidRDefault="000A4399" w:rsidP="000A4399">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ii. Issues related to sustained negative work environments for such individuals;</w:t>
            </w:r>
          </w:p>
          <w:p w14:paraId="108B072A" w14:textId="77777777" w:rsidR="000A4399" w:rsidRDefault="000A4399" w:rsidP="000A4399">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iii. How these environments value diversity, equity, and inclusion; and</w:t>
            </w:r>
          </w:p>
          <w:p w14:paraId="409E9233" w14:textId="77777777" w:rsidR="000A4399" w:rsidRDefault="000A4399" w:rsidP="000A4399">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iv. Other significant barriers to success for such individuals, where success is indicated by factors including, but not limited to, promotions, raises, continued employment, and reasonable accommodations;</w:t>
            </w:r>
          </w:p>
          <w:p w14:paraId="1E5B945B" w14:textId="77777777" w:rsidR="000A4399" w:rsidRDefault="000A4399" w:rsidP="000A4399">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2. Where feasible and to the extent possible without revealing personally identifiable information, demographic data related to the status of women and gender non-binary, non-conforming, and intersex workers in nontraditional careers, including, but not limited to, the following information:</w:t>
            </w:r>
          </w:p>
          <w:p w14:paraId="3A573B21" w14:textId="77777777" w:rsidR="000A4399" w:rsidRDefault="000A4399" w:rsidP="000A4399">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i. The total number of individuals working in nontraditional careers in the city and the number of women and gender non-binary, non-conforming, and intersex workers in nontraditional careers, for the past ten years, disaggregated by year, gender, sexuality, race, ethnicity, zip code, and age;</w:t>
            </w:r>
          </w:p>
          <w:p w14:paraId="3F84332F" w14:textId="77777777" w:rsidR="000A4399" w:rsidRDefault="000A4399" w:rsidP="000A4399">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ii. The total number of individuals in management positions who identify as women or gender non-binary, non-conforming, and intersex workers in nontraditional careers, for the past ten years, disaggregated by year;</w:t>
            </w:r>
          </w:p>
          <w:p w14:paraId="4DAC75E1" w14:textId="77777777" w:rsidR="000A4399" w:rsidRDefault="000A4399" w:rsidP="000A4399">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iii. The average salary of women and gender non-binary, non-conforming, and intersex workers in nontraditional careers, for the past ten years, disaggregated by year, gender, sexuality, race, ethnicity, zip code, and age; and</w:t>
            </w:r>
          </w:p>
          <w:p w14:paraId="6C33107A" w14:textId="77777777" w:rsidR="000A4399" w:rsidRDefault="000A4399" w:rsidP="000A4399">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iv. Current actions being taken to promote the inclusion of women and gender non-binary, non-conforming, and intersex workers in nontraditional careers, in each industry;</w:t>
            </w:r>
          </w:p>
          <w:p w14:paraId="7E0C0D0E" w14:textId="77777777" w:rsidR="000A4399" w:rsidRDefault="000A4399" w:rsidP="000A4399">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3. An overview of city resources and information available to such individuals, and an overview of any actions and efforts underway to support such individuals in pursuing, obtaining, succeeding in, and staying in nontraditional careers; and</w:t>
            </w:r>
          </w:p>
          <w:p w14:paraId="2F5DD24A" w14:textId="77777777" w:rsidR="000A4399" w:rsidRDefault="000A4399" w:rsidP="000A4399">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4. Recommendations for potential mechanisms, resources, and avenues to build upon existing resources, strengthen support, and to empower women and gender non-binary, non-conforming, and intersex workers to pursue and succeed in nontraditional careers, including, but not limited to, recommendations for policy and legislation.</w:t>
            </w:r>
          </w:p>
          <w:p w14:paraId="3D5932A1" w14:textId="77777777" w:rsidR="000A4399" w:rsidRDefault="000A4399" w:rsidP="000A4399">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c. Such report shall be created in consultation with the commission on gender equity, the city commission on human rights, the economic development corporation, the department of small business services, the department of consumer and worker protection, at least three individuals who are currently employed in a nontraditional career, at least two individuals who work at unions or organizations conducting work or research related to women and gender non-binary, non-conforming, and intersex workers in nontraditional careers, and at least one representative from a university or similar academic institution with academic experience and expertise in the study and analysis of labor markets and policy.</w:t>
            </w:r>
          </w:p>
          <w:p w14:paraId="21F82AD9" w14:textId="77777777" w:rsidR="000A4399" w:rsidRDefault="000A4399" w:rsidP="000A4399">
            <w:pPr>
              <w:pStyle w:val="NormalWeb"/>
              <w:shd w:val="clear" w:color="auto" w:fill="FFFFFF"/>
              <w:spacing w:before="0" w:beforeAutospacing="0" w:after="0" w:afterAutospacing="0"/>
              <w:ind w:firstLine="720"/>
              <w:jc w:val="both"/>
              <w:rPr>
                <w:rFonts w:ascii="Times" w:hAnsi="Times"/>
                <w:color w:val="000000"/>
                <w:sz w:val="27"/>
                <w:szCs w:val="27"/>
              </w:rPr>
            </w:pPr>
            <w:r>
              <w:rPr>
                <w:color w:val="000000"/>
              </w:rPr>
              <w:t>§ 2. This local law takes effect immediately.</w:t>
            </w:r>
          </w:p>
          <w:p w14:paraId="489090F0" w14:textId="77777777" w:rsidR="000A4399" w:rsidRDefault="000A4399" w:rsidP="000A4399">
            <w:pPr>
              <w:pStyle w:val="NormalWeb"/>
              <w:shd w:val="clear" w:color="auto" w:fill="FFFFFF"/>
              <w:spacing w:before="0" w:beforeAutospacing="0" w:after="0" w:afterAutospacing="0"/>
              <w:rPr>
                <w:rFonts w:ascii="Times" w:hAnsi="Times"/>
                <w:color w:val="000000"/>
                <w:sz w:val="27"/>
                <w:szCs w:val="27"/>
              </w:rPr>
            </w:pPr>
            <w:r>
              <w:rPr>
                <w:color w:val="000000"/>
              </w:rPr>
              <w:t> </w:t>
            </w:r>
          </w:p>
          <w:p w14:paraId="6D151350" w14:textId="77777777" w:rsidR="000A4399" w:rsidRDefault="000A4399" w:rsidP="000A4399">
            <w:pPr>
              <w:pStyle w:val="NormalWeb"/>
              <w:shd w:val="clear" w:color="auto" w:fill="FFFFFF"/>
              <w:spacing w:before="0" w:beforeAutospacing="0" w:after="0" w:afterAutospacing="0"/>
              <w:rPr>
                <w:rFonts w:ascii="Times" w:hAnsi="Times"/>
                <w:color w:val="000000"/>
                <w:sz w:val="27"/>
                <w:szCs w:val="27"/>
              </w:rPr>
            </w:pPr>
            <w:r>
              <w:rPr>
                <w:color w:val="000000"/>
              </w:rPr>
              <w:t> </w:t>
            </w:r>
          </w:p>
          <w:p w14:paraId="5C92D2E1" w14:textId="77777777" w:rsidR="000A4399" w:rsidRDefault="000A4399" w:rsidP="000A4399">
            <w:pPr>
              <w:pStyle w:val="NormalWeb"/>
              <w:shd w:val="clear" w:color="auto" w:fill="FFFFFF"/>
              <w:spacing w:before="0" w:beforeAutospacing="0" w:after="0" w:afterAutospacing="0"/>
              <w:rPr>
                <w:rFonts w:ascii="Times" w:hAnsi="Times"/>
                <w:color w:val="000000"/>
                <w:sz w:val="27"/>
                <w:szCs w:val="27"/>
              </w:rPr>
            </w:pPr>
            <w:r>
              <w:rPr>
                <w:color w:val="000000"/>
                <w:sz w:val="20"/>
                <w:szCs w:val="20"/>
              </w:rPr>
              <w:t> </w:t>
            </w:r>
          </w:p>
          <w:p w14:paraId="07B0F475" w14:textId="77777777" w:rsidR="000A4399" w:rsidRDefault="000A4399" w:rsidP="000A4399">
            <w:pPr>
              <w:pStyle w:val="NormalWeb"/>
              <w:shd w:val="clear" w:color="auto" w:fill="FFFFFF"/>
              <w:spacing w:before="0" w:beforeAutospacing="0" w:after="0" w:afterAutospacing="0"/>
              <w:rPr>
                <w:rFonts w:ascii="Times" w:hAnsi="Times"/>
                <w:color w:val="000000"/>
                <w:sz w:val="27"/>
                <w:szCs w:val="27"/>
              </w:rPr>
            </w:pPr>
            <w:r>
              <w:rPr>
                <w:color w:val="000000"/>
                <w:sz w:val="20"/>
                <w:szCs w:val="20"/>
              </w:rPr>
              <w:t> </w:t>
            </w:r>
          </w:p>
          <w:p w14:paraId="2A9EE381" w14:textId="77777777" w:rsidR="000A4399" w:rsidRDefault="000A4399" w:rsidP="000A4399">
            <w:pPr>
              <w:pStyle w:val="NormalWeb"/>
              <w:shd w:val="clear" w:color="auto" w:fill="FFFFFF"/>
              <w:spacing w:before="0" w:beforeAutospacing="0" w:after="0" w:afterAutospacing="0"/>
              <w:rPr>
                <w:rFonts w:ascii="Times" w:hAnsi="Times"/>
                <w:color w:val="000000"/>
                <w:sz w:val="27"/>
                <w:szCs w:val="27"/>
              </w:rPr>
            </w:pPr>
            <w:r>
              <w:rPr>
                <w:color w:val="000000"/>
                <w:sz w:val="20"/>
                <w:szCs w:val="20"/>
              </w:rPr>
              <w:t> </w:t>
            </w:r>
          </w:p>
          <w:p w14:paraId="2C8A8BC7" w14:textId="77777777" w:rsidR="000A4399" w:rsidRDefault="000A4399" w:rsidP="000A4399">
            <w:pPr>
              <w:pStyle w:val="NormalWeb"/>
              <w:shd w:val="clear" w:color="auto" w:fill="FFFFFF"/>
              <w:spacing w:before="0" w:beforeAutospacing="0" w:after="0" w:afterAutospacing="0"/>
              <w:rPr>
                <w:rFonts w:ascii="Times" w:hAnsi="Times"/>
                <w:color w:val="000000"/>
                <w:sz w:val="27"/>
                <w:szCs w:val="27"/>
              </w:rPr>
            </w:pPr>
            <w:r>
              <w:rPr>
                <w:color w:val="000000"/>
                <w:sz w:val="20"/>
                <w:szCs w:val="20"/>
                <w:u w:val="single"/>
              </w:rPr>
              <w:t>Session 12</w:t>
            </w:r>
          </w:p>
          <w:p w14:paraId="5A2128CF" w14:textId="77777777" w:rsidR="000A4399" w:rsidRDefault="000A4399" w:rsidP="000A4399">
            <w:pPr>
              <w:pStyle w:val="NormalWeb"/>
              <w:shd w:val="clear" w:color="auto" w:fill="FFFFFF"/>
              <w:spacing w:before="0" w:beforeAutospacing="0" w:after="0" w:afterAutospacing="0"/>
              <w:rPr>
                <w:rFonts w:ascii="Times" w:hAnsi="Times"/>
                <w:color w:val="000000"/>
                <w:sz w:val="27"/>
                <w:szCs w:val="27"/>
              </w:rPr>
            </w:pPr>
            <w:r>
              <w:rPr>
                <w:color w:val="000000"/>
                <w:sz w:val="20"/>
                <w:szCs w:val="20"/>
              </w:rPr>
              <w:t>BM</w:t>
            </w:r>
          </w:p>
          <w:p w14:paraId="45276D08" w14:textId="77777777" w:rsidR="000A4399" w:rsidRDefault="000A4399" w:rsidP="000A4399">
            <w:pPr>
              <w:pStyle w:val="NormalWeb"/>
              <w:shd w:val="clear" w:color="auto" w:fill="FFFFFF"/>
              <w:spacing w:before="0" w:beforeAutospacing="0" w:after="0" w:afterAutospacing="0"/>
              <w:rPr>
                <w:rFonts w:ascii="Times" w:hAnsi="Times"/>
                <w:color w:val="000000"/>
                <w:sz w:val="27"/>
                <w:szCs w:val="27"/>
              </w:rPr>
            </w:pPr>
            <w:r>
              <w:rPr>
                <w:color w:val="000000"/>
                <w:sz w:val="20"/>
                <w:szCs w:val="20"/>
              </w:rPr>
              <w:t>LS# 2288</w:t>
            </w:r>
          </w:p>
          <w:p w14:paraId="148EB1F6" w14:textId="77777777" w:rsidR="000A4399" w:rsidRDefault="000A4399" w:rsidP="000A4399">
            <w:pPr>
              <w:pStyle w:val="NormalWeb"/>
              <w:shd w:val="clear" w:color="auto" w:fill="FFFFFF"/>
              <w:spacing w:before="0" w:beforeAutospacing="0" w:after="0" w:afterAutospacing="0"/>
              <w:rPr>
                <w:rFonts w:ascii="Times" w:hAnsi="Times"/>
                <w:color w:val="000000"/>
                <w:sz w:val="27"/>
                <w:szCs w:val="27"/>
              </w:rPr>
            </w:pPr>
            <w:r>
              <w:rPr>
                <w:color w:val="000000"/>
                <w:sz w:val="20"/>
                <w:szCs w:val="20"/>
              </w:rPr>
              <w:t>5/11/22 7:05 pm</w:t>
            </w:r>
          </w:p>
        </w:tc>
      </w:tr>
    </w:tbl>
    <w:p w14:paraId="65891F04" w14:textId="77777777" w:rsidR="000A4399" w:rsidRDefault="000A4399" w:rsidP="000A4399">
      <w:r>
        <w:rPr>
          <w:rFonts w:ascii="Times" w:hAnsi="Times"/>
          <w:color w:val="000000"/>
          <w:sz w:val="27"/>
          <w:szCs w:val="27"/>
        </w:rPr>
        <w:br/>
      </w:r>
    </w:p>
    <w:p w14:paraId="6C59468C" w14:textId="474A98EB" w:rsidR="009F19E0" w:rsidRDefault="009F19E0" w:rsidP="009F19E0">
      <w:pPr>
        <w:spacing w:line="480" w:lineRule="auto"/>
        <w:jc w:val="both"/>
      </w:pPr>
    </w:p>
    <w:p w14:paraId="13D937D4" w14:textId="0F3F8C4C" w:rsidR="00112C79" w:rsidRDefault="00112C79" w:rsidP="009F19E0">
      <w:pPr>
        <w:spacing w:line="480" w:lineRule="auto"/>
        <w:jc w:val="both"/>
      </w:pPr>
    </w:p>
    <w:p w14:paraId="13F5EFA4" w14:textId="5CF72A9D" w:rsidR="00112C79" w:rsidRDefault="00112C79" w:rsidP="009F19E0">
      <w:pPr>
        <w:spacing w:line="480" w:lineRule="auto"/>
        <w:jc w:val="both"/>
      </w:pPr>
    </w:p>
    <w:p w14:paraId="112AA02E" w14:textId="2B4FC1B4" w:rsidR="00112C79" w:rsidRDefault="00112C79" w:rsidP="009F19E0">
      <w:pPr>
        <w:spacing w:line="480" w:lineRule="auto"/>
        <w:jc w:val="both"/>
      </w:pPr>
    </w:p>
    <w:p w14:paraId="2DC6EAB0" w14:textId="432622AD" w:rsidR="00112C79" w:rsidRDefault="00112C79" w:rsidP="009F19E0">
      <w:pPr>
        <w:spacing w:line="480" w:lineRule="auto"/>
        <w:jc w:val="both"/>
      </w:pPr>
    </w:p>
    <w:p w14:paraId="290D1E4A" w14:textId="774FD5BF" w:rsidR="00112C79" w:rsidRDefault="00112C79" w:rsidP="009F19E0">
      <w:pPr>
        <w:spacing w:line="480" w:lineRule="auto"/>
        <w:jc w:val="both"/>
      </w:pPr>
    </w:p>
    <w:p w14:paraId="4CC7EA8F" w14:textId="3241342A" w:rsidR="00112C79" w:rsidRDefault="00112C79" w:rsidP="009F19E0">
      <w:pPr>
        <w:spacing w:line="480" w:lineRule="auto"/>
        <w:jc w:val="both"/>
      </w:pPr>
    </w:p>
    <w:p w14:paraId="0A7AF4B8" w14:textId="2A0AF8EF" w:rsidR="00974F52" w:rsidRDefault="00974F52" w:rsidP="009F19E0">
      <w:pPr>
        <w:spacing w:line="480" w:lineRule="auto"/>
        <w:jc w:val="both"/>
      </w:pPr>
    </w:p>
    <w:p w14:paraId="01FCA43F" w14:textId="1F370B53" w:rsidR="00974F52" w:rsidRDefault="00974F52" w:rsidP="009F19E0">
      <w:pPr>
        <w:spacing w:line="480" w:lineRule="auto"/>
        <w:jc w:val="both"/>
      </w:pPr>
    </w:p>
    <w:p w14:paraId="6F3CBAA5" w14:textId="3F06D0E9" w:rsidR="009F19E0" w:rsidRPr="0062236E" w:rsidRDefault="009F19E0" w:rsidP="00DE72D6">
      <w:pPr>
        <w:suppressLineNumbers/>
        <w:shd w:val="clear" w:color="auto" w:fill="FFFFFF"/>
        <w:jc w:val="both"/>
        <w:rPr>
          <w:color w:val="7F7F7F"/>
          <w:sz w:val="18"/>
          <w:szCs w:val="18"/>
        </w:rPr>
      </w:pPr>
    </w:p>
    <w:sectPr w:rsidR="009F19E0" w:rsidRPr="0062236E" w:rsidSect="001B3ECC">
      <w:footerReference w:type="even" r:id="rId11"/>
      <w:footerReference w:type="default" r:id="rId12"/>
      <w:footerReference w:type="first" r:id="rId13"/>
      <w:type w:val="continuous"/>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F50AC" w14:textId="77777777" w:rsidR="007E73C9" w:rsidRDefault="007E73C9">
      <w:r>
        <w:separator/>
      </w:r>
    </w:p>
  </w:endnote>
  <w:endnote w:type="continuationSeparator" w:id="0">
    <w:p w14:paraId="59EDC937" w14:textId="77777777" w:rsidR="007E73C9" w:rsidRDefault="007E73C9">
      <w:r>
        <w:continuationSeparator/>
      </w:r>
    </w:p>
  </w:endnote>
  <w:endnote w:type="continuationNotice" w:id="1">
    <w:p w14:paraId="34D2E4E4" w14:textId="77777777" w:rsidR="007E73C9" w:rsidRDefault="007E73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ヒラギノ角ゴ Pro W3">
    <w:altName w:val="Malgun Gothic Semilight"/>
    <w:charset w:val="80"/>
    <w:family w:val="swiss"/>
    <w:pitch w:val="variable"/>
    <w:sig w:usb0="E00002FF" w:usb1="7AC7FFFF" w:usb2="00000012" w:usb3="00000000" w:csb0="0002000D" w:csb1="00000000"/>
  </w:font>
  <w:font w:name="Arial Bold">
    <w:panose1 w:val="020B0704020202020204"/>
    <w:charset w:val="00"/>
    <w:family w:val="roman"/>
    <w:pitch w:val="default"/>
  </w:font>
  <w:font w:name="Times New Roman Bold">
    <w:panose1 w:val="02020803070505020304"/>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043B7" w14:textId="77777777" w:rsidR="004827DC" w:rsidRDefault="004827DC" w:rsidP="004827D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2E29049" w14:textId="77777777" w:rsidR="004827DC" w:rsidRDefault="004827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01396122"/>
      <w:docPartObj>
        <w:docPartGallery w:val="Page Numbers (Bottom of Page)"/>
        <w:docPartUnique/>
      </w:docPartObj>
    </w:sdtPr>
    <w:sdtEndPr>
      <w:rPr>
        <w:rStyle w:val="PageNumber"/>
      </w:rPr>
    </w:sdtEndPr>
    <w:sdtContent>
      <w:p w14:paraId="6E39A348" w14:textId="6D56A4C0" w:rsidR="004827DC" w:rsidRDefault="004827DC" w:rsidP="004827D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439F1ED" w14:textId="77777777" w:rsidR="004827DC" w:rsidRDefault="004827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C5144" w14:textId="77777777" w:rsidR="004827DC" w:rsidRDefault="004827DC">
    <w:pPr>
      <w:pStyle w:val="Footer1"/>
      <w:tabs>
        <w:tab w:val="clear" w:pos="9360"/>
        <w:tab w:val="right" w:pos="9340"/>
      </w:tabs>
      <w:jc w:val="center"/>
      <w:rPr>
        <w:rFonts w:ascii="Times New Roman" w:eastAsia="Times New Roman" w:hAnsi="Times New Roman"/>
        <w:color w:val="auto"/>
        <w:sz w:val="20"/>
        <w:lang w:bidi="x-none"/>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10</w:t>
    </w:r>
    <w:r>
      <w:rPr>
        <w:rFonts w:ascii="Times New Roman" w:hAnsi="Times New Roma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8C61A" w14:textId="33B1BF83" w:rsidR="004827DC" w:rsidRDefault="004827DC">
    <w:pPr>
      <w:pStyle w:val="Footer1"/>
      <w:tabs>
        <w:tab w:val="clear" w:pos="9360"/>
        <w:tab w:val="right" w:pos="9340"/>
      </w:tabs>
      <w:jc w:val="center"/>
      <w:rPr>
        <w:rFonts w:ascii="Times New Roman" w:eastAsia="Times New Roman" w:hAnsi="Times New Roman"/>
        <w:color w:val="auto"/>
        <w:sz w:val="20"/>
        <w:lang w:bidi="x-none"/>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0270AD">
      <w:rPr>
        <w:rFonts w:ascii="Times New Roman" w:hAnsi="Times New Roman"/>
        <w:noProof/>
      </w:rPr>
      <w:t>4</w:t>
    </w:r>
    <w:r>
      <w:rP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02D3F" w14:textId="77777777" w:rsidR="004827DC" w:rsidRDefault="004827DC">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250DA" w14:textId="77777777" w:rsidR="007E73C9" w:rsidRDefault="007E73C9">
      <w:r>
        <w:separator/>
      </w:r>
    </w:p>
  </w:footnote>
  <w:footnote w:type="continuationSeparator" w:id="0">
    <w:p w14:paraId="25C2E54B" w14:textId="77777777" w:rsidR="007E73C9" w:rsidRDefault="007E73C9">
      <w:r>
        <w:continuationSeparator/>
      </w:r>
    </w:p>
  </w:footnote>
  <w:footnote w:type="continuationNotice" w:id="1">
    <w:p w14:paraId="64D0C508" w14:textId="77777777" w:rsidR="007E73C9" w:rsidRDefault="007E73C9"/>
  </w:footnote>
  <w:footnote w:id="2">
    <w:p w14:paraId="6115EA65" w14:textId="1A1C6AE4" w:rsidR="004827DC" w:rsidRPr="006E1DC9" w:rsidRDefault="004827DC" w:rsidP="006E1DC9">
      <w:pPr>
        <w:pStyle w:val="FootnoteText"/>
        <w:spacing w:after="0" w:line="240" w:lineRule="auto"/>
      </w:pPr>
      <w:r w:rsidRPr="006E1DC9">
        <w:rPr>
          <w:rStyle w:val="FootnoteReference"/>
        </w:rPr>
        <w:footnoteRef/>
      </w:r>
      <w:r w:rsidRPr="006E1DC9">
        <w:t xml:space="preserve"> New York State Department of Labor, </w:t>
      </w:r>
      <w:r w:rsidRPr="006E1DC9">
        <w:rPr>
          <w:i/>
        </w:rPr>
        <w:t>The Skilled Trades in New York State</w:t>
      </w:r>
      <w:r w:rsidRPr="006E1DC9">
        <w:t xml:space="preserve">, Division of Research and Statistics 1, 5 (Jun. 2016), </w:t>
      </w:r>
      <w:r w:rsidRPr="006E1DC9">
        <w:rPr>
          <w:i/>
        </w:rPr>
        <w:t>available at</w:t>
      </w:r>
      <w:r w:rsidRPr="006E1DC9">
        <w:t xml:space="preserve"> </w:t>
      </w:r>
      <w:hyperlink r:id="rId1" w:anchor=":~:text=As%20noted%20above%2C%20many%20skilled,and%20refrigeration%20mechanics%20and%20installers" w:history="1">
        <w:r w:rsidRPr="006E1DC9">
          <w:rPr>
            <w:rStyle w:val="Hyperlink"/>
          </w:rPr>
          <w:t>https://dol.ny.gov/system/files/documents/2021/03/the-skilled-trades-in-new-york-state.pdf#:~:text=As%20noted%20above%2C%20many%20skilled,and%20refrigeration%20mechanics%20and%20installers</w:t>
        </w:r>
      </w:hyperlink>
      <w:r w:rsidRPr="006E1DC9">
        <w:t>.</w:t>
      </w:r>
    </w:p>
  </w:footnote>
  <w:footnote w:id="3">
    <w:p w14:paraId="20CE03A1" w14:textId="63F7F69F" w:rsidR="004827DC" w:rsidRPr="006E1DC9" w:rsidRDefault="004827DC" w:rsidP="006E1DC9">
      <w:pPr>
        <w:pStyle w:val="FootnoteText"/>
        <w:spacing w:after="0" w:line="240" w:lineRule="auto"/>
      </w:pPr>
      <w:r w:rsidRPr="006E1DC9">
        <w:rPr>
          <w:rStyle w:val="FootnoteReference"/>
        </w:rPr>
        <w:footnoteRef/>
      </w:r>
      <w:r w:rsidRPr="006E1DC9">
        <w:t xml:space="preserve"> New York State Department of Labor, </w:t>
      </w:r>
      <w:r w:rsidRPr="006E1DC9">
        <w:rPr>
          <w:i/>
        </w:rPr>
        <w:t>The Skilled Trades in New York State</w:t>
      </w:r>
      <w:r w:rsidRPr="006E1DC9">
        <w:t>, Division of Research and Statistics 1, 5 (Jun</w:t>
      </w:r>
      <w:r w:rsidR="002A5C6E">
        <w:t>e</w:t>
      </w:r>
      <w:r w:rsidRPr="006E1DC9">
        <w:t xml:space="preserve"> 2016), </w:t>
      </w:r>
      <w:r w:rsidRPr="006E1DC9">
        <w:rPr>
          <w:i/>
        </w:rPr>
        <w:t>available at</w:t>
      </w:r>
      <w:r w:rsidRPr="006E1DC9">
        <w:t xml:space="preserve"> </w:t>
      </w:r>
      <w:hyperlink r:id="rId2" w:anchor=":~:text=As%20noted%20above%2C%20many%20skilled,and%20refrigeration%20mechanics%20and%20installers" w:history="1">
        <w:r w:rsidRPr="006E1DC9">
          <w:rPr>
            <w:rStyle w:val="Hyperlink"/>
          </w:rPr>
          <w:t>https://dol.ny.gov/system/files/documents/2021/03/the-skilled-trades-in-new-york-state.pdf#:~:text=As%20noted%20above%2C%20many%20skilled,and%20refrigeration%20mechanics%20and%20installers</w:t>
        </w:r>
      </w:hyperlink>
      <w:r w:rsidRPr="006E1DC9">
        <w:t>.</w:t>
      </w:r>
    </w:p>
  </w:footnote>
  <w:footnote w:id="4">
    <w:p w14:paraId="1A6DF049" w14:textId="77777777" w:rsidR="004827DC" w:rsidRPr="006E1DC9" w:rsidRDefault="004827DC" w:rsidP="006E1DC9">
      <w:pPr>
        <w:pStyle w:val="FootnoteText"/>
        <w:spacing w:after="0" w:line="240" w:lineRule="auto"/>
      </w:pPr>
      <w:r w:rsidRPr="006E1DC9">
        <w:rPr>
          <w:rStyle w:val="FootnoteReference"/>
        </w:rPr>
        <w:footnoteRef/>
      </w:r>
      <w:r w:rsidRPr="006E1DC9">
        <w:t xml:space="preserve"> New York State Comptroller Tom DiNapoli, </w:t>
      </w:r>
      <w:r w:rsidRPr="006E1DC9">
        <w:rPr>
          <w:i/>
        </w:rPr>
        <w:t xml:space="preserve">The Construction Industry in New York City: Recent Trends and Impact of COVID-19 </w:t>
      </w:r>
      <w:r w:rsidRPr="006E1DC9">
        <w:t xml:space="preserve">(Jun. 2021), </w:t>
      </w:r>
      <w:r w:rsidRPr="006E1DC9">
        <w:rPr>
          <w:i/>
        </w:rPr>
        <w:t>available at</w:t>
      </w:r>
      <w:r w:rsidRPr="006E1DC9">
        <w:t xml:space="preserve"> </w:t>
      </w:r>
      <w:hyperlink r:id="rId3" w:history="1">
        <w:r w:rsidRPr="006E1DC9">
          <w:rPr>
            <w:rStyle w:val="Hyperlink"/>
          </w:rPr>
          <w:t>https://www.osc.state.ny.us/reports/osdc/construction-industry-new-york-city-recent-trends-and-impact-covid-19</w:t>
        </w:r>
      </w:hyperlink>
      <w:r w:rsidRPr="006E1DC9">
        <w:t>.</w:t>
      </w:r>
    </w:p>
  </w:footnote>
  <w:footnote w:id="5">
    <w:p w14:paraId="06A7EE39" w14:textId="77777777" w:rsidR="004827DC" w:rsidRPr="006E1DC9" w:rsidRDefault="004827DC" w:rsidP="006E1DC9">
      <w:pPr>
        <w:pStyle w:val="FootnoteText"/>
        <w:spacing w:after="0" w:line="240" w:lineRule="auto"/>
      </w:pPr>
      <w:r w:rsidRPr="006E1DC9">
        <w:rPr>
          <w:rStyle w:val="FootnoteReference"/>
        </w:rPr>
        <w:footnoteRef/>
      </w:r>
      <w:r w:rsidRPr="006E1DC9">
        <w:t xml:space="preserve"> </w:t>
      </w:r>
      <w:r w:rsidRPr="006E1DC9">
        <w:rPr>
          <w:i/>
        </w:rPr>
        <w:t>Id.</w:t>
      </w:r>
    </w:p>
  </w:footnote>
  <w:footnote w:id="6">
    <w:p w14:paraId="0CED4DE7" w14:textId="77777777" w:rsidR="004827DC" w:rsidRPr="006E1DC9" w:rsidRDefault="004827DC" w:rsidP="006E1DC9">
      <w:pPr>
        <w:pStyle w:val="FootnoteText"/>
        <w:spacing w:after="0" w:line="240" w:lineRule="auto"/>
      </w:pPr>
      <w:r w:rsidRPr="006E1DC9">
        <w:rPr>
          <w:rStyle w:val="FootnoteReference"/>
        </w:rPr>
        <w:footnoteRef/>
      </w:r>
      <w:r w:rsidRPr="006E1DC9">
        <w:t xml:space="preserve"> </w:t>
      </w:r>
      <w:r w:rsidRPr="006E1DC9">
        <w:rPr>
          <w:i/>
        </w:rPr>
        <w:t>Id.</w:t>
      </w:r>
      <w:r w:rsidRPr="006E1DC9">
        <w:t xml:space="preserve"> </w:t>
      </w:r>
    </w:p>
  </w:footnote>
  <w:footnote w:id="7">
    <w:p w14:paraId="774899F5" w14:textId="77777777" w:rsidR="008F41DC" w:rsidRPr="006E1DC9" w:rsidRDefault="008F41DC" w:rsidP="006E1DC9">
      <w:pPr>
        <w:pStyle w:val="FootnoteText"/>
        <w:spacing w:after="0" w:line="240" w:lineRule="auto"/>
      </w:pPr>
      <w:r w:rsidRPr="006E1DC9">
        <w:rPr>
          <w:rStyle w:val="FootnoteReference"/>
        </w:rPr>
        <w:footnoteRef/>
      </w:r>
      <w:r w:rsidRPr="006E1DC9">
        <w:t xml:space="preserve"> </w:t>
      </w:r>
      <w:r w:rsidRPr="006E1DC9">
        <w:rPr>
          <w:i/>
        </w:rPr>
        <w:t>Id.</w:t>
      </w:r>
    </w:p>
  </w:footnote>
  <w:footnote w:id="8">
    <w:p w14:paraId="374743BD" w14:textId="77777777" w:rsidR="008F41DC" w:rsidRPr="006E1DC9" w:rsidRDefault="008F41DC" w:rsidP="006E1DC9">
      <w:pPr>
        <w:pStyle w:val="FootnoteText"/>
        <w:spacing w:after="0" w:line="240" w:lineRule="auto"/>
      </w:pPr>
      <w:r w:rsidRPr="006E1DC9">
        <w:rPr>
          <w:rStyle w:val="FootnoteReference"/>
        </w:rPr>
        <w:footnoteRef/>
      </w:r>
      <w:r w:rsidRPr="006E1DC9">
        <w:t xml:space="preserve"> </w:t>
      </w:r>
      <w:r w:rsidRPr="006E1DC9">
        <w:rPr>
          <w:i/>
        </w:rPr>
        <w:t>Id.</w:t>
      </w:r>
    </w:p>
  </w:footnote>
  <w:footnote w:id="9">
    <w:p w14:paraId="43FE8DB1" w14:textId="77777777" w:rsidR="008F41DC" w:rsidRPr="006E1DC9" w:rsidRDefault="008F41DC" w:rsidP="006E1DC9">
      <w:pPr>
        <w:pStyle w:val="FootnoteText"/>
        <w:spacing w:after="0" w:line="240" w:lineRule="auto"/>
      </w:pPr>
      <w:r w:rsidRPr="006E1DC9">
        <w:rPr>
          <w:rStyle w:val="FootnoteReference"/>
        </w:rPr>
        <w:footnoteRef/>
      </w:r>
      <w:r w:rsidRPr="006E1DC9">
        <w:t xml:space="preserve"> </w:t>
      </w:r>
      <w:r w:rsidRPr="006E1DC9">
        <w:rPr>
          <w:i/>
        </w:rPr>
        <w:t>Id.</w:t>
      </w:r>
    </w:p>
  </w:footnote>
  <w:footnote w:id="10">
    <w:p w14:paraId="51A78D81" w14:textId="1C0B0A00" w:rsidR="008F41DC" w:rsidRPr="006E1DC9" w:rsidRDefault="008F41DC" w:rsidP="006E1DC9">
      <w:pPr>
        <w:pStyle w:val="FootnoteText"/>
        <w:spacing w:after="0" w:line="240" w:lineRule="auto"/>
      </w:pPr>
      <w:r w:rsidRPr="006E1DC9">
        <w:rPr>
          <w:rStyle w:val="FootnoteReference"/>
        </w:rPr>
        <w:footnoteRef/>
      </w:r>
      <w:r w:rsidR="00D3104E">
        <w:t xml:space="preserve"> </w:t>
      </w:r>
      <w:r w:rsidRPr="006E1DC9">
        <w:rPr>
          <w:i/>
          <w:iCs/>
        </w:rPr>
        <w:t>Id.</w:t>
      </w:r>
    </w:p>
  </w:footnote>
  <w:footnote w:id="11">
    <w:p w14:paraId="1E6788FF" w14:textId="77777777" w:rsidR="004827DC" w:rsidRPr="006E1DC9" w:rsidRDefault="004827DC" w:rsidP="006E1DC9">
      <w:pPr>
        <w:pStyle w:val="FootnoteText"/>
        <w:spacing w:after="0" w:line="240" w:lineRule="auto"/>
      </w:pPr>
      <w:r w:rsidRPr="006E1DC9">
        <w:rPr>
          <w:rStyle w:val="FootnoteReference"/>
        </w:rPr>
        <w:footnoteRef/>
      </w:r>
      <w:r w:rsidRPr="006E1DC9">
        <w:t xml:space="preserve"> </w:t>
      </w:r>
      <w:r w:rsidRPr="006E1DC9">
        <w:rPr>
          <w:i/>
        </w:rPr>
        <w:t>Id.</w:t>
      </w:r>
    </w:p>
  </w:footnote>
  <w:footnote w:id="12">
    <w:p w14:paraId="7C1E0D67" w14:textId="0F513F7B" w:rsidR="004827DC" w:rsidRPr="006E1DC9" w:rsidRDefault="004827DC" w:rsidP="006E1DC9">
      <w:pPr>
        <w:pStyle w:val="FootnoteText"/>
        <w:spacing w:after="0" w:line="240" w:lineRule="auto"/>
      </w:pPr>
      <w:r w:rsidRPr="006E1DC9">
        <w:rPr>
          <w:rStyle w:val="FootnoteReference"/>
        </w:rPr>
        <w:footnoteRef/>
      </w:r>
      <w:r w:rsidRPr="006E1DC9">
        <w:t xml:space="preserve"> </w:t>
      </w:r>
      <w:r w:rsidRPr="006E1DC9">
        <w:rPr>
          <w:i/>
          <w:iCs/>
        </w:rPr>
        <w:t>Id.</w:t>
      </w:r>
    </w:p>
  </w:footnote>
  <w:footnote w:id="13">
    <w:p w14:paraId="798C7B83" w14:textId="77777777" w:rsidR="004827DC" w:rsidRPr="006E1DC9" w:rsidRDefault="004827DC" w:rsidP="006E1DC9">
      <w:pPr>
        <w:pStyle w:val="FootnoteText"/>
        <w:spacing w:after="0" w:line="240" w:lineRule="auto"/>
      </w:pPr>
      <w:r w:rsidRPr="006E1DC9">
        <w:rPr>
          <w:rStyle w:val="FootnoteReference"/>
        </w:rPr>
        <w:footnoteRef/>
      </w:r>
      <w:r w:rsidRPr="006E1DC9">
        <w:t xml:space="preserve"> </w:t>
      </w:r>
      <w:r w:rsidRPr="006E1DC9">
        <w:rPr>
          <w:i/>
        </w:rPr>
        <w:t>Id.</w:t>
      </w:r>
    </w:p>
  </w:footnote>
  <w:footnote w:id="14">
    <w:p w14:paraId="3857F575" w14:textId="77777777" w:rsidR="004827DC" w:rsidRPr="006E1DC9" w:rsidRDefault="004827DC" w:rsidP="006E1DC9">
      <w:pPr>
        <w:pStyle w:val="FootnoteText"/>
        <w:spacing w:after="0" w:line="240" w:lineRule="auto"/>
      </w:pPr>
      <w:r w:rsidRPr="006E1DC9">
        <w:rPr>
          <w:rStyle w:val="FootnoteReference"/>
        </w:rPr>
        <w:footnoteRef/>
      </w:r>
      <w:r w:rsidRPr="006E1DC9">
        <w:t xml:space="preserve"> </w:t>
      </w:r>
      <w:r w:rsidRPr="006E1DC9">
        <w:rPr>
          <w:i/>
        </w:rPr>
        <w:t>Id.</w:t>
      </w:r>
    </w:p>
  </w:footnote>
  <w:footnote w:id="15">
    <w:p w14:paraId="4E3C5732" w14:textId="3986D722" w:rsidR="004827DC" w:rsidRPr="006E1DC9" w:rsidRDefault="004827DC" w:rsidP="006E1DC9">
      <w:pPr>
        <w:pStyle w:val="FootnoteText"/>
        <w:spacing w:after="0" w:line="240" w:lineRule="auto"/>
      </w:pPr>
      <w:r w:rsidRPr="006E1DC9">
        <w:rPr>
          <w:rStyle w:val="FootnoteReference"/>
        </w:rPr>
        <w:footnoteRef/>
      </w:r>
      <w:r w:rsidRPr="006E1DC9">
        <w:t xml:space="preserve"> New York State Comptroller Tom DiNapoli, </w:t>
      </w:r>
      <w:r w:rsidRPr="004E2A64">
        <w:rPr>
          <w:i/>
        </w:rPr>
        <w:t xml:space="preserve">The Construction Industry in New York City: Recent Trends and Impact of COVID-19 </w:t>
      </w:r>
      <w:r w:rsidR="002A5C6E">
        <w:t>(June</w:t>
      </w:r>
      <w:r w:rsidRPr="006E1DC9">
        <w:t xml:space="preserve"> 2021), </w:t>
      </w:r>
      <w:r w:rsidRPr="006E1DC9">
        <w:rPr>
          <w:i/>
        </w:rPr>
        <w:t>available at</w:t>
      </w:r>
      <w:r w:rsidRPr="006E1DC9">
        <w:t xml:space="preserve"> </w:t>
      </w:r>
      <w:hyperlink r:id="rId4" w:history="1">
        <w:r w:rsidRPr="006E1DC9">
          <w:rPr>
            <w:rStyle w:val="Hyperlink"/>
          </w:rPr>
          <w:t>https://www.osc.state.ny.us/reports/osdc/construction-industry-new-york-city-recent-trends-and-impact-covid-19</w:t>
        </w:r>
      </w:hyperlink>
      <w:r w:rsidRPr="006E1DC9">
        <w:t>.</w:t>
      </w:r>
    </w:p>
  </w:footnote>
  <w:footnote w:id="16">
    <w:p w14:paraId="7BE9F998" w14:textId="77777777" w:rsidR="004827DC" w:rsidRPr="006E1DC9" w:rsidRDefault="004827DC" w:rsidP="006E1DC9">
      <w:pPr>
        <w:pStyle w:val="FootnoteText"/>
        <w:spacing w:after="0" w:line="240" w:lineRule="auto"/>
      </w:pPr>
      <w:r w:rsidRPr="006E1DC9">
        <w:rPr>
          <w:rStyle w:val="FootnoteReference"/>
        </w:rPr>
        <w:footnoteRef/>
      </w:r>
      <w:r w:rsidRPr="006E1DC9">
        <w:t xml:space="preserve"> </w:t>
      </w:r>
      <w:r w:rsidRPr="006E1DC9">
        <w:rPr>
          <w:i/>
        </w:rPr>
        <w:t>Id.</w:t>
      </w:r>
    </w:p>
  </w:footnote>
  <w:footnote w:id="17">
    <w:p w14:paraId="078FF5C5" w14:textId="77777777" w:rsidR="004827DC" w:rsidRPr="006E1DC9" w:rsidRDefault="004827DC" w:rsidP="006E1DC9">
      <w:pPr>
        <w:pStyle w:val="FootnoteText"/>
        <w:spacing w:after="0" w:line="240" w:lineRule="auto"/>
      </w:pPr>
      <w:r w:rsidRPr="006E1DC9">
        <w:rPr>
          <w:rStyle w:val="FootnoteReference"/>
        </w:rPr>
        <w:footnoteRef/>
      </w:r>
      <w:r w:rsidRPr="006E1DC9">
        <w:t xml:space="preserve"> New York Building Congress, </w:t>
      </w:r>
      <w:r w:rsidRPr="004E2A64">
        <w:rPr>
          <w:i/>
        </w:rPr>
        <w:t>COU: Workforce Snapshot 2022</w:t>
      </w:r>
      <w:r w:rsidRPr="006E1DC9">
        <w:t xml:space="preserve"> (Mar. 2022), </w:t>
      </w:r>
      <w:r w:rsidRPr="006E1DC9">
        <w:rPr>
          <w:i/>
        </w:rPr>
        <w:t xml:space="preserve">available at </w:t>
      </w:r>
      <w:hyperlink r:id="rId5" w:history="1">
        <w:r w:rsidRPr="006E1DC9">
          <w:rPr>
            <w:rStyle w:val="Hyperlink"/>
          </w:rPr>
          <w:t>https://www.buildingcongress.com/advocacy-and-reports/reports-and-analysis/construction-outlook-update/COU-Workforce-Snapshot-2022.html</w:t>
        </w:r>
      </w:hyperlink>
      <w:r w:rsidRPr="006E1DC9">
        <w:t xml:space="preserve">. </w:t>
      </w:r>
    </w:p>
  </w:footnote>
  <w:footnote w:id="18">
    <w:p w14:paraId="4896B196" w14:textId="4B1244E1" w:rsidR="004C2660" w:rsidRPr="006E1DC9" w:rsidRDefault="004C2660" w:rsidP="006E1DC9">
      <w:pPr>
        <w:pStyle w:val="FootnoteText"/>
        <w:spacing w:after="0" w:line="240" w:lineRule="auto"/>
      </w:pPr>
      <w:r w:rsidRPr="006E1DC9">
        <w:rPr>
          <w:rStyle w:val="FootnoteReference"/>
        </w:rPr>
        <w:footnoteRef/>
      </w:r>
      <w:r w:rsidRPr="006E1DC9">
        <w:t xml:space="preserve"> </w:t>
      </w:r>
      <w:r w:rsidRPr="006E1DC9">
        <w:rPr>
          <w:i/>
        </w:rPr>
        <w:t>Id.</w:t>
      </w:r>
    </w:p>
  </w:footnote>
  <w:footnote w:id="19">
    <w:p w14:paraId="7DD0070B" w14:textId="5616092E" w:rsidR="004827DC" w:rsidRPr="006E1DC9" w:rsidRDefault="004827DC" w:rsidP="006E1DC9">
      <w:pPr>
        <w:pStyle w:val="FootnoteText"/>
        <w:spacing w:after="0" w:line="240" w:lineRule="auto"/>
      </w:pPr>
      <w:r w:rsidRPr="006E1DC9">
        <w:rPr>
          <w:rStyle w:val="FootnoteReference"/>
        </w:rPr>
        <w:footnoteRef/>
      </w:r>
      <w:r w:rsidRPr="006E1DC9">
        <w:t xml:space="preserve"> New York State Comptroller Tom DiNapoli, </w:t>
      </w:r>
      <w:r w:rsidRPr="004E2A64">
        <w:rPr>
          <w:i/>
        </w:rPr>
        <w:t>The Construction Industry in New York City: Recent Trends and Impact of COVID-19</w:t>
      </w:r>
      <w:r w:rsidR="002A5C6E">
        <w:t xml:space="preserve"> (June</w:t>
      </w:r>
      <w:r w:rsidRPr="006E1DC9">
        <w:t xml:space="preserve"> 2021), </w:t>
      </w:r>
      <w:r w:rsidRPr="006E1DC9">
        <w:rPr>
          <w:i/>
        </w:rPr>
        <w:t>available at</w:t>
      </w:r>
      <w:r w:rsidRPr="006E1DC9">
        <w:t xml:space="preserve"> </w:t>
      </w:r>
      <w:hyperlink r:id="rId6" w:history="1">
        <w:r w:rsidRPr="006E1DC9">
          <w:rPr>
            <w:rStyle w:val="Hyperlink"/>
          </w:rPr>
          <w:t>https://www.osc.state.ny.us/reports/osdc/construction-industry-new-york-city-recent-trends-and-impact-covid-19</w:t>
        </w:r>
      </w:hyperlink>
      <w:r w:rsidRPr="006E1DC9">
        <w:t>.</w:t>
      </w:r>
    </w:p>
  </w:footnote>
  <w:footnote w:id="20">
    <w:p w14:paraId="3908F5EB" w14:textId="0B93653D" w:rsidR="004827DC" w:rsidRPr="006E1DC9" w:rsidRDefault="004827DC" w:rsidP="006E1DC9">
      <w:pPr>
        <w:pStyle w:val="FootnoteText"/>
        <w:spacing w:after="0" w:line="240" w:lineRule="auto"/>
      </w:pPr>
      <w:r w:rsidRPr="006E1DC9">
        <w:rPr>
          <w:rStyle w:val="FootnoteReference"/>
        </w:rPr>
        <w:footnoteRef/>
      </w:r>
      <w:r w:rsidRPr="006E1DC9">
        <w:t xml:space="preserve"> </w:t>
      </w:r>
      <w:r w:rsidRPr="006E1DC9">
        <w:rPr>
          <w:i/>
        </w:rPr>
        <w:t>Id.</w:t>
      </w:r>
    </w:p>
  </w:footnote>
  <w:footnote w:id="21">
    <w:p w14:paraId="70706297" w14:textId="4836E5D9" w:rsidR="004827DC" w:rsidRPr="006E1DC9" w:rsidRDefault="004827DC" w:rsidP="006E1DC9">
      <w:pPr>
        <w:pStyle w:val="FootnoteText"/>
        <w:spacing w:after="0" w:line="240" w:lineRule="auto"/>
      </w:pPr>
      <w:r w:rsidRPr="006E1DC9">
        <w:rPr>
          <w:rStyle w:val="FootnoteReference"/>
        </w:rPr>
        <w:footnoteRef/>
      </w:r>
      <w:r w:rsidRPr="006E1DC9">
        <w:t xml:space="preserve"> Lawrence Mishel, </w:t>
      </w:r>
      <w:r w:rsidR="004E2A64">
        <w:rPr>
          <w:i/>
        </w:rPr>
        <w:t>Diversity in the New York City Union and Nonunion Construction S</w:t>
      </w:r>
      <w:r w:rsidRPr="004E2A64">
        <w:rPr>
          <w:i/>
        </w:rPr>
        <w:t>ectors</w:t>
      </w:r>
      <w:r w:rsidRPr="006E1DC9">
        <w:t xml:space="preserve">, Economic Policy Institute (Mar. 2, 2017), </w:t>
      </w:r>
      <w:r w:rsidRPr="006E1DC9">
        <w:rPr>
          <w:i/>
        </w:rPr>
        <w:t>available at</w:t>
      </w:r>
      <w:r w:rsidRPr="006E1DC9">
        <w:t xml:space="preserve"> </w:t>
      </w:r>
      <w:hyperlink r:id="rId7" w:history="1">
        <w:r w:rsidRPr="006E1DC9">
          <w:rPr>
            <w:rStyle w:val="Hyperlink"/>
          </w:rPr>
          <w:t>https://www.epi.org/publication/diversity-in-the-nyc-construction-union-and-nonunion-sectors/</w:t>
        </w:r>
      </w:hyperlink>
      <w:r w:rsidRPr="006E1DC9">
        <w:t>.</w:t>
      </w:r>
    </w:p>
  </w:footnote>
  <w:footnote w:id="22">
    <w:p w14:paraId="0A1444C8" w14:textId="77777777" w:rsidR="004827DC" w:rsidRPr="006E1DC9" w:rsidRDefault="004827DC" w:rsidP="006E1DC9">
      <w:pPr>
        <w:pStyle w:val="FootnoteText"/>
        <w:spacing w:after="0" w:line="240" w:lineRule="auto"/>
      </w:pPr>
      <w:r w:rsidRPr="006E1DC9">
        <w:rPr>
          <w:rStyle w:val="FootnoteReference"/>
        </w:rPr>
        <w:footnoteRef/>
      </w:r>
      <w:r w:rsidRPr="006E1DC9">
        <w:t xml:space="preserve"> </w:t>
      </w:r>
      <w:r w:rsidRPr="006E1DC9">
        <w:rPr>
          <w:i/>
          <w:iCs/>
        </w:rPr>
        <w:t>Id.</w:t>
      </w:r>
    </w:p>
  </w:footnote>
  <w:footnote w:id="23">
    <w:p w14:paraId="469F68F9" w14:textId="77777777" w:rsidR="004827DC" w:rsidRPr="006E1DC9" w:rsidRDefault="004827DC" w:rsidP="006E1DC9">
      <w:pPr>
        <w:pStyle w:val="FootnoteText"/>
        <w:spacing w:after="0" w:line="240" w:lineRule="auto"/>
      </w:pPr>
      <w:r w:rsidRPr="006E1DC9">
        <w:rPr>
          <w:rStyle w:val="FootnoteReference"/>
        </w:rPr>
        <w:footnoteRef/>
      </w:r>
      <w:r w:rsidRPr="006E1DC9">
        <w:t xml:space="preserve"> </w:t>
      </w:r>
      <w:r w:rsidRPr="006E1DC9">
        <w:rPr>
          <w:i/>
        </w:rPr>
        <w:t>Id.</w:t>
      </w:r>
    </w:p>
  </w:footnote>
  <w:footnote w:id="24">
    <w:p w14:paraId="6C8AFAC3" w14:textId="77777777" w:rsidR="004827DC" w:rsidRPr="006E1DC9" w:rsidRDefault="004827DC" w:rsidP="006E1DC9">
      <w:pPr>
        <w:pStyle w:val="FootnoteText"/>
        <w:spacing w:after="0" w:line="240" w:lineRule="auto"/>
      </w:pPr>
      <w:r w:rsidRPr="006E1DC9">
        <w:rPr>
          <w:rStyle w:val="FootnoteReference"/>
        </w:rPr>
        <w:footnoteRef/>
      </w:r>
      <w:r w:rsidRPr="006E1DC9">
        <w:t xml:space="preserve"> </w:t>
      </w:r>
      <w:r w:rsidRPr="006E1DC9">
        <w:rPr>
          <w:i/>
        </w:rPr>
        <w:t>Id.</w:t>
      </w:r>
    </w:p>
  </w:footnote>
  <w:footnote w:id="25">
    <w:p w14:paraId="2AC2F0AB" w14:textId="77777777" w:rsidR="004827DC" w:rsidRPr="006E1DC9" w:rsidRDefault="004827DC" w:rsidP="006E1DC9">
      <w:pPr>
        <w:pStyle w:val="FootnoteText"/>
        <w:spacing w:after="0" w:line="240" w:lineRule="auto"/>
      </w:pPr>
      <w:r w:rsidRPr="006E1DC9">
        <w:rPr>
          <w:rStyle w:val="FootnoteReference"/>
        </w:rPr>
        <w:footnoteRef/>
      </w:r>
      <w:r w:rsidRPr="006E1DC9">
        <w:t xml:space="preserve"> Ariane Hegewisch and Eve Mefferd, </w:t>
      </w:r>
      <w:r w:rsidRPr="006E1DC9">
        <w:rPr>
          <w:i/>
        </w:rPr>
        <w:t>A Future Worth Building: What Tradeswomen Say about the Change They Need in the Construction Industry</w:t>
      </w:r>
      <w:r w:rsidRPr="006E1DC9">
        <w:t xml:space="preserve">, Institute for Women’s Policy Research (2021), </w:t>
      </w:r>
      <w:r w:rsidRPr="006E1DC9">
        <w:rPr>
          <w:i/>
        </w:rPr>
        <w:t>available at</w:t>
      </w:r>
      <w:r w:rsidRPr="006E1DC9">
        <w:t xml:space="preserve"> </w:t>
      </w:r>
      <w:hyperlink r:id="rId8" w:history="1">
        <w:r w:rsidRPr="006E1DC9">
          <w:rPr>
            <w:rStyle w:val="Hyperlink"/>
          </w:rPr>
          <w:t>https://iwpr.org/wp-content/uploads/2022/02/A-Future-Worth-Building_What-Tradeswomen-Say_FINAL.pdf</w:t>
        </w:r>
      </w:hyperlink>
      <w:r w:rsidRPr="006E1DC9">
        <w:t xml:space="preserve">. </w:t>
      </w:r>
    </w:p>
  </w:footnote>
  <w:footnote w:id="26">
    <w:p w14:paraId="3BCB5D0E" w14:textId="77777777" w:rsidR="004827DC" w:rsidRPr="006E1DC9" w:rsidRDefault="004827DC" w:rsidP="006E1DC9">
      <w:pPr>
        <w:pStyle w:val="FootnoteText"/>
        <w:spacing w:after="0" w:line="240" w:lineRule="auto"/>
      </w:pPr>
      <w:r w:rsidRPr="006E1DC9">
        <w:rPr>
          <w:rStyle w:val="FootnoteReference"/>
        </w:rPr>
        <w:footnoteRef/>
      </w:r>
      <w:r w:rsidRPr="006E1DC9">
        <w:t xml:space="preserve"> Ariane Hegewisch and Eve Mefferd, </w:t>
      </w:r>
      <w:r w:rsidRPr="006E1DC9">
        <w:rPr>
          <w:i/>
        </w:rPr>
        <w:t>A Future Worth Building: What Tradeswomen Say about the Change They Need in the Construction Industry</w:t>
      </w:r>
      <w:r w:rsidRPr="006E1DC9">
        <w:t xml:space="preserve">, Institute for Women’s Policy Research (2021), </w:t>
      </w:r>
      <w:r w:rsidRPr="006E1DC9">
        <w:rPr>
          <w:i/>
        </w:rPr>
        <w:t>available at</w:t>
      </w:r>
      <w:r w:rsidRPr="006E1DC9">
        <w:t xml:space="preserve"> </w:t>
      </w:r>
      <w:hyperlink r:id="rId9" w:history="1">
        <w:r w:rsidRPr="006E1DC9">
          <w:rPr>
            <w:rStyle w:val="Hyperlink"/>
          </w:rPr>
          <w:t>https://iwpr.org/wp-content/uploads/2022/02/A-Future-Worth-Building_What-Tradeswomen-Say_FINAL.pdf</w:t>
        </w:r>
      </w:hyperlink>
      <w:r w:rsidRPr="006E1DC9">
        <w:t>.</w:t>
      </w:r>
    </w:p>
  </w:footnote>
  <w:footnote w:id="27">
    <w:p w14:paraId="3DD07AAC" w14:textId="77777777" w:rsidR="004827DC" w:rsidRPr="006E1DC9" w:rsidRDefault="004827DC" w:rsidP="006E1DC9">
      <w:pPr>
        <w:pStyle w:val="FootnoteText"/>
        <w:spacing w:after="0" w:line="240" w:lineRule="auto"/>
      </w:pPr>
      <w:r w:rsidRPr="006E1DC9">
        <w:rPr>
          <w:rStyle w:val="FootnoteReference"/>
        </w:rPr>
        <w:footnoteRef/>
      </w:r>
      <w:r w:rsidRPr="006E1DC9">
        <w:t xml:space="preserve"> Sarah Jackson, ‘Not the boy’ club anymore’: Eight women take a swing at the construction industry, NBC News (Nov. 29, 2019), </w:t>
      </w:r>
      <w:r w:rsidRPr="006E1DC9">
        <w:rPr>
          <w:i/>
        </w:rPr>
        <w:t>available at</w:t>
      </w:r>
      <w:r w:rsidRPr="006E1DC9">
        <w:t xml:space="preserve"> </w:t>
      </w:r>
      <w:hyperlink r:id="rId10" w:history="1">
        <w:r w:rsidRPr="006E1DC9">
          <w:rPr>
            <w:rStyle w:val="Hyperlink"/>
          </w:rPr>
          <w:t>https://www.nbcnews.com/news/us-news/not-boys-club-anymore-eight-women-take-swing-construction-industry-n1091376</w:t>
        </w:r>
      </w:hyperlink>
      <w:r w:rsidRPr="006E1DC9">
        <w:t xml:space="preserve">. </w:t>
      </w:r>
    </w:p>
  </w:footnote>
  <w:footnote w:id="28">
    <w:p w14:paraId="01FEEAFC" w14:textId="372E0CEE" w:rsidR="004827DC" w:rsidRPr="006E1DC9" w:rsidRDefault="004827DC" w:rsidP="006E1DC9">
      <w:pPr>
        <w:pStyle w:val="FootnoteText"/>
        <w:spacing w:after="0" w:line="240" w:lineRule="auto"/>
      </w:pPr>
      <w:r w:rsidRPr="006E1DC9">
        <w:rPr>
          <w:rStyle w:val="FootnoteReference"/>
        </w:rPr>
        <w:footnoteRef/>
      </w:r>
      <w:r w:rsidRPr="006E1DC9">
        <w:t xml:space="preserve"> Ariane Hegewisch and Eve Mefferd, </w:t>
      </w:r>
      <w:r w:rsidRPr="006E1DC9">
        <w:rPr>
          <w:i/>
        </w:rPr>
        <w:t>A Future Worth Building: What Tradeswomen Say about the Change They Need in the Construction Industry</w:t>
      </w:r>
      <w:r w:rsidRPr="006E1DC9">
        <w:t xml:space="preserve">, Institute for Women’s Policy Research (2021), </w:t>
      </w:r>
      <w:r w:rsidRPr="006E1DC9">
        <w:rPr>
          <w:i/>
        </w:rPr>
        <w:t>available at</w:t>
      </w:r>
      <w:r w:rsidRPr="006E1DC9">
        <w:t xml:space="preserve"> </w:t>
      </w:r>
      <w:hyperlink r:id="rId11" w:history="1">
        <w:r w:rsidRPr="006E1DC9">
          <w:rPr>
            <w:rStyle w:val="Hyperlink"/>
          </w:rPr>
          <w:t>https://iwpr.org/wp-content/uploads/2022/02/A-Future-Worth-Building_What-Tradeswomen-Say_FINAL.pdf</w:t>
        </w:r>
      </w:hyperlink>
      <w:r w:rsidRPr="006E1DC9">
        <w:t>.</w:t>
      </w:r>
    </w:p>
  </w:footnote>
  <w:footnote w:id="29">
    <w:p w14:paraId="2B897880" w14:textId="77777777" w:rsidR="004827DC" w:rsidRPr="006E1DC9" w:rsidRDefault="004827DC" w:rsidP="006E1DC9">
      <w:pPr>
        <w:pStyle w:val="FootnoteText"/>
        <w:spacing w:after="0" w:line="240" w:lineRule="auto"/>
      </w:pPr>
      <w:r w:rsidRPr="006E1DC9">
        <w:rPr>
          <w:rStyle w:val="FootnoteReference"/>
        </w:rPr>
        <w:footnoteRef/>
      </w:r>
      <w:r w:rsidRPr="006E1DC9">
        <w:t xml:space="preserve"> </w:t>
      </w:r>
      <w:r w:rsidRPr="006E1DC9">
        <w:rPr>
          <w:i/>
        </w:rPr>
        <w:t>Id.</w:t>
      </w:r>
    </w:p>
  </w:footnote>
  <w:footnote w:id="30">
    <w:p w14:paraId="53E08DC2" w14:textId="77777777" w:rsidR="004827DC" w:rsidRPr="006E1DC9" w:rsidRDefault="004827DC" w:rsidP="006E1DC9">
      <w:pPr>
        <w:pStyle w:val="FootnoteText"/>
        <w:spacing w:after="0" w:line="240" w:lineRule="auto"/>
      </w:pPr>
      <w:r w:rsidRPr="006E1DC9">
        <w:rPr>
          <w:rStyle w:val="FootnoteReference"/>
        </w:rPr>
        <w:footnoteRef/>
      </w:r>
      <w:r w:rsidRPr="006E1DC9">
        <w:t xml:space="preserve"> </w:t>
      </w:r>
      <w:r w:rsidRPr="006E1DC9">
        <w:rPr>
          <w:i/>
        </w:rPr>
        <w:t>Id.</w:t>
      </w:r>
    </w:p>
  </w:footnote>
  <w:footnote w:id="31">
    <w:p w14:paraId="68AB325A" w14:textId="77777777" w:rsidR="004827DC" w:rsidRPr="006E1DC9" w:rsidRDefault="004827DC" w:rsidP="006E1DC9">
      <w:pPr>
        <w:pStyle w:val="FootnoteText"/>
        <w:spacing w:after="0" w:line="240" w:lineRule="auto"/>
      </w:pPr>
      <w:r w:rsidRPr="006E1DC9">
        <w:rPr>
          <w:rStyle w:val="FootnoteReference"/>
        </w:rPr>
        <w:footnoteRef/>
      </w:r>
      <w:r w:rsidRPr="006E1DC9">
        <w:t xml:space="preserve"> </w:t>
      </w:r>
      <w:r w:rsidRPr="006E1DC9">
        <w:rPr>
          <w:i/>
        </w:rPr>
        <w:t>Id.</w:t>
      </w:r>
    </w:p>
  </w:footnote>
  <w:footnote w:id="32">
    <w:p w14:paraId="0AB78F99" w14:textId="77777777" w:rsidR="004827DC" w:rsidRPr="006E1DC9" w:rsidRDefault="004827DC" w:rsidP="006E1DC9">
      <w:pPr>
        <w:pStyle w:val="FootnoteText"/>
        <w:spacing w:after="0" w:line="240" w:lineRule="auto"/>
      </w:pPr>
      <w:r w:rsidRPr="006E1DC9">
        <w:rPr>
          <w:rStyle w:val="FootnoteReference"/>
        </w:rPr>
        <w:footnoteRef/>
      </w:r>
      <w:r w:rsidRPr="006E1DC9">
        <w:t xml:space="preserve"> </w:t>
      </w:r>
      <w:r w:rsidRPr="006E1DC9">
        <w:rPr>
          <w:i/>
        </w:rPr>
        <w:t>Id.</w:t>
      </w:r>
    </w:p>
  </w:footnote>
  <w:footnote w:id="33">
    <w:p w14:paraId="3F0C9F72" w14:textId="77777777" w:rsidR="004827DC" w:rsidRPr="006E1DC9" w:rsidRDefault="004827DC" w:rsidP="006E1DC9">
      <w:pPr>
        <w:pStyle w:val="FootnoteText"/>
        <w:spacing w:after="0" w:line="240" w:lineRule="auto"/>
      </w:pPr>
      <w:r w:rsidRPr="006E1DC9">
        <w:rPr>
          <w:rStyle w:val="FootnoteReference"/>
        </w:rPr>
        <w:footnoteRef/>
      </w:r>
      <w:r w:rsidRPr="006E1DC9">
        <w:t xml:space="preserve"> </w:t>
      </w:r>
      <w:r w:rsidRPr="006E1DC9">
        <w:rPr>
          <w:i/>
        </w:rPr>
        <w:t>Id.</w:t>
      </w:r>
    </w:p>
  </w:footnote>
  <w:footnote w:id="34">
    <w:p w14:paraId="624DC176" w14:textId="77777777" w:rsidR="004827DC" w:rsidRPr="006E1DC9" w:rsidRDefault="004827DC" w:rsidP="006E1DC9">
      <w:pPr>
        <w:pStyle w:val="FootnoteText"/>
        <w:spacing w:after="0" w:line="240" w:lineRule="auto"/>
      </w:pPr>
      <w:r w:rsidRPr="006E1DC9">
        <w:rPr>
          <w:rStyle w:val="FootnoteReference"/>
        </w:rPr>
        <w:footnoteRef/>
      </w:r>
      <w:r w:rsidRPr="006E1DC9">
        <w:t xml:space="preserve"> </w:t>
      </w:r>
      <w:r w:rsidRPr="006E1DC9">
        <w:rPr>
          <w:i/>
        </w:rPr>
        <w:t>Id.</w:t>
      </w:r>
    </w:p>
  </w:footnote>
  <w:footnote w:id="35">
    <w:p w14:paraId="5C03BF08" w14:textId="77777777" w:rsidR="004827DC" w:rsidRPr="006E1DC9" w:rsidRDefault="004827DC" w:rsidP="006E1DC9">
      <w:pPr>
        <w:pStyle w:val="FootnoteText"/>
        <w:spacing w:after="0" w:line="240" w:lineRule="auto"/>
      </w:pPr>
      <w:r w:rsidRPr="006E1DC9">
        <w:rPr>
          <w:rStyle w:val="FootnoteReference"/>
        </w:rPr>
        <w:footnoteRef/>
      </w:r>
      <w:r w:rsidRPr="006E1DC9">
        <w:t xml:space="preserve"> </w:t>
      </w:r>
      <w:r w:rsidRPr="006E1DC9">
        <w:rPr>
          <w:i/>
        </w:rPr>
        <w:t>Id.</w:t>
      </w:r>
    </w:p>
  </w:footnote>
  <w:footnote w:id="36">
    <w:p w14:paraId="16C476B7" w14:textId="77777777" w:rsidR="004827DC" w:rsidRPr="006E1DC9" w:rsidRDefault="004827DC" w:rsidP="006E1DC9">
      <w:pPr>
        <w:pStyle w:val="FootnoteText"/>
        <w:spacing w:after="0" w:line="240" w:lineRule="auto"/>
      </w:pPr>
      <w:r w:rsidRPr="006E1DC9">
        <w:rPr>
          <w:rStyle w:val="FootnoteReference"/>
        </w:rPr>
        <w:footnoteRef/>
      </w:r>
      <w:r w:rsidRPr="006E1DC9">
        <w:t xml:space="preserve"> </w:t>
      </w:r>
      <w:r w:rsidRPr="006E1DC9">
        <w:rPr>
          <w:i/>
        </w:rPr>
        <w:t>Id.</w:t>
      </w:r>
    </w:p>
  </w:footnote>
  <w:footnote w:id="37">
    <w:p w14:paraId="0A0B1809" w14:textId="77777777" w:rsidR="004827DC" w:rsidRPr="006E1DC9" w:rsidRDefault="004827DC" w:rsidP="006E1DC9">
      <w:pPr>
        <w:pStyle w:val="FootnoteText"/>
        <w:spacing w:after="0" w:line="240" w:lineRule="auto"/>
      </w:pPr>
      <w:r w:rsidRPr="006E1DC9">
        <w:rPr>
          <w:rStyle w:val="FootnoteReference"/>
        </w:rPr>
        <w:footnoteRef/>
      </w:r>
      <w:r w:rsidRPr="006E1DC9">
        <w:t xml:space="preserve"> </w:t>
      </w:r>
      <w:r w:rsidRPr="006E1DC9">
        <w:rPr>
          <w:i/>
        </w:rPr>
        <w:t>Id.</w:t>
      </w:r>
    </w:p>
  </w:footnote>
  <w:footnote w:id="38">
    <w:p w14:paraId="66A5C4AB" w14:textId="77777777" w:rsidR="004827DC" w:rsidRPr="006E1DC9" w:rsidRDefault="004827DC" w:rsidP="006E1DC9">
      <w:pPr>
        <w:pStyle w:val="FootnoteText"/>
        <w:spacing w:after="0" w:line="240" w:lineRule="auto"/>
      </w:pPr>
      <w:r w:rsidRPr="006E1DC9">
        <w:rPr>
          <w:rStyle w:val="FootnoteReference"/>
        </w:rPr>
        <w:footnoteRef/>
      </w:r>
      <w:r w:rsidRPr="006E1DC9">
        <w:t xml:space="preserve"> </w:t>
      </w:r>
      <w:r w:rsidRPr="006E1DC9">
        <w:rPr>
          <w:i/>
        </w:rPr>
        <w:t>Id.</w:t>
      </w:r>
    </w:p>
  </w:footnote>
  <w:footnote w:id="39">
    <w:p w14:paraId="0076C531" w14:textId="77777777" w:rsidR="004827DC" w:rsidRPr="006E1DC9" w:rsidRDefault="004827DC" w:rsidP="006E1DC9">
      <w:pPr>
        <w:pStyle w:val="FootnoteText"/>
        <w:spacing w:after="0" w:line="240" w:lineRule="auto"/>
      </w:pPr>
      <w:r w:rsidRPr="006E1DC9">
        <w:rPr>
          <w:rStyle w:val="FootnoteReference"/>
        </w:rPr>
        <w:footnoteRef/>
      </w:r>
      <w:r w:rsidRPr="006E1DC9">
        <w:t xml:space="preserve"> </w:t>
      </w:r>
      <w:r w:rsidRPr="006E1DC9">
        <w:rPr>
          <w:i/>
        </w:rPr>
        <w:t>Id.</w:t>
      </w:r>
    </w:p>
  </w:footnote>
  <w:footnote w:id="40">
    <w:p w14:paraId="1673B786" w14:textId="36CD2C23" w:rsidR="004827DC" w:rsidRPr="006E1DC9" w:rsidRDefault="004827DC" w:rsidP="006E1DC9">
      <w:pPr>
        <w:pStyle w:val="FootnoteText"/>
        <w:spacing w:after="0" w:line="240" w:lineRule="auto"/>
      </w:pPr>
      <w:r w:rsidRPr="006E1DC9">
        <w:rPr>
          <w:rStyle w:val="FootnoteReference"/>
        </w:rPr>
        <w:footnoteRef/>
      </w:r>
      <w:r w:rsidRPr="006E1DC9">
        <w:t xml:space="preserve"> </w:t>
      </w:r>
      <w:r w:rsidRPr="006E1DC9">
        <w:rPr>
          <w:i/>
        </w:rPr>
        <w:t>Id.</w:t>
      </w:r>
    </w:p>
  </w:footnote>
  <w:footnote w:id="41">
    <w:p w14:paraId="67779FF2" w14:textId="77777777" w:rsidR="004827DC" w:rsidRPr="006E1DC9" w:rsidRDefault="004827DC" w:rsidP="00D3104E">
      <w:pPr>
        <w:pStyle w:val="FootnoteText"/>
        <w:spacing w:after="0" w:line="240" w:lineRule="auto"/>
      </w:pPr>
      <w:r w:rsidRPr="006E1DC9">
        <w:rPr>
          <w:rStyle w:val="FootnoteReference"/>
        </w:rPr>
        <w:footnoteRef/>
      </w:r>
      <w:r w:rsidRPr="006E1DC9">
        <w:t xml:space="preserve"> </w:t>
      </w:r>
      <w:r w:rsidRPr="006E1DC9">
        <w:rPr>
          <w:i/>
        </w:rPr>
        <w:t>Id.</w:t>
      </w:r>
    </w:p>
  </w:footnote>
  <w:footnote w:id="42">
    <w:p w14:paraId="6453A459" w14:textId="03A7D6C1" w:rsidR="00D3104E" w:rsidRDefault="00D3104E" w:rsidP="00D3104E">
      <w:pPr>
        <w:pStyle w:val="FootnoteText"/>
        <w:spacing w:after="0" w:line="240" w:lineRule="auto"/>
      </w:pPr>
      <w:r>
        <w:rPr>
          <w:rStyle w:val="FootnoteReference"/>
        </w:rPr>
        <w:footnoteRef/>
      </w:r>
      <w:r>
        <w:t xml:space="preserve"> </w:t>
      </w:r>
      <w:r w:rsidRPr="006E1DC9">
        <w:rPr>
          <w:i/>
        </w:rPr>
        <w:t>Id.</w:t>
      </w:r>
    </w:p>
  </w:footnote>
  <w:footnote w:id="43">
    <w:p w14:paraId="7891FBB9" w14:textId="77777777" w:rsidR="004827DC" w:rsidRPr="006E1DC9" w:rsidRDefault="004827DC" w:rsidP="00D3104E">
      <w:pPr>
        <w:pStyle w:val="FootnoteText"/>
        <w:spacing w:after="0" w:line="240" w:lineRule="auto"/>
      </w:pPr>
      <w:r w:rsidRPr="006E1DC9">
        <w:rPr>
          <w:rStyle w:val="FootnoteReference"/>
        </w:rPr>
        <w:footnoteRef/>
      </w:r>
      <w:r w:rsidRPr="006E1DC9">
        <w:t xml:space="preserve"> </w:t>
      </w:r>
      <w:r w:rsidRPr="006E1DC9">
        <w:rPr>
          <w:i/>
        </w:rPr>
        <w:t>Id.</w:t>
      </w:r>
    </w:p>
  </w:footnote>
  <w:footnote w:id="44">
    <w:p w14:paraId="1372E737" w14:textId="77777777" w:rsidR="004827DC" w:rsidRPr="006E1DC9" w:rsidRDefault="004827DC" w:rsidP="00D3104E">
      <w:pPr>
        <w:pStyle w:val="FootnoteText"/>
        <w:spacing w:after="0" w:line="240" w:lineRule="auto"/>
      </w:pPr>
      <w:r w:rsidRPr="006E1DC9">
        <w:rPr>
          <w:rStyle w:val="FootnoteReference"/>
        </w:rPr>
        <w:footnoteRef/>
      </w:r>
      <w:r w:rsidRPr="006E1DC9">
        <w:t xml:space="preserve"> </w:t>
      </w:r>
      <w:r w:rsidRPr="006E1DC9">
        <w:rPr>
          <w:i/>
        </w:rPr>
        <w:t>Id.</w:t>
      </w:r>
    </w:p>
  </w:footnote>
  <w:footnote w:id="45">
    <w:p w14:paraId="6672E905" w14:textId="0C4F44E2" w:rsidR="004827DC" w:rsidRPr="006E1DC9" w:rsidRDefault="004827DC" w:rsidP="00D3104E">
      <w:pPr>
        <w:pStyle w:val="FootnoteText"/>
        <w:spacing w:after="0" w:line="240" w:lineRule="auto"/>
      </w:pPr>
      <w:r w:rsidRPr="006E1DC9">
        <w:rPr>
          <w:rStyle w:val="FootnoteReference"/>
        </w:rPr>
        <w:footnoteRef/>
      </w:r>
      <w:r w:rsidRPr="006E1DC9">
        <w:t xml:space="preserve"> </w:t>
      </w:r>
      <w:r w:rsidRPr="006E1DC9">
        <w:rPr>
          <w:i/>
          <w:iCs/>
        </w:rPr>
        <w:t>Id.</w:t>
      </w:r>
      <w:r w:rsidRPr="006E1DC9">
        <w:t xml:space="preserve"> </w:t>
      </w:r>
    </w:p>
  </w:footnote>
  <w:footnote w:id="46">
    <w:p w14:paraId="3A1CD7F6" w14:textId="77777777" w:rsidR="004827DC" w:rsidRPr="006E1DC9" w:rsidRDefault="004827DC" w:rsidP="006E1DC9">
      <w:pPr>
        <w:pStyle w:val="FootnoteText"/>
        <w:spacing w:after="0" w:line="240" w:lineRule="auto"/>
      </w:pPr>
      <w:r w:rsidRPr="006E1DC9">
        <w:rPr>
          <w:rStyle w:val="FootnoteReference"/>
        </w:rPr>
        <w:footnoteRef/>
      </w:r>
      <w:r w:rsidRPr="006E1DC9">
        <w:t xml:space="preserve"> </w:t>
      </w:r>
      <w:r w:rsidRPr="006E1DC9">
        <w:rPr>
          <w:i/>
        </w:rPr>
        <w:t>Id.</w:t>
      </w:r>
    </w:p>
  </w:footnote>
  <w:footnote w:id="47">
    <w:p w14:paraId="7F95CDEF" w14:textId="77777777" w:rsidR="004827DC" w:rsidRPr="006E1DC9" w:rsidRDefault="004827DC" w:rsidP="006E1DC9">
      <w:pPr>
        <w:pStyle w:val="FootnoteText"/>
        <w:spacing w:after="0" w:line="240" w:lineRule="auto"/>
      </w:pPr>
      <w:r w:rsidRPr="006E1DC9">
        <w:rPr>
          <w:rStyle w:val="FootnoteReference"/>
        </w:rPr>
        <w:footnoteRef/>
      </w:r>
      <w:r w:rsidRPr="006E1DC9">
        <w:t xml:space="preserve"> </w:t>
      </w:r>
      <w:r w:rsidRPr="006E1DC9">
        <w:rPr>
          <w:i/>
        </w:rPr>
        <w:t>Id.</w:t>
      </w:r>
    </w:p>
  </w:footnote>
  <w:footnote w:id="48">
    <w:p w14:paraId="310A344C" w14:textId="77777777" w:rsidR="004827DC" w:rsidRPr="006E1DC9" w:rsidRDefault="004827DC" w:rsidP="006E1DC9">
      <w:pPr>
        <w:pStyle w:val="FootnoteText"/>
        <w:spacing w:after="0" w:line="240" w:lineRule="auto"/>
      </w:pPr>
      <w:r w:rsidRPr="006E1DC9">
        <w:rPr>
          <w:rStyle w:val="FootnoteReference"/>
        </w:rPr>
        <w:footnoteRef/>
      </w:r>
      <w:r w:rsidRPr="006E1DC9">
        <w:t xml:space="preserve"> </w:t>
      </w:r>
      <w:r w:rsidRPr="006E1DC9">
        <w:rPr>
          <w:i/>
        </w:rPr>
        <w:t>Id.</w:t>
      </w:r>
    </w:p>
  </w:footnote>
  <w:footnote w:id="49">
    <w:p w14:paraId="682CED71" w14:textId="5A10FDB1" w:rsidR="00754A6F" w:rsidRPr="006E1DC9" w:rsidRDefault="004827DC" w:rsidP="006E1DC9">
      <w:pPr>
        <w:pStyle w:val="FootnoteText"/>
        <w:spacing w:after="0" w:line="240" w:lineRule="auto"/>
      </w:pPr>
      <w:r w:rsidRPr="006E1DC9">
        <w:rPr>
          <w:rStyle w:val="FootnoteReference"/>
        </w:rPr>
        <w:footnoteRef/>
      </w:r>
      <w:r w:rsidRPr="006E1DC9">
        <w:t xml:space="preserve"> Ariane Hegewisch and Eve Mefferd</w:t>
      </w:r>
      <w:r w:rsidR="004E2A64">
        <w:t xml:space="preserve">, </w:t>
      </w:r>
      <w:r w:rsidRPr="004E2A64">
        <w:rPr>
          <w:i/>
        </w:rPr>
        <w:t>A Future Worth Building: What Tradeswoman Say about the Change They Need in the Construction Industry</w:t>
      </w:r>
      <w:r w:rsidRPr="006E1DC9">
        <w:t xml:space="preserve">, Institute for Women’s Policy Research (2021), </w:t>
      </w:r>
      <w:r w:rsidRPr="006E1DC9">
        <w:rPr>
          <w:i/>
        </w:rPr>
        <w:t>available at</w:t>
      </w:r>
      <w:r w:rsidR="00754A6F">
        <w:rPr>
          <w:i/>
        </w:rPr>
        <w:t xml:space="preserve"> </w:t>
      </w:r>
      <w:hyperlink r:id="rId12" w:history="1">
        <w:r w:rsidR="00754A6F" w:rsidRPr="00754A6F">
          <w:rPr>
            <w:rStyle w:val="Hyperlink"/>
          </w:rPr>
          <w:t xml:space="preserve">https://iwpr.org/wp-content/uploads/2022/02/A-Future-Worth-Building_What-Tradeswomen-Say_FINAL.pdf. </w:t>
        </w:r>
      </w:hyperlink>
    </w:p>
  </w:footnote>
  <w:footnote w:id="50">
    <w:p w14:paraId="6B96F2FD" w14:textId="18DE50E4" w:rsidR="004827DC" w:rsidRPr="006E1DC9" w:rsidRDefault="004827DC" w:rsidP="006E1DC9">
      <w:pPr>
        <w:pStyle w:val="FootnoteText"/>
        <w:spacing w:after="0" w:line="240" w:lineRule="auto"/>
      </w:pPr>
      <w:r w:rsidRPr="006E1DC9">
        <w:rPr>
          <w:rStyle w:val="FootnoteReference"/>
        </w:rPr>
        <w:footnoteRef/>
      </w:r>
      <w:r w:rsidRPr="006E1DC9">
        <w:t xml:space="preserve"> </w:t>
      </w:r>
      <w:r w:rsidR="00754A6F">
        <w:rPr>
          <w:i/>
        </w:rPr>
        <w:t>Id.</w:t>
      </w:r>
    </w:p>
  </w:footnote>
  <w:footnote w:id="51">
    <w:p w14:paraId="5ECEB4D3" w14:textId="77777777" w:rsidR="004827DC" w:rsidRPr="006E1DC9" w:rsidRDefault="004827DC" w:rsidP="006E1DC9">
      <w:pPr>
        <w:pStyle w:val="FootnoteText"/>
        <w:spacing w:after="0" w:line="240" w:lineRule="auto"/>
      </w:pPr>
      <w:r w:rsidRPr="006E1DC9">
        <w:rPr>
          <w:rStyle w:val="FootnoteReference"/>
        </w:rPr>
        <w:footnoteRef/>
      </w:r>
      <w:r w:rsidRPr="006E1DC9">
        <w:t xml:space="preserve"> </w:t>
      </w:r>
      <w:r w:rsidRPr="006E1DC9">
        <w:rPr>
          <w:i/>
        </w:rPr>
        <w:t>Id.</w:t>
      </w:r>
    </w:p>
  </w:footnote>
  <w:footnote w:id="52">
    <w:p w14:paraId="3AFBE69B" w14:textId="77777777" w:rsidR="004827DC" w:rsidRPr="006E1DC9" w:rsidRDefault="004827DC" w:rsidP="006E1DC9">
      <w:pPr>
        <w:pStyle w:val="FootnoteText"/>
        <w:spacing w:after="0" w:line="240" w:lineRule="auto"/>
      </w:pPr>
      <w:r w:rsidRPr="006E1DC9">
        <w:rPr>
          <w:rStyle w:val="FootnoteReference"/>
        </w:rPr>
        <w:footnoteRef/>
      </w:r>
      <w:r w:rsidRPr="006E1DC9">
        <w:t xml:space="preserve"> </w:t>
      </w:r>
      <w:r w:rsidRPr="006E1DC9">
        <w:rPr>
          <w:i/>
        </w:rPr>
        <w:t>Id.</w:t>
      </w:r>
    </w:p>
  </w:footnote>
  <w:footnote w:id="53">
    <w:p w14:paraId="6CCAADFC" w14:textId="77777777" w:rsidR="004827DC" w:rsidRPr="006E1DC9" w:rsidRDefault="004827DC" w:rsidP="006E1DC9">
      <w:pPr>
        <w:pStyle w:val="FootnoteText"/>
        <w:spacing w:after="0" w:line="240" w:lineRule="auto"/>
      </w:pPr>
      <w:r w:rsidRPr="006E1DC9">
        <w:rPr>
          <w:rStyle w:val="FootnoteReference"/>
        </w:rPr>
        <w:footnoteRef/>
      </w:r>
      <w:r w:rsidRPr="006E1DC9">
        <w:t xml:space="preserve"> </w:t>
      </w:r>
      <w:r w:rsidRPr="006E1DC9">
        <w:rPr>
          <w:i/>
        </w:rPr>
        <w:t>Id.</w:t>
      </w:r>
    </w:p>
  </w:footnote>
  <w:footnote w:id="54">
    <w:p w14:paraId="3681890B" w14:textId="77777777" w:rsidR="004827DC" w:rsidRPr="006E1DC9" w:rsidRDefault="004827DC" w:rsidP="006E1DC9">
      <w:pPr>
        <w:pStyle w:val="FootnoteText"/>
        <w:spacing w:after="0" w:line="240" w:lineRule="auto"/>
      </w:pPr>
      <w:r w:rsidRPr="006E1DC9">
        <w:rPr>
          <w:rStyle w:val="FootnoteReference"/>
        </w:rPr>
        <w:footnoteRef/>
      </w:r>
      <w:r w:rsidRPr="006E1DC9">
        <w:t xml:space="preserve"> </w:t>
      </w:r>
      <w:r w:rsidRPr="006E1DC9">
        <w:rPr>
          <w:i/>
        </w:rPr>
        <w:t>Id.</w:t>
      </w:r>
    </w:p>
  </w:footnote>
  <w:footnote w:id="55">
    <w:p w14:paraId="22734570" w14:textId="77777777" w:rsidR="004827DC" w:rsidRPr="006E1DC9" w:rsidRDefault="004827DC" w:rsidP="006E1DC9">
      <w:pPr>
        <w:pStyle w:val="FootnoteText"/>
        <w:spacing w:after="0" w:line="240" w:lineRule="auto"/>
      </w:pPr>
      <w:r w:rsidRPr="006E1DC9">
        <w:rPr>
          <w:rStyle w:val="FootnoteReference"/>
        </w:rPr>
        <w:footnoteRef/>
      </w:r>
      <w:r w:rsidRPr="006E1DC9">
        <w:t xml:space="preserve"> </w:t>
      </w:r>
      <w:r w:rsidRPr="006E1DC9">
        <w:rPr>
          <w:i/>
        </w:rPr>
        <w:t>Id.</w:t>
      </w:r>
    </w:p>
  </w:footnote>
  <w:footnote w:id="56">
    <w:p w14:paraId="3B3B9661" w14:textId="77777777" w:rsidR="004827DC" w:rsidRPr="006E1DC9" w:rsidRDefault="004827DC" w:rsidP="006E1DC9">
      <w:pPr>
        <w:pStyle w:val="FootnoteText"/>
        <w:spacing w:after="0" w:line="240" w:lineRule="auto"/>
      </w:pPr>
      <w:r w:rsidRPr="006E1DC9">
        <w:rPr>
          <w:rStyle w:val="FootnoteReference"/>
        </w:rPr>
        <w:footnoteRef/>
      </w:r>
      <w:r w:rsidRPr="006E1DC9">
        <w:t xml:space="preserve"> </w:t>
      </w:r>
      <w:r w:rsidRPr="006E1DC9">
        <w:rPr>
          <w:i/>
        </w:rPr>
        <w:t>Id.</w:t>
      </w:r>
    </w:p>
  </w:footnote>
  <w:footnote w:id="57">
    <w:p w14:paraId="7804E605" w14:textId="77777777" w:rsidR="004827DC" w:rsidRPr="006E1DC9" w:rsidRDefault="004827DC" w:rsidP="004E2A64">
      <w:pPr>
        <w:pStyle w:val="FootnoteText"/>
        <w:spacing w:after="0" w:line="240" w:lineRule="auto"/>
      </w:pPr>
      <w:r w:rsidRPr="006E1DC9">
        <w:rPr>
          <w:rStyle w:val="FootnoteReference"/>
        </w:rPr>
        <w:footnoteRef/>
      </w:r>
      <w:r w:rsidRPr="006E1DC9">
        <w:t xml:space="preserve"> </w:t>
      </w:r>
      <w:r w:rsidRPr="006E1DC9">
        <w:rPr>
          <w:i/>
        </w:rPr>
        <w:t>Id.</w:t>
      </w:r>
    </w:p>
  </w:footnote>
  <w:footnote w:id="58">
    <w:p w14:paraId="6EF94566" w14:textId="77777777" w:rsidR="004827DC" w:rsidRPr="006E1DC9" w:rsidRDefault="004827DC" w:rsidP="004E2A64">
      <w:pPr>
        <w:pStyle w:val="FootnoteText"/>
        <w:spacing w:after="0" w:line="240" w:lineRule="auto"/>
      </w:pPr>
      <w:r w:rsidRPr="006E1DC9">
        <w:rPr>
          <w:rStyle w:val="FootnoteReference"/>
        </w:rPr>
        <w:footnoteRef/>
      </w:r>
      <w:r w:rsidRPr="006E1DC9">
        <w:t xml:space="preserve"> </w:t>
      </w:r>
      <w:r w:rsidRPr="006E1DC9">
        <w:rPr>
          <w:i/>
        </w:rPr>
        <w:t>Id.</w:t>
      </w:r>
    </w:p>
  </w:footnote>
  <w:footnote w:id="59">
    <w:p w14:paraId="7B70A37F" w14:textId="3BB6E076" w:rsidR="004827DC" w:rsidRPr="006E1DC9" w:rsidRDefault="004827DC" w:rsidP="004E2A64">
      <w:pPr>
        <w:pStyle w:val="FootnoteText"/>
        <w:spacing w:after="0"/>
      </w:pPr>
      <w:r w:rsidRPr="006E1DC9">
        <w:rPr>
          <w:rStyle w:val="FootnoteReference"/>
        </w:rPr>
        <w:footnoteRef/>
      </w:r>
      <w:r w:rsidRPr="006E1DC9">
        <w:t xml:space="preserve"> Lawrence Mishel, </w:t>
      </w:r>
      <w:r w:rsidRPr="006E1DC9">
        <w:rPr>
          <w:i/>
          <w:iCs/>
        </w:rPr>
        <w:t>Diversity in the New York City union and nonunion construction sectors</w:t>
      </w:r>
      <w:r w:rsidRPr="006E1DC9">
        <w:t xml:space="preserve">, Economic Policy Institute (Mar. 2, 2017), </w:t>
      </w:r>
      <w:r w:rsidRPr="006E1DC9">
        <w:rPr>
          <w:i/>
        </w:rPr>
        <w:t>available at</w:t>
      </w:r>
      <w:r w:rsidRPr="006E1DC9">
        <w:t xml:space="preserve"> </w:t>
      </w:r>
      <w:hyperlink r:id="rId13" w:history="1">
        <w:r w:rsidRPr="006E1DC9">
          <w:rPr>
            <w:rStyle w:val="Hyperlink"/>
          </w:rPr>
          <w:t>https://www.epi.org/publication/diversity-in-the-nyc-construction-union-and-nonunion-sectors/</w:t>
        </w:r>
      </w:hyperlink>
      <w:r w:rsidRPr="006E1DC9">
        <w:t xml:space="preserve">; </w:t>
      </w:r>
      <w:r w:rsidRPr="006E1DC9">
        <w:rPr>
          <w:i/>
          <w:iCs/>
        </w:rPr>
        <w:t>See</w:t>
      </w:r>
      <w:r w:rsidRPr="006E1DC9">
        <w:t xml:space="preserve"> Kim Slowey, </w:t>
      </w:r>
      <w:r w:rsidRPr="006E1DC9">
        <w:rPr>
          <w:i/>
          <w:iCs/>
        </w:rPr>
        <w:t>NYC Unions Recruiting More Women</w:t>
      </w:r>
      <w:r w:rsidRPr="006E1DC9">
        <w:t xml:space="preserve"> (Mar. 27, 2019), </w:t>
      </w:r>
      <w:r w:rsidRPr="006E1DC9">
        <w:rPr>
          <w:i/>
          <w:iCs/>
        </w:rPr>
        <w:t xml:space="preserve">available at </w:t>
      </w:r>
      <w:hyperlink r:id="rId14" w:history="1">
        <w:r w:rsidRPr="006E1DC9">
          <w:rPr>
            <w:rStyle w:val="Hyperlink"/>
          </w:rPr>
          <w:t>https://www.constructiondive.com/news/nyc-unions-recruiting-more-women/551326/</w:t>
        </w:r>
      </w:hyperlink>
      <w:r w:rsidRPr="006E1DC9">
        <w:t xml:space="preserve"> (noting that [prior to the pandemic] the recruitment of women into New York City union apprenticeship programs was up 50 percent); Kathleen Culhane and Gary Labarbera, </w:t>
      </w:r>
      <w:r w:rsidRPr="006E1DC9">
        <w:rPr>
          <w:i/>
          <w:iCs/>
        </w:rPr>
        <w:t>Construction Unions Making Commitment to Recruit Women</w:t>
      </w:r>
      <w:r w:rsidRPr="006E1DC9">
        <w:t xml:space="preserve"> (Mar. 20, 2019), </w:t>
      </w:r>
      <w:r w:rsidRPr="004E2A64">
        <w:rPr>
          <w:i/>
        </w:rPr>
        <w:t>available at</w:t>
      </w:r>
      <w:r w:rsidRPr="006E1DC9">
        <w:t xml:space="preserve"> </w:t>
      </w:r>
      <w:hyperlink r:id="rId15" w:history="1">
        <w:r w:rsidRPr="006E1DC9">
          <w:rPr>
            <w:rStyle w:val="Hyperlink"/>
          </w:rPr>
          <w:t>https://commercialobserver.com/2019/03/construction-unions-making-commitment-to-recruit-women/</w:t>
        </w:r>
      </w:hyperlink>
      <w:r w:rsidRPr="006E1DC9">
        <w:t>.</w:t>
      </w:r>
    </w:p>
  </w:footnote>
  <w:footnote w:id="60">
    <w:p w14:paraId="0225D1E7" w14:textId="173DFAF2" w:rsidR="004827DC" w:rsidRPr="006E1DC9" w:rsidRDefault="004827DC" w:rsidP="004E2A64">
      <w:pPr>
        <w:pStyle w:val="FootnoteText"/>
        <w:spacing w:after="0" w:line="240" w:lineRule="auto"/>
      </w:pPr>
      <w:r w:rsidRPr="006E1DC9">
        <w:rPr>
          <w:rStyle w:val="FootnoteReference"/>
        </w:rPr>
        <w:footnoteRef/>
      </w:r>
      <w:r w:rsidRPr="006E1DC9">
        <w:t xml:space="preserve"> Columbia University School of International and Public Affairs, </w:t>
      </w:r>
      <w:r w:rsidRPr="006E1DC9">
        <w:rPr>
          <w:i/>
          <w:iCs/>
        </w:rPr>
        <w:t>Construction Skills Report</w:t>
      </w:r>
      <w:r w:rsidRPr="006E1DC9">
        <w:t xml:space="preserve">, 1, 10 (2014) </w:t>
      </w:r>
      <w:r w:rsidRPr="006E1DC9">
        <w:rPr>
          <w:i/>
          <w:iCs/>
        </w:rPr>
        <w:t xml:space="preserve">available at </w:t>
      </w:r>
      <w:hyperlink r:id="rId16" w:history="1">
        <w:r w:rsidRPr="006E1DC9">
          <w:rPr>
            <w:rStyle w:val="Hyperlink"/>
          </w:rPr>
          <w:t>https://sipa.columbia.edu/sites/default/files/Columbia_SIPA_Construction_Skills_Report_Final_March_2014_0.pdf</w:t>
        </w:r>
      </w:hyperlink>
      <w:r w:rsidRPr="006E1DC9">
        <w:t xml:space="preserve">.  </w:t>
      </w:r>
    </w:p>
  </w:footnote>
  <w:footnote w:id="61">
    <w:p w14:paraId="74C367EE" w14:textId="64E6C91A" w:rsidR="004827DC" w:rsidRPr="006E1DC9" w:rsidRDefault="004827DC" w:rsidP="004E2A64">
      <w:pPr>
        <w:pStyle w:val="FootnoteText"/>
        <w:spacing w:after="0" w:line="240" w:lineRule="auto"/>
      </w:pPr>
      <w:r w:rsidRPr="006E1DC9">
        <w:rPr>
          <w:rStyle w:val="FootnoteReference"/>
        </w:rPr>
        <w:footnoteRef/>
      </w:r>
      <w:r w:rsidRPr="006E1DC9">
        <w:t xml:space="preserve"> Just as the cost of construction in NYC greatly outpaces the same costs in comparable American cities – so too do union wages for labor. As of 2014 a union carpenter in NYC earned $74.81 per hour, compared to $61.97 and $61.45 in Boston and Philadelphia, respectively. </w:t>
      </w:r>
      <w:r w:rsidRPr="006E1DC9">
        <w:rPr>
          <w:i/>
          <w:iCs/>
        </w:rPr>
        <w:t xml:space="preserve">See </w:t>
      </w:r>
      <w:r w:rsidRPr="006E1DC9">
        <w:t xml:space="preserve">Ester Fuchs, Dorian Warren &amp; Kimberly Bayer, </w:t>
      </w:r>
      <w:r w:rsidRPr="006E1DC9">
        <w:rPr>
          <w:i/>
          <w:iCs/>
        </w:rPr>
        <w:t>Expanding Opportunity For Middle Class Jobs in New York City</w:t>
      </w:r>
      <w:r w:rsidRPr="006E1DC9">
        <w:t>, Columbia University School of Inter</w:t>
      </w:r>
      <w:r w:rsidR="004E2A64">
        <w:t xml:space="preserve">national and Public Affairs, at 10 </w:t>
      </w:r>
      <w:r w:rsidRPr="006E1DC9">
        <w:t xml:space="preserve">(Mar 2014), </w:t>
      </w:r>
      <w:r w:rsidRPr="006E1DC9">
        <w:rPr>
          <w:i/>
          <w:iCs/>
        </w:rPr>
        <w:t xml:space="preserve">available at </w:t>
      </w:r>
      <w:hyperlink r:id="rId17" w:history="1">
        <w:r w:rsidRPr="006E1DC9">
          <w:rPr>
            <w:rStyle w:val="Hyperlink"/>
          </w:rPr>
          <w:t>https://sipa.columbia.edu/sites/default/files/Columbia_SIPA_Construction_Skills_Report_Final_March_2014_0.pdf</w:t>
        </w:r>
      </w:hyperlink>
      <w:r w:rsidRPr="006E1DC9">
        <w:rPr>
          <w:rStyle w:val="Hyperlink"/>
        </w:rPr>
        <w:t>.</w:t>
      </w:r>
    </w:p>
  </w:footnote>
  <w:footnote w:id="62">
    <w:p w14:paraId="6B33DA4A" w14:textId="645CF32D" w:rsidR="004827DC" w:rsidRPr="006E1DC9" w:rsidRDefault="004827DC" w:rsidP="004E2A64">
      <w:pPr>
        <w:pStyle w:val="FootnoteText"/>
        <w:spacing w:after="0" w:line="240" w:lineRule="auto"/>
      </w:pPr>
      <w:r w:rsidRPr="006E1DC9">
        <w:rPr>
          <w:rStyle w:val="FootnoteReference"/>
        </w:rPr>
        <w:footnoteRef/>
      </w:r>
      <w:r w:rsidRPr="006E1DC9">
        <w:t xml:space="preserve"> </w:t>
      </w:r>
      <w:r w:rsidRPr="006E1DC9">
        <w:rPr>
          <w:i/>
          <w:iCs/>
        </w:rPr>
        <w:t xml:space="preserve">See </w:t>
      </w:r>
      <w:r w:rsidRPr="006E1DC9">
        <w:t xml:space="preserve">JATC, </w:t>
      </w:r>
      <w:r w:rsidRPr="006E1DC9">
        <w:rPr>
          <w:i/>
          <w:iCs/>
        </w:rPr>
        <w:t>About</w:t>
      </w:r>
      <w:r w:rsidRPr="006E1DC9">
        <w:t xml:space="preserve"> (last visited Apr. 14, 2022), </w:t>
      </w:r>
      <w:r w:rsidRPr="006E1DC9">
        <w:rPr>
          <w:i/>
          <w:iCs/>
        </w:rPr>
        <w:t>available at</w:t>
      </w:r>
      <w:r w:rsidRPr="006E1DC9">
        <w:t xml:space="preserve"> </w:t>
      </w:r>
      <w:hyperlink r:id="rId18" w:history="1">
        <w:r w:rsidRPr="006E1DC9">
          <w:rPr>
            <w:rStyle w:val="Hyperlink"/>
          </w:rPr>
          <w:t>http://www.jeojatc.com/about.html</w:t>
        </w:r>
      </w:hyperlink>
      <w:r w:rsidRPr="006E1DC9">
        <w:rPr>
          <w:rStyle w:val="Hyperlink"/>
        </w:rPr>
        <w:t>.</w:t>
      </w:r>
    </w:p>
  </w:footnote>
  <w:footnote w:id="63">
    <w:p w14:paraId="3F4A3F32" w14:textId="26BC2A31" w:rsidR="004827DC" w:rsidRPr="006E1DC9" w:rsidRDefault="004827DC" w:rsidP="004E2A64">
      <w:pPr>
        <w:pStyle w:val="FootnoteText"/>
        <w:spacing w:after="0" w:line="240" w:lineRule="auto"/>
        <w:rPr>
          <w:i/>
          <w:iCs/>
        </w:rPr>
      </w:pPr>
      <w:r w:rsidRPr="006E1DC9">
        <w:rPr>
          <w:rStyle w:val="FootnoteReference"/>
        </w:rPr>
        <w:footnoteRef/>
      </w:r>
      <w:r w:rsidRPr="006E1DC9">
        <w:t xml:space="preserve"> </w:t>
      </w:r>
      <w:r w:rsidRPr="006E1DC9">
        <w:rPr>
          <w:i/>
          <w:iCs/>
        </w:rPr>
        <w:t>Id.</w:t>
      </w:r>
    </w:p>
  </w:footnote>
  <w:footnote w:id="64">
    <w:p w14:paraId="783B7373" w14:textId="28FFC35D" w:rsidR="004827DC" w:rsidRPr="006E1DC9" w:rsidRDefault="004827DC" w:rsidP="004E2A64">
      <w:pPr>
        <w:pStyle w:val="FootnoteText"/>
        <w:spacing w:after="0" w:line="240" w:lineRule="auto"/>
        <w:jc w:val="both"/>
        <w:rPr>
          <w:i/>
          <w:iCs/>
        </w:rPr>
      </w:pPr>
      <w:r w:rsidRPr="006E1DC9">
        <w:rPr>
          <w:rStyle w:val="FootnoteReference"/>
        </w:rPr>
        <w:footnoteRef/>
      </w:r>
      <w:r w:rsidRPr="006E1DC9">
        <w:t xml:space="preserve"> </w:t>
      </w:r>
      <w:r w:rsidRPr="006E1DC9">
        <w:rPr>
          <w:i/>
          <w:iCs/>
        </w:rPr>
        <w:t>Id.</w:t>
      </w:r>
    </w:p>
  </w:footnote>
  <w:footnote w:id="65">
    <w:p w14:paraId="1BC8E828" w14:textId="6D9A0CAD" w:rsidR="004827DC" w:rsidRPr="006E1DC9" w:rsidRDefault="004827DC" w:rsidP="004E2A64">
      <w:pPr>
        <w:pStyle w:val="FootnoteText"/>
        <w:spacing w:after="0" w:line="240" w:lineRule="auto"/>
        <w:jc w:val="both"/>
      </w:pPr>
      <w:r w:rsidRPr="006E1DC9">
        <w:rPr>
          <w:rStyle w:val="FootnoteReference"/>
        </w:rPr>
        <w:footnoteRef/>
      </w:r>
      <w:r w:rsidRPr="006E1DC9">
        <w:t xml:space="preserve"> </w:t>
      </w:r>
      <w:r w:rsidR="00754A6F">
        <w:rPr>
          <w:i/>
          <w:iCs/>
        </w:rPr>
        <w:t xml:space="preserve">Id. </w:t>
      </w:r>
      <w:r w:rsidRPr="006E1DC9">
        <w:t>at 12.</w:t>
      </w:r>
    </w:p>
  </w:footnote>
  <w:footnote w:id="66">
    <w:p w14:paraId="057F173C" w14:textId="77777777" w:rsidR="004827DC" w:rsidRPr="006E1DC9" w:rsidRDefault="004827DC" w:rsidP="004E2A64">
      <w:pPr>
        <w:pStyle w:val="FootnoteText"/>
        <w:spacing w:after="0" w:line="240" w:lineRule="auto"/>
        <w:jc w:val="both"/>
        <w:rPr>
          <w:i/>
          <w:iCs/>
        </w:rPr>
      </w:pPr>
      <w:r w:rsidRPr="006E1DC9">
        <w:rPr>
          <w:rStyle w:val="FootnoteReference"/>
        </w:rPr>
        <w:footnoteRef/>
      </w:r>
      <w:r w:rsidRPr="006E1DC9">
        <w:t xml:space="preserve"> </w:t>
      </w:r>
      <w:r w:rsidRPr="006E1DC9">
        <w:rPr>
          <w:i/>
          <w:iCs/>
        </w:rPr>
        <w:t>Id.</w:t>
      </w:r>
    </w:p>
  </w:footnote>
  <w:footnote w:id="67">
    <w:p w14:paraId="77AAFDF5" w14:textId="698EA898" w:rsidR="004827DC" w:rsidRPr="006E1DC9" w:rsidRDefault="004827DC" w:rsidP="004E2A64">
      <w:pPr>
        <w:pStyle w:val="FootnoteText"/>
        <w:spacing w:after="0" w:line="240" w:lineRule="auto"/>
        <w:jc w:val="both"/>
        <w:rPr>
          <w:i/>
          <w:iCs/>
        </w:rPr>
      </w:pPr>
      <w:r w:rsidRPr="006E1DC9">
        <w:rPr>
          <w:rStyle w:val="FootnoteReference"/>
        </w:rPr>
        <w:footnoteRef/>
      </w:r>
      <w:r w:rsidRPr="006E1DC9">
        <w:t xml:space="preserve"> </w:t>
      </w:r>
      <w:r w:rsidRPr="006E1DC9">
        <w:rPr>
          <w:i/>
          <w:iCs/>
        </w:rPr>
        <w:t>Id.</w:t>
      </w:r>
    </w:p>
  </w:footnote>
  <w:footnote w:id="68">
    <w:p w14:paraId="52E1DCCB" w14:textId="4E358073" w:rsidR="004827DC" w:rsidRPr="006E1DC9" w:rsidRDefault="004827DC" w:rsidP="004E2A64">
      <w:pPr>
        <w:pStyle w:val="FootnoteText"/>
        <w:spacing w:after="0" w:line="240" w:lineRule="auto"/>
        <w:jc w:val="both"/>
      </w:pPr>
      <w:r w:rsidRPr="006E1DC9">
        <w:rPr>
          <w:rStyle w:val="FootnoteReference"/>
        </w:rPr>
        <w:footnoteRef/>
      </w:r>
      <w:r w:rsidRPr="006E1DC9">
        <w:t xml:space="preserve"> </w:t>
      </w:r>
      <w:r w:rsidRPr="006E1DC9">
        <w:rPr>
          <w:i/>
          <w:iCs/>
        </w:rPr>
        <w:t>Id</w:t>
      </w:r>
      <w:r w:rsidRPr="004E2A64">
        <w:rPr>
          <w:iCs/>
        </w:rPr>
        <w:t>.;</w:t>
      </w:r>
      <w:r w:rsidR="00754A6F">
        <w:rPr>
          <w:i/>
        </w:rPr>
        <w:t xml:space="preserve"> </w:t>
      </w:r>
      <w:r w:rsidR="00754A6F">
        <w:rPr>
          <w:i/>
          <w:iCs/>
        </w:rPr>
        <w:t>s</w:t>
      </w:r>
      <w:r w:rsidRPr="006E1DC9">
        <w:rPr>
          <w:i/>
          <w:iCs/>
        </w:rPr>
        <w:t xml:space="preserve">ee also </w:t>
      </w:r>
      <w:r w:rsidRPr="006E1DC9">
        <w:t xml:space="preserve">Building and Construction Trades Council of Greater New York, </w:t>
      </w:r>
      <w:r w:rsidRPr="006E1DC9">
        <w:rPr>
          <w:i/>
          <w:iCs/>
        </w:rPr>
        <w:t>Apprenticeship Readiness Collective</w:t>
      </w:r>
      <w:r w:rsidRPr="006E1DC9">
        <w:t xml:space="preserve"> (last visited Apr. 12, 2022), </w:t>
      </w:r>
      <w:r w:rsidRPr="006E1DC9">
        <w:rPr>
          <w:i/>
          <w:iCs/>
        </w:rPr>
        <w:t xml:space="preserve">available at </w:t>
      </w:r>
      <w:hyperlink r:id="rId19" w:history="1">
        <w:r w:rsidRPr="006E1DC9">
          <w:rPr>
            <w:rStyle w:val="Hyperlink"/>
          </w:rPr>
          <w:t>http://www.nycbuildingtrades.org/arc.aspx</w:t>
        </w:r>
      </w:hyperlink>
      <w:r w:rsidRPr="006E1DC9">
        <w:t>.</w:t>
      </w:r>
    </w:p>
  </w:footnote>
  <w:footnote w:id="69">
    <w:p w14:paraId="730BD49B" w14:textId="7E12380C" w:rsidR="004827DC" w:rsidRPr="006E1DC9" w:rsidRDefault="004827DC" w:rsidP="004E2A64">
      <w:pPr>
        <w:pStyle w:val="FootnoteText"/>
        <w:spacing w:after="0" w:line="240" w:lineRule="auto"/>
        <w:jc w:val="both"/>
        <w:rPr>
          <w:i/>
          <w:iCs/>
        </w:rPr>
      </w:pPr>
      <w:r w:rsidRPr="006E1DC9">
        <w:rPr>
          <w:rStyle w:val="FootnoteReference"/>
        </w:rPr>
        <w:footnoteRef/>
      </w:r>
      <w:r w:rsidRPr="006E1DC9">
        <w:t xml:space="preserve"> </w:t>
      </w:r>
      <w:r w:rsidR="00754A6F">
        <w:rPr>
          <w:i/>
          <w:iCs/>
        </w:rPr>
        <w:t>Id</w:t>
      </w:r>
      <w:r w:rsidRPr="006E1DC9">
        <w:rPr>
          <w:i/>
          <w:iCs/>
        </w:rPr>
        <w:t>.</w:t>
      </w:r>
    </w:p>
  </w:footnote>
  <w:footnote w:id="70">
    <w:p w14:paraId="3DE0322F" w14:textId="55606E83" w:rsidR="004827DC" w:rsidRPr="006E1DC9" w:rsidRDefault="004827DC" w:rsidP="004E2A64">
      <w:pPr>
        <w:pStyle w:val="FootnoteText"/>
        <w:spacing w:after="0" w:line="240" w:lineRule="auto"/>
        <w:jc w:val="both"/>
        <w:rPr>
          <w:i/>
          <w:iCs/>
        </w:rPr>
      </w:pPr>
      <w:r w:rsidRPr="006E1DC9">
        <w:rPr>
          <w:rStyle w:val="FootnoteReference"/>
        </w:rPr>
        <w:footnoteRef/>
      </w:r>
      <w:r w:rsidRPr="006E1DC9">
        <w:t xml:space="preserve"> </w:t>
      </w:r>
      <w:r w:rsidR="00754A6F">
        <w:rPr>
          <w:i/>
          <w:iCs/>
        </w:rPr>
        <w:t xml:space="preserve">Id. </w:t>
      </w:r>
    </w:p>
  </w:footnote>
  <w:footnote w:id="71">
    <w:p w14:paraId="47483FA6" w14:textId="055D14F5" w:rsidR="004827DC" w:rsidRPr="006E1DC9" w:rsidRDefault="004827DC" w:rsidP="004E2A64">
      <w:pPr>
        <w:pStyle w:val="FootnoteText"/>
        <w:spacing w:after="0" w:line="240" w:lineRule="auto"/>
        <w:jc w:val="both"/>
      </w:pPr>
      <w:r w:rsidRPr="006E1DC9">
        <w:rPr>
          <w:rStyle w:val="FootnoteReference"/>
        </w:rPr>
        <w:footnoteRef/>
      </w:r>
      <w:r w:rsidRPr="006E1DC9">
        <w:t xml:space="preserve"> </w:t>
      </w:r>
      <w:r w:rsidR="00754A6F">
        <w:t>New York City Mayor’s Office</w:t>
      </w:r>
      <w:r w:rsidRPr="006E1DC9">
        <w:t xml:space="preserve">, </w:t>
      </w:r>
      <w:r w:rsidRPr="006E1DC9">
        <w:rPr>
          <w:i/>
          <w:iCs/>
        </w:rPr>
        <w:t>Mayor’s Office Announces Community Hiring Economic Justice Plan</w:t>
      </w:r>
      <w:r w:rsidRPr="006E1DC9">
        <w:t xml:space="preserve"> (Aug. 13, 2020), </w:t>
      </w:r>
      <w:r w:rsidRPr="006E1DC9">
        <w:rPr>
          <w:i/>
          <w:iCs/>
        </w:rPr>
        <w:t>available at</w:t>
      </w:r>
      <w:r w:rsidRPr="006E1DC9">
        <w:t xml:space="preserve"> </w:t>
      </w:r>
      <w:hyperlink r:id="rId20" w:history="1">
        <w:r w:rsidRPr="006E1DC9">
          <w:rPr>
            <w:rStyle w:val="Hyperlink"/>
          </w:rPr>
          <w:t>https://www1.nyc.gov/office-of-the-mayor/news/588-20/mayor-de-blasio-community-hiring-economic-justice-plan</w:t>
        </w:r>
      </w:hyperlink>
      <w:r w:rsidR="00754A6F">
        <w:rPr>
          <w:rStyle w:val="Hyperlink"/>
        </w:rPr>
        <w:t>.</w:t>
      </w:r>
      <w:r w:rsidRPr="006E1DC9">
        <w:t xml:space="preserve"> </w:t>
      </w:r>
    </w:p>
  </w:footnote>
  <w:footnote w:id="72">
    <w:p w14:paraId="61F296DA" w14:textId="77777777" w:rsidR="004827DC" w:rsidRPr="006E1DC9" w:rsidRDefault="004827DC" w:rsidP="004E2A64">
      <w:pPr>
        <w:pStyle w:val="FootnoteText"/>
        <w:spacing w:after="0" w:line="240" w:lineRule="auto"/>
        <w:jc w:val="both"/>
      </w:pPr>
      <w:r w:rsidRPr="006E1DC9">
        <w:rPr>
          <w:rStyle w:val="FootnoteReference"/>
        </w:rPr>
        <w:footnoteRef/>
      </w:r>
      <w:r w:rsidRPr="006E1DC9">
        <w:t xml:space="preserve"> </w:t>
      </w:r>
      <w:r w:rsidRPr="006E1DC9">
        <w:rPr>
          <w:i/>
          <w:iCs/>
        </w:rPr>
        <w:t>Id.</w:t>
      </w:r>
      <w:r w:rsidRPr="006E1DC9">
        <w:t xml:space="preserve"> </w:t>
      </w:r>
    </w:p>
  </w:footnote>
  <w:footnote w:id="73">
    <w:p w14:paraId="32920F06" w14:textId="77777777" w:rsidR="004827DC" w:rsidRPr="006E1DC9" w:rsidRDefault="004827DC" w:rsidP="004E2A64">
      <w:pPr>
        <w:pStyle w:val="FootnoteText"/>
        <w:spacing w:after="0" w:line="240" w:lineRule="auto"/>
        <w:jc w:val="both"/>
      </w:pPr>
      <w:r w:rsidRPr="006E1DC9">
        <w:rPr>
          <w:rStyle w:val="FootnoteReference"/>
        </w:rPr>
        <w:footnoteRef/>
      </w:r>
      <w:r w:rsidRPr="006E1DC9">
        <w:t xml:space="preserve"> </w:t>
      </w:r>
      <w:r w:rsidRPr="006E1DC9">
        <w:rPr>
          <w:i/>
          <w:iCs/>
        </w:rPr>
        <w:t>Id.</w:t>
      </w:r>
    </w:p>
  </w:footnote>
  <w:footnote w:id="74">
    <w:p w14:paraId="28572D40" w14:textId="77777777" w:rsidR="004827DC" w:rsidRPr="006E1DC9" w:rsidRDefault="004827DC" w:rsidP="004E2A64">
      <w:pPr>
        <w:pStyle w:val="FootnoteText"/>
        <w:spacing w:after="0" w:line="240" w:lineRule="auto"/>
        <w:jc w:val="both"/>
      </w:pPr>
      <w:r w:rsidRPr="006E1DC9">
        <w:rPr>
          <w:rStyle w:val="FootnoteReference"/>
        </w:rPr>
        <w:footnoteRef/>
      </w:r>
      <w:r w:rsidRPr="006E1DC9">
        <w:t xml:space="preserve"> </w:t>
      </w:r>
      <w:r w:rsidRPr="006E1DC9">
        <w:rPr>
          <w:i/>
          <w:iCs/>
        </w:rPr>
        <w:t>Id.</w:t>
      </w:r>
    </w:p>
  </w:footnote>
  <w:footnote w:id="75">
    <w:p w14:paraId="1F8BC50A" w14:textId="7E930CF9" w:rsidR="004827DC" w:rsidRPr="006E1DC9" w:rsidRDefault="004827DC" w:rsidP="004E2A64">
      <w:pPr>
        <w:pStyle w:val="FootnoteText"/>
        <w:spacing w:after="0" w:line="240" w:lineRule="auto"/>
        <w:jc w:val="both"/>
      </w:pPr>
      <w:r w:rsidRPr="006E1DC9">
        <w:rPr>
          <w:rStyle w:val="FootnoteReference"/>
        </w:rPr>
        <w:footnoteRef/>
      </w:r>
      <w:r w:rsidRPr="006E1DC9">
        <w:t xml:space="preserve"> Esther Fuchs, Dorian Warren, Kimberly Bayer, </w:t>
      </w:r>
      <w:r w:rsidRPr="006E1DC9">
        <w:rPr>
          <w:i/>
          <w:iCs/>
        </w:rPr>
        <w:t xml:space="preserve">Expanding Opportunity for Middle Class Jobs in New York City, </w:t>
      </w:r>
      <w:r w:rsidRPr="006E1DC9">
        <w:t xml:space="preserve">Columbia University (March 2014), </w:t>
      </w:r>
      <w:r w:rsidRPr="006E1DC9">
        <w:rPr>
          <w:i/>
          <w:iCs/>
        </w:rPr>
        <w:t>available at</w:t>
      </w:r>
      <w:r w:rsidRPr="006E1DC9">
        <w:t xml:space="preserve"> </w:t>
      </w:r>
      <w:hyperlink r:id="rId21" w:history="1">
        <w:r w:rsidRPr="006E1DC9">
          <w:rPr>
            <w:rStyle w:val="Hyperlink"/>
          </w:rPr>
          <w:t>https://sipa.columbia.edu/sites/default/files/Columbia_SIPA_Construction_Skills_Report_Final_March_2014_0.pdf</w:t>
        </w:r>
      </w:hyperlink>
      <w:r w:rsidR="00754A6F">
        <w:rPr>
          <w:rStyle w:val="Hyperlink"/>
        </w:rPr>
        <w:t>.</w:t>
      </w:r>
      <w:r w:rsidRPr="006E1DC9">
        <w:rPr>
          <w:i/>
          <w:iCs/>
        </w:rPr>
        <w:t xml:space="preserve"> </w:t>
      </w:r>
    </w:p>
  </w:footnote>
  <w:footnote w:id="76">
    <w:p w14:paraId="032E732E" w14:textId="5A723762" w:rsidR="004827DC" w:rsidRPr="006E1DC9" w:rsidRDefault="004827DC" w:rsidP="004E2A64">
      <w:pPr>
        <w:pStyle w:val="FootnoteText"/>
        <w:spacing w:after="0"/>
        <w:jc w:val="both"/>
      </w:pPr>
      <w:r w:rsidRPr="006E1DC9">
        <w:rPr>
          <w:rStyle w:val="FootnoteReference"/>
        </w:rPr>
        <w:footnoteRef/>
      </w:r>
      <w:r w:rsidRPr="006E1DC9">
        <w:t xml:space="preserve"> Mayor’s Office of Contract Services, </w:t>
      </w:r>
      <w:r w:rsidRPr="006E1DC9">
        <w:rPr>
          <w:i/>
          <w:iCs/>
        </w:rPr>
        <w:t xml:space="preserve">Project Labor Agreement Covering Specified New Construction of Identified City Owned Buildings and Structures 2020-2024 </w:t>
      </w:r>
      <w:r w:rsidRPr="006E1DC9">
        <w:t xml:space="preserve">(Aug. 12, 2020) </w:t>
      </w:r>
      <w:r w:rsidRPr="006E1DC9">
        <w:rPr>
          <w:i/>
          <w:iCs/>
        </w:rPr>
        <w:t>available at</w:t>
      </w:r>
      <w:r w:rsidRPr="006E1DC9">
        <w:t xml:space="preserve"> </w:t>
      </w:r>
      <w:hyperlink r:id="rId22" w:history="1">
        <w:r w:rsidRPr="006E1DC9">
          <w:rPr>
            <w:rStyle w:val="Hyperlink"/>
          </w:rPr>
          <w:t>https://www1.nyc.gov/assets/mocs/downloads/pdf/pla/2020_New_Construction_PLA_Agency_Solicitation_Version.PDF</w:t>
        </w:r>
      </w:hyperlink>
    </w:p>
  </w:footnote>
  <w:footnote w:id="77">
    <w:p w14:paraId="336FC273" w14:textId="61270B48" w:rsidR="004827DC" w:rsidRPr="006E1DC9" w:rsidRDefault="004827DC" w:rsidP="004E2A64">
      <w:pPr>
        <w:pStyle w:val="FootnoteText"/>
        <w:spacing w:after="0" w:line="240" w:lineRule="auto"/>
        <w:jc w:val="both"/>
      </w:pPr>
      <w:r w:rsidRPr="006E1DC9">
        <w:rPr>
          <w:rStyle w:val="FootnoteReference"/>
        </w:rPr>
        <w:footnoteRef/>
      </w:r>
      <w:r w:rsidRPr="006E1DC9">
        <w:t xml:space="preserve"> Mayor’s Office of Contract Services, </w:t>
      </w:r>
      <w:r w:rsidRPr="006E1DC9">
        <w:rPr>
          <w:i/>
          <w:iCs/>
        </w:rPr>
        <w:t xml:space="preserve">Project Labor Agreement Covering Specified New Construction of Identified City Owned Buildings and Structures 2020-2024 </w:t>
      </w:r>
      <w:r w:rsidRPr="006E1DC9">
        <w:t xml:space="preserve">(Aug. 12, 2020) </w:t>
      </w:r>
      <w:r w:rsidRPr="006E1DC9">
        <w:rPr>
          <w:i/>
          <w:iCs/>
        </w:rPr>
        <w:t>available at</w:t>
      </w:r>
      <w:r w:rsidRPr="006E1DC9">
        <w:t xml:space="preserve"> </w:t>
      </w:r>
      <w:hyperlink r:id="rId23" w:history="1">
        <w:r w:rsidRPr="006E1DC9">
          <w:rPr>
            <w:rStyle w:val="Hyperlink"/>
          </w:rPr>
          <w:t>https://www1.nyc.gov/assets/mocs/downloads/pdf/pla/2020_New_Construction_PLA_Agency_Solicitation_Version.PDF</w:t>
        </w:r>
      </w:hyperlink>
      <w:r w:rsidRPr="006E1DC9">
        <w:rPr>
          <w:rStyle w:val="Hyperlink"/>
        </w:rPr>
        <w:t>.</w:t>
      </w:r>
      <w:r w:rsidRPr="006E1DC9">
        <w:t xml:space="preserve"> </w:t>
      </w:r>
    </w:p>
  </w:footnote>
  <w:footnote w:id="78">
    <w:p w14:paraId="61837338" w14:textId="77777777" w:rsidR="004827DC" w:rsidRPr="006E1DC9" w:rsidRDefault="004827DC" w:rsidP="004E2A64">
      <w:pPr>
        <w:pStyle w:val="FootnoteText"/>
        <w:spacing w:after="0" w:line="240" w:lineRule="auto"/>
        <w:jc w:val="both"/>
      </w:pPr>
      <w:r w:rsidRPr="006E1DC9">
        <w:rPr>
          <w:rStyle w:val="FootnoteReference"/>
        </w:rPr>
        <w:footnoteRef/>
      </w:r>
      <w:r w:rsidRPr="006E1DC9">
        <w:t xml:space="preserve"> </w:t>
      </w:r>
      <w:r w:rsidRPr="006E1DC9">
        <w:rPr>
          <w:i/>
          <w:iCs/>
        </w:rPr>
        <w:t>Id.</w:t>
      </w:r>
    </w:p>
  </w:footnote>
  <w:footnote w:id="79">
    <w:p w14:paraId="0AE80317" w14:textId="77777777" w:rsidR="004827DC" w:rsidRPr="006E1DC9" w:rsidRDefault="004827DC" w:rsidP="004E2A64">
      <w:pPr>
        <w:pStyle w:val="FootnoteText"/>
        <w:spacing w:after="0" w:line="240" w:lineRule="auto"/>
        <w:jc w:val="both"/>
      </w:pPr>
      <w:r w:rsidRPr="006E1DC9">
        <w:rPr>
          <w:rStyle w:val="FootnoteReference"/>
        </w:rPr>
        <w:footnoteRef/>
      </w:r>
      <w:r w:rsidRPr="006E1DC9">
        <w:t xml:space="preserve"> </w:t>
      </w:r>
      <w:r w:rsidRPr="006E1DC9">
        <w:rPr>
          <w:i/>
          <w:iCs/>
        </w:rPr>
        <w:t>Id.</w:t>
      </w:r>
      <w:r w:rsidRPr="006E1DC9">
        <w:t xml:space="preserve"> </w:t>
      </w:r>
    </w:p>
  </w:footnote>
  <w:footnote w:id="80">
    <w:p w14:paraId="340DF3AA" w14:textId="77777777" w:rsidR="004827DC" w:rsidRPr="006E1DC9" w:rsidRDefault="004827DC" w:rsidP="004E2A64">
      <w:pPr>
        <w:pStyle w:val="FootnoteText"/>
        <w:spacing w:after="0" w:line="240" w:lineRule="auto"/>
        <w:jc w:val="both"/>
      </w:pPr>
      <w:r w:rsidRPr="006E1DC9">
        <w:rPr>
          <w:rStyle w:val="FootnoteReference"/>
        </w:rPr>
        <w:footnoteRef/>
      </w:r>
      <w:r w:rsidRPr="006E1DC9">
        <w:t xml:space="preserve"> Kathryn Brenzel, </w:t>
      </w:r>
      <w:r w:rsidRPr="006E1DC9">
        <w:rPr>
          <w:i/>
          <w:iCs/>
        </w:rPr>
        <w:t>City Construction Unions Strike Deal to Hire Low-Income Workers,</w:t>
      </w:r>
      <w:r w:rsidRPr="006E1DC9">
        <w:t xml:space="preserve"> The Real Deal (August 13, 2020), </w:t>
      </w:r>
      <w:r w:rsidRPr="006E1DC9">
        <w:rPr>
          <w:i/>
          <w:iCs/>
        </w:rPr>
        <w:t>available at</w:t>
      </w:r>
      <w:r w:rsidRPr="006E1DC9">
        <w:t xml:space="preserve"> </w:t>
      </w:r>
      <w:hyperlink r:id="rId24" w:history="1">
        <w:r w:rsidRPr="006E1DC9">
          <w:rPr>
            <w:rStyle w:val="Hyperlink"/>
          </w:rPr>
          <w:t>https://therealdeal.com/2020/08/13/city-construction-unions-strike-deal-to-hire-low-income-workers/</w:t>
        </w:r>
      </w:hyperlink>
      <w:r w:rsidRPr="006E1DC9">
        <w:t xml:space="preserve"> </w:t>
      </w:r>
    </w:p>
  </w:footnote>
  <w:footnote w:id="81">
    <w:p w14:paraId="16498BFD" w14:textId="77777777" w:rsidR="004827DC" w:rsidRPr="006E1DC9" w:rsidRDefault="004827DC" w:rsidP="004E2A64">
      <w:pPr>
        <w:pStyle w:val="FootnoteText"/>
        <w:spacing w:after="0" w:line="240" w:lineRule="auto"/>
        <w:jc w:val="both"/>
      </w:pPr>
      <w:r w:rsidRPr="006E1DC9">
        <w:rPr>
          <w:rStyle w:val="FootnoteReference"/>
        </w:rPr>
        <w:footnoteRef/>
      </w:r>
      <w:r w:rsidRPr="006E1DC9">
        <w:t xml:space="preserve"> </w:t>
      </w:r>
      <w:r w:rsidRPr="006E1DC9">
        <w:rPr>
          <w:i/>
          <w:iCs/>
        </w:rPr>
        <w:t>Id.</w:t>
      </w:r>
    </w:p>
  </w:footnote>
  <w:footnote w:id="82">
    <w:p w14:paraId="1E8C2A7A" w14:textId="640E85C6" w:rsidR="004827DC" w:rsidRPr="006E1DC9" w:rsidRDefault="004827DC" w:rsidP="00346828">
      <w:pPr>
        <w:pStyle w:val="FootnoteText"/>
        <w:spacing w:after="0" w:line="240" w:lineRule="auto"/>
      </w:pPr>
      <w:r w:rsidRPr="006E1DC9">
        <w:rPr>
          <w:rStyle w:val="FootnoteReference"/>
        </w:rPr>
        <w:footnoteRef/>
      </w:r>
      <w:r w:rsidRPr="006E1DC9">
        <w:t xml:space="preserve"> </w:t>
      </w:r>
      <w:r w:rsidR="004E2A64">
        <w:rPr>
          <w:i/>
          <w:iCs/>
        </w:rPr>
        <w:t xml:space="preserve">Id. </w:t>
      </w:r>
      <w:r w:rsidRPr="006E1DC9">
        <w:t xml:space="preserve">at 1. </w:t>
      </w:r>
    </w:p>
  </w:footnote>
  <w:footnote w:id="83">
    <w:p w14:paraId="2EC685C2" w14:textId="4233E042" w:rsidR="004827DC" w:rsidRPr="006E1DC9" w:rsidRDefault="004827DC" w:rsidP="00906DA5">
      <w:pPr>
        <w:pStyle w:val="FootnoteText"/>
        <w:spacing w:after="0" w:line="240" w:lineRule="auto"/>
        <w:contextualSpacing/>
      </w:pPr>
      <w:r w:rsidRPr="006E1DC9">
        <w:rPr>
          <w:rStyle w:val="FootnoteReference"/>
        </w:rPr>
        <w:footnoteRef/>
      </w:r>
      <w:r w:rsidRPr="006E1DC9">
        <w:t xml:space="preserve"> New York City Press Office, </w:t>
      </w:r>
      <w:r w:rsidRPr="006E1DC9">
        <w:rPr>
          <w:i/>
        </w:rPr>
        <w:t>De Blasio Administration Launches HireNYC to Help New Yorkers Access Jobs Through the City's Purchases and Investments</w:t>
      </w:r>
      <w:r w:rsidRPr="006E1DC9">
        <w:t xml:space="preserve"> (Press Release) (Oct. 27, 2015), </w:t>
      </w:r>
      <w:r w:rsidRPr="006E1DC9">
        <w:rPr>
          <w:i/>
          <w:iCs/>
        </w:rPr>
        <w:t>available at</w:t>
      </w:r>
      <w:r w:rsidRPr="006E1DC9">
        <w:t xml:space="preserve"> </w:t>
      </w:r>
      <w:hyperlink r:id="rId25" w:history="1">
        <w:r w:rsidRPr="006E1DC9">
          <w:rPr>
            <w:rStyle w:val="Hyperlink"/>
          </w:rPr>
          <w:t>https://www1.nyc.gov/office-of-the-mayor/news/760-15/de-blasio-administration-launches-hirenyc-help-new-yorkers-access-jobs-the-city-s</w:t>
        </w:r>
      </w:hyperlink>
      <w:r w:rsidRPr="006E1DC9">
        <w:t xml:space="preserve">. </w:t>
      </w:r>
    </w:p>
  </w:footnote>
  <w:footnote w:id="84">
    <w:p w14:paraId="73154ACC" w14:textId="470AD32F" w:rsidR="004827DC" w:rsidRPr="006E1DC9" w:rsidRDefault="004827DC" w:rsidP="00906DA5">
      <w:pPr>
        <w:pStyle w:val="FootnoteText"/>
        <w:spacing w:after="0" w:line="240" w:lineRule="auto"/>
        <w:contextualSpacing/>
      </w:pPr>
      <w:r w:rsidRPr="006E1DC9">
        <w:rPr>
          <w:rStyle w:val="FootnoteReference"/>
        </w:rPr>
        <w:footnoteRef/>
      </w:r>
      <w:r w:rsidRPr="006E1DC9">
        <w:t xml:space="preserve"> </w:t>
      </w:r>
      <w:r w:rsidRPr="006E1DC9">
        <w:rPr>
          <w:i/>
          <w:iCs/>
        </w:rPr>
        <w:t>Id.</w:t>
      </w:r>
    </w:p>
  </w:footnote>
  <w:footnote w:id="85">
    <w:p w14:paraId="11063813" w14:textId="77777777" w:rsidR="004827DC" w:rsidRPr="006E1DC9" w:rsidRDefault="004827DC" w:rsidP="00906DA5">
      <w:pPr>
        <w:pStyle w:val="FootnoteText"/>
        <w:spacing w:after="0" w:line="240" w:lineRule="auto"/>
        <w:contextualSpacing/>
        <w:rPr>
          <w:i/>
        </w:rPr>
      </w:pPr>
      <w:r w:rsidRPr="006E1DC9">
        <w:rPr>
          <w:rStyle w:val="FootnoteReference"/>
        </w:rPr>
        <w:footnoteRef/>
      </w:r>
      <w:r w:rsidRPr="006E1DC9">
        <w:t xml:space="preserve"> </w:t>
      </w:r>
      <w:r w:rsidRPr="006E1DC9">
        <w:rPr>
          <w:i/>
        </w:rPr>
        <w:t xml:space="preserve">Id. </w:t>
      </w:r>
    </w:p>
  </w:footnote>
  <w:footnote w:id="86">
    <w:p w14:paraId="36A1E727" w14:textId="77777777" w:rsidR="004827DC" w:rsidRPr="006E1DC9" w:rsidRDefault="004827DC" w:rsidP="00906DA5">
      <w:pPr>
        <w:pStyle w:val="FootnoteText"/>
        <w:spacing w:after="0" w:line="240" w:lineRule="auto"/>
        <w:contextualSpacing/>
        <w:rPr>
          <w:i/>
        </w:rPr>
      </w:pPr>
      <w:r w:rsidRPr="006E1DC9">
        <w:rPr>
          <w:rStyle w:val="FootnoteReference"/>
        </w:rPr>
        <w:footnoteRef/>
      </w:r>
      <w:r w:rsidRPr="006E1DC9">
        <w:t xml:space="preserve"> </w:t>
      </w:r>
      <w:r w:rsidRPr="006E1DC9">
        <w:rPr>
          <w:i/>
        </w:rPr>
        <w:t xml:space="preserve">Id. </w:t>
      </w:r>
    </w:p>
  </w:footnote>
  <w:footnote w:id="87">
    <w:p w14:paraId="7C2D8A1F" w14:textId="77777777" w:rsidR="004827DC" w:rsidRPr="006E1DC9" w:rsidRDefault="004827DC" w:rsidP="00906DA5">
      <w:pPr>
        <w:pStyle w:val="FootnoteText"/>
        <w:spacing w:after="0" w:line="240" w:lineRule="auto"/>
        <w:contextualSpacing/>
        <w:rPr>
          <w:i/>
        </w:rPr>
      </w:pPr>
      <w:r w:rsidRPr="006E1DC9">
        <w:rPr>
          <w:rStyle w:val="FootnoteReference"/>
        </w:rPr>
        <w:footnoteRef/>
      </w:r>
      <w:r w:rsidRPr="006E1DC9">
        <w:t xml:space="preserve"> </w:t>
      </w:r>
      <w:r w:rsidRPr="006E1DC9">
        <w:rPr>
          <w:i/>
        </w:rPr>
        <w:t xml:space="preserve">Id. </w:t>
      </w:r>
    </w:p>
  </w:footnote>
  <w:footnote w:id="88">
    <w:p w14:paraId="5F5ABF17" w14:textId="2C48F797" w:rsidR="004827DC" w:rsidRPr="006E1DC9" w:rsidRDefault="004827DC" w:rsidP="00906DA5">
      <w:pPr>
        <w:pStyle w:val="FootnoteText"/>
        <w:spacing w:after="0" w:line="240" w:lineRule="auto"/>
        <w:ind w:left="720" w:hanging="720"/>
        <w:contextualSpacing/>
      </w:pPr>
      <w:r w:rsidRPr="006E1DC9">
        <w:rPr>
          <w:rStyle w:val="FootnoteReference"/>
        </w:rPr>
        <w:footnoteRef/>
      </w:r>
      <w:r w:rsidRPr="006E1DC9">
        <w:t xml:space="preserve"> HireNYC Portal (last visited Apr 15, 2022), </w:t>
      </w:r>
      <w:r w:rsidRPr="006E1DC9">
        <w:rPr>
          <w:i/>
          <w:iCs/>
        </w:rPr>
        <w:t xml:space="preserve">available at </w:t>
      </w:r>
      <w:hyperlink r:id="rId26" w:history="1">
        <w:r w:rsidR="004F6654" w:rsidRPr="004E2A64">
          <w:rPr>
            <w:rStyle w:val="Hyperlink"/>
            <w:iCs/>
          </w:rPr>
          <w:t>https://a801-worksource1.nyc.gov/emp</w:t>
        </w:r>
      </w:hyperlink>
      <w:r w:rsidRPr="004E2A64">
        <w:t>.</w:t>
      </w:r>
      <w:r w:rsidRPr="006E1DC9">
        <w:t xml:space="preserve"> </w:t>
      </w:r>
    </w:p>
  </w:footnote>
  <w:footnote w:id="89">
    <w:p w14:paraId="23BD1126" w14:textId="55D4E6AD" w:rsidR="004827DC" w:rsidRPr="006E1DC9" w:rsidRDefault="004827DC" w:rsidP="00906DA5">
      <w:pPr>
        <w:pStyle w:val="FootnoteText"/>
        <w:spacing w:after="0" w:line="240" w:lineRule="auto"/>
        <w:contextualSpacing/>
      </w:pPr>
      <w:r w:rsidRPr="006E1DC9">
        <w:rPr>
          <w:rStyle w:val="FootnoteReference"/>
        </w:rPr>
        <w:footnoteRef/>
      </w:r>
      <w:r w:rsidRPr="006E1DC9">
        <w:t xml:space="preserve"> </w:t>
      </w:r>
      <w:r w:rsidRPr="006E1DC9">
        <w:rPr>
          <w:i/>
        </w:rPr>
        <w:t>Id.</w:t>
      </w:r>
    </w:p>
  </w:footnote>
  <w:footnote w:id="90">
    <w:p w14:paraId="0338FE00" w14:textId="77777777" w:rsidR="004827DC" w:rsidRPr="006E1DC9" w:rsidRDefault="004827DC" w:rsidP="002A5C6E">
      <w:pPr>
        <w:pStyle w:val="FootnoteText"/>
        <w:spacing w:after="0" w:line="240" w:lineRule="auto"/>
        <w:jc w:val="both"/>
      </w:pPr>
      <w:r w:rsidRPr="006E1DC9">
        <w:rPr>
          <w:rStyle w:val="FootnoteReference"/>
        </w:rPr>
        <w:footnoteRef/>
      </w:r>
      <w:r w:rsidRPr="006E1DC9">
        <w:t xml:space="preserve"> </w:t>
      </w:r>
      <w:r w:rsidRPr="006E1DC9">
        <w:rPr>
          <w:i/>
        </w:rPr>
        <w:t>Id.</w:t>
      </w:r>
    </w:p>
  </w:footnote>
  <w:footnote w:id="91">
    <w:p w14:paraId="5CF834B1" w14:textId="5CBC4161" w:rsidR="002A5C6E" w:rsidRDefault="002A5C6E" w:rsidP="002A5C6E">
      <w:pPr>
        <w:pStyle w:val="FootnoteText"/>
        <w:spacing w:after="0"/>
      </w:pPr>
      <w:r>
        <w:rPr>
          <w:rStyle w:val="FootnoteReference"/>
        </w:rPr>
        <w:footnoteRef/>
      </w:r>
      <w:r>
        <w:t xml:space="preserve"> The City of New York, </w:t>
      </w:r>
      <w:r w:rsidRPr="002A5C6E">
        <w:rPr>
          <w:i/>
        </w:rPr>
        <w:t>HireNYC – Career Paths</w:t>
      </w:r>
      <w:r>
        <w:t xml:space="preserve">, </w:t>
      </w:r>
      <w:r w:rsidRPr="002A5C6E">
        <w:rPr>
          <w:i/>
        </w:rPr>
        <w:t xml:space="preserve">available at  </w:t>
      </w:r>
      <w:hyperlink r:id="rId27" w:history="1">
        <w:r w:rsidRPr="008762B4">
          <w:rPr>
            <w:rStyle w:val="Hyperlink"/>
          </w:rPr>
          <w:t>https://www1.nyc.gov/site/careerpathways/strategy/hireNYC.page</w:t>
        </w:r>
      </w:hyperlink>
      <w:r>
        <w:t xml:space="preserve"> (last visited 4/18/2022). </w:t>
      </w:r>
    </w:p>
  </w:footnote>
  <w:footnote w:id="92">
    <w:p w14:paraId="3C74F5BB" w14:textId="19712A49" w:rsidR="004827DC" w:rsidRPr="006E1DC9" w:rsidRDefault="004827DC" w:rsidP="002A5C6E">
      <w:pPr>
        <w:pStyle w:val="FootnoteText"/>
        <w:spacing w:after="0" w:line="240" w:lineRule="auto"/>
        <w:jc w:val="both"/>
      </w:pPr>
      <w:r w:rsidRPr="006E1DC9">
        <w:rPr>
          <w:rStyle w:val="FootnoteReference"/>
        </w:rPr>
        <w:footnoteRef/>
      </w:r>
      <w:r w:rsidR="002A5C6E">
        <w:t xml:space="preserve">The City of New York, </w:t>
      </w:r>
      <w:r w:rsidR="002A5C6E" w:rsidRPr="002A5C6E">
        <w:rPr>
          <w:i/>
        </w:rPr>
        <w:t>HireNYC: NYCEDC Development for Construction Positions</w:t>
      </w:r>
      <w:r w:rsidR="002A5C6E">
        <w:t xml:space="preserve">, 1-2, </w:t>
      </w:r>
      <w:r w:rsidR="002A5C6E" w:rsidRPr="002A5C6E">
        <w:rPr>
          <w:i/>
        </w:rPr>
        <w:t xml:space="preserve">available at </w:t>
      </w:r>
      <w:hyperlink r:id="rId28" w:history="1">
        <w:r w:rsidR="002A5C6E" w:rsidRPr="008762B4">
          <w:rPr>
            <w:rStyle w:val="Hyperlink"/>
          </w:rPr>
          <w:t>https://www1.nyc.gov/assets/careerpathways/downloads/pdf/edc_construction.pdf</w:t>
        </w:r>
      </w:hyperlink>
      <w:r w:rsidR="002A5C6E">
        <w:t xml:space="preserve"> (last visited 4/18/2022).   </w:t>
      </w:r>
    </w:p>
  </w:footnote>
  <w:footnote w:id="93">
    <w:p w14:paraId="6E03D575" w14:textId="77777777" w:rsidR="004827DC" w:rsidRPr="006E1DC9" w:rsidRDefault="004827DC" w:rsidP="002A5C6E">
      <w:pPr>
        <w:pStyle w:val="FootnoteText"/>
        <w:spacing w:after="0" w:line="240" w:lineRule="auto"/>
        <w:jc w:val="both"/>
      </w:pPr>
      <w:r w:rsidRPr="006E1DC9">
        <w:rPr>
          <w:rStyle w:val="FootnoteReference"/>
        </w:rPr>
        <w:footnoteRef/>
      </w:r>
      <w:r w:rsidRPr="006E1DC9">
        <w:t xml:space="preserve"> </w:t>
      </w:r>
      <w:r w:rsidRPr="006E1DC9">
        <w:rPr>
          <w:i/>
        </w:rPr>
        <w:t>Id</w:t>
      </w:r>
      <w:r w:rsidRPr="006E1DC9">
        <w:t>. at 2.</w:t>
      </w:r>
      <w:r w:rsidRPr="006E1DC9">
        <w:rPr>
          <w:i/>
        </w:rPr>
        <w:t xml:space="preserve"> </w:t>
      </w:r>
    </w:p>
  </w:footnote>
  <w:footnote w:id="94">
    <w:p w14:paraId="2420E822" w14:textId="77777777" w:rsidR="004827DC" w:rsidRPr="006E1DC9" w:rsidRDefault="004827DC" w:rsidP="002A5C6E">
      <w:pPr>
        <w:pStyle w:val="FootnoteText"/>
        <w:spacing w:after="0" w:line="240" w:lineRule="auto"/>
        <w:jc w:val="both"/>
      </w:pPr>
      <w:r w:rsidRPr="006E1DC9">
        <w:rPr>
          <w:rStyle w:val="FootnoteReference"/>
        </w:rPr>
        <w:footnoteRef/>
      </w:r>
      <w:r w:rsidRPr="006E1DC9">
        <w:t xml:space="preserve"> </w:t>
      </w:r>
      <w:r w:rsidRPr="006E1DC9">
        <w:rPr>
          <w:i/>
        </w:rPr>
        <w:t>Id.</w:t>
      </w:r>
    </w:p>
  </w:footnote>
  <w:footnote w:id="95">
    <w:p w14:paraId="1D76394B" w14:textId="66BFFC73" w:rsidR="004827DC" w:rsidRPr="002A5C6E" w:rsidRDefault="004827DC" w:rsidP="002A5C6E">
      <w:pPr>
        <w:pStyle w:val="FootnoteText"/>
        <w:spacing w:after="0" w:line="240" w:lineRule="auto"/>
        <w:jc w:val="both"/>
      </w:pPr>
      <w:r w:rsidRPr="006E1DC9">
        <w:rPr>
          <w:rStyle w:val="FootnoteReference"/>
        </w:rPr>
        <w:footnoteRef/>
      </w:r>
      <w:r w:rsidR="002A5C6E">
        <w:t xml:space="preserve"> </w:t>
      </w:r>
      <w:r w:rsidR="002A5C6E" w:rsidRPr="002A5C6E">
        <w:t>HireNYC</w:t>
      </w:r>
      <w:r w:rsidR="002A5C6E">
        <w:t xml:space="preserve">, </w:t>
      </w:r>
      <w:r w:rsidR="002A5C6E" w:rsidRPr="002A5C6E">
        <w:rPr>
          <w:i/>
        </w:rPr>
        <w:t>What is HireNYC and How Will It Apply to HPD-Financed Development</w:t>
      </w:r>
      <w:r w:rsidR="002A5C6E">
        <w:t xml:space="preserve">, </w:t>
      </w:r>
      <w:r w:rsidR="002A5C6E" w:rsidRPr="006E1DC9">
        <w:rPr>
          <w:i/>
        </w:rPr>
        <w:t>available at</w:t>
      </w:r>
      <w:r w:rsidR="002A5C6E">
        <w:rPr>
          <w:i/>
        </w:rPr>
        <w:t xml:space="preserve"> </w:t>
      </w:r>
      <w:hyperlink r:id="rId29" w:history="1">
        <w:r w:rsidR="002A5C6E" w:rsidRPr="008762B4">
          <w:rPr>
            <w:rStyle w:val="Hyperlink"/>
          </w:rPr>
          <w:t>https://www1.nyc.gov/assets/careerpathways/downloads/pdf/hpd_construction.pdf</w:t>
        </w:r>
      </w:hyperlink>
      <w:r w:rsidR="002A5C6E">
        <w:t xml:space="preserve"> (last visited 4/18/2022). </w:t>
      </w:r>
    </w:p>
  </w:footnote>
  <w:footnote w:id="96">
    <w:p w14:paraId="5B80BD06" w14:textId="13ACA890" w:rsidR="004827DC" w:rsidRPr="006E1DC9" w:rsidRDefault="004827DC" w:rsidP="004E2A64">
      <w:pPr>
        <w:pStyle w:val="FootnoteText"/>
        <w:spacing w:after="0" w:line="240" w:lineRule="auto"/>
        <w:jc w:val="both"/>
      </w:pPr>
      <w:r w:rsidRPr="006E1DC9">
        <w:rPr>
          <w:rStyle w:val="FootnoteReference"/>
        </w:rPr>
        <w:footnoteRef/>
      </w:r>
      <w:r w:rsidRPr="006E1DC9">
        <w:t xml:space="preserve"> Mayor’s Office of Operations, </w:t>
      </w:r>
      <w:r w:rsidRPr="006E1DC9">
        <w:rPr>
          <w:i/>
        </w:rPr>
        <w:t>New York City Mayor’s Management Report</w:t>
      </w:r>
      <w:r w:rsidR="004E2A64">
        <w:t xml:space="preserve">, at </w:t>
      </w:r>
      <w:r w:rsidRPr="006E1DC9">
        <w:t xml:space="preserve">8 (Sept. 2016), </w:t>
      </w:r>
      <w:r w:rsidRPr="006E1DC9">
        <w:rPr>
          <w:i/>
        </w:rPr>
        <w:t xml:space="preserve">available at </w:t>
      </w:r>
      <w:hyperlink r:id="rId30" w:history="1">
        <w:r w:rsidRPr="004E2A64">
          <w:rPr>
            <w:rStyle w:val="Hyperlink"/>
          </w:rPr>
          <w:t>https://www1.nyc.gov/assets/operations/downloads/pdf/mmr2016/2016_mmr.pdf</w:t>
        </w:r>
      </w:hyperlink>
      <w:r w:rsidRPr="004E2A64">
        <w:t>.</w:t>
      </w:r>
      <w:r w:rsidRPr="006E1DC9">
        <w:rPr>
          <w:i/>
        </w:rPr>
        <w:t xml:space="preserve"> </w:t>
      </w:r>
    </w:p>
  </w:footnote>
  <w:footnote w:id="97">
    <w:p w14:paraId="7CF8CE83" w14:textId="4EEFE878" w:rsidR="004827DC" w:rsidRPr="006E1DC9" w:rsidRDefault="004827DC" w:rsidP="004E2A64">
      <w:pPr>
        <w:pStyle w:val="FootnoteText"/>
        <w:spacing w:after="0"/>
        <w:jc w:val="both"/>
      </w:pPr>
      <w:r w:rsidRPr="006E1DC9">
        <w:rPr>
          <w:rStyle w:val="FootnoteReference"/>
        </w:rPr>
        <w:footnoteRef/>
      </w:r>
      <w:r w:rsidRPr="006E1DC9">
        <w:t xml:space="preserve"> Abigail Savitch-Lew, </w:t>
      </w:r>
      <w:r w:rsidRPr="006E1DC9">
        <w:rPr>
          <w:i/>
          <w:iCs/>
        </w:rPr>
        <w:t>The Data on HireNYC,</w:t>
      </w:r>
      <w:r w:rsidRPr="006E1DC9">
        <w:t xml:space="preserve"> City Limits (Nov. 21, 2017), </w:t>
      </w:r>
      <w:r w:rsidRPr="006E1DC9">
        <w:rPr>
          <w:i/>
          <w:iCs/>
        </w:rPr>
        <w:t>available at</w:t>
      </w:r>
      <w:r w:rsidRPr="006E1DC9">
        <w:t xml:space="preserve"> </w:t>
      </w:r>
      <w:hyperlink r:id="rId31" w:history="1">
        <w:r w:rsidRPr="006E1DC9">
          <w:rPr>
            <w:rStyle w:val="Hyperlink"/>
          </w:rPr>
          <w:t>https://citylimits.org/2017/11/21/the-data-on-hirenyc/</w:t>
        </w:r>
      </w:hyperlink>
      <w:r w:rsidRPr="006E1DC9">
        <w:t>.</w:t>
      </w:r>
    </w:p>
  </w:footnote>
  <w:footnote w:id="98">
    <w:p w14:paraId="74E073A8" w14:textId="77777777" w:rsidR="004827DC" w:rsidRPr="006E1DC9" w:rsidRDefault="004827DC" w:rsidP="004E2A64">
      <w:pPr>
        <w:pStyle w:val="FootnoteText"/>
        <w:spacing w:after="0" w:line="240" w:lineRule="auto"/>
        <w:jc w:val="both"/>
      </w:pPr>
      <w:r w:rsidRPr="006E1DC9">
        <w:rPr>
          <w:rStyle w:val="FootnoteReference"/>
        </w:rPr>
        <w:footnoteRef/>
      </w:r>
      <w:r w:rsidRPr="006E1DC9">
        <w:t xml:space="preserve"> Abigail Savitch-Lew, </w:t>
      </w:r>
      <w:r w:rsidRPr="006E1DC9">
        <w:rPr>
          <w:i/>
          <w:iCs/>
        </w:rPr>
        <w:t>The Data on HireNYC,</w:t>
      </w:r>
      <w:r w:rsidRPr="006E1DC9">
        <w:t xml:space="preserve"> City Limits (Nov. 21, 2017), </w:t>
      </w:r>
      <w:r w:rsidRPr="006E1DC9">
        <w:rPr>
          <w:i/>
          <w:iCs/>
        </w:rPr>
        <w:t>available at</w:t>
      </w:r>
      <w:r w:rsidRPr="006E1DC9">
        <w:t xml:space="preserve"> </w:t>
      </w:r>
      <w:hyperlink r:id="rId32" w:history="1">
        <w:r w:rsidRPr="006E1DC9">
          <w:rPr>
            <w:rStyle w:val="Hyperlink"/>
          </w:rPr>
          <w:t>https://citylimits.org/2017/11/21/the-data-on-hirenyc/</w:t>
        </w:r>
      </w:hyperlink>
      <w:r w:rsidRPr="006E1DC9">
        <w:t xml:space="preserve">. </w:t>
      </w:r>
    </w:p>
  </w:footnote>
  <w:footnote w:id="99">
    <w:p w14:paraId="61C1E41F" w14:textId="77777777" w:rsidR="004827DC" w:rsidRPr="006E1DC9" w:rsidRDefault="004827DC" w:rsidP="004E2A64">
      <w:pPr>
        <w:pStyle w:val="FootnoteText"/>
        <w:spacing w:after="0" w:line="240" w:lineRule="auto"/>
        <w:jc w:val="both"/>
      </w:pPr>
      <w:r w:rsidRPr="006E1DC9">
        <w:rPr>
          <w:rStyle w:val="FootnoteReference"/>
        </w:rPr>
        <w:footnoteRef/>
      </w:r>
      <w:r w:rsidRPr="006E1DC9">
        <w:t xml:space="preserve"> </w:t>
      </w:r>
      <w:r w:rsidRPr="006E1DC9">
        <w:rPr>
          <w:i/>
        </w:rPr>
        <w:t>Id.</w:t>
      </w:r>
    </w:p>
  </w:footnote>
  <w:footnote w:id="100">
    <w:p w14:paraId="66596F46" w14:textId="77777777" w:rsidR="004827DC" w:rsidRPr="006E1DC9" w:rsidRDefault="004827DC" w:rsidP="004E2A64">
      <w:pPr>
        <w:pStyle w:val="FootnoteText"/>
        <w:spacing w:after="0" w:line="240" w:lineRule="auto"/>
        <w:jc w:val="both"/>
      </w:pPr>
      <w:r w:rsidRPr="006E1DC9">
        <w:rPr>
          <w:rStyle w:val="FootnoteReference"/>
        </w:rPr>
        <w:footnoteRef/>
      </w:r>
      <w:r w:rsidRPr="006E1DC9">
        <w:t xml:space="preserve"> </w:t>
      </w:r>
      <w:r w:rsidRPr="006E1DC9">
        <w:rPr>
          <w:i/>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upperRoman"/>
      <w:lvlText w:val="%1."/>
      <w:lvlJc w:val="left"/>
      <w:pPr>
        <w:tabs>
          <w:tab w:val="num" w:pos="720"/>
        </w:tabs>
        <w:ind w:left="720" w:firstLine="0"/>
      </w:pPr>
      <w:rPr>
        <w:rFonts w:hint="default"/>
        <w:color w:val="000000"/>
        <w:position w:val="0"/>
        <w:sz w:val="24"/>
      </w:rPr>
    </w:lvl>
    <w:lvl w:ilvl="1">
      <w:start w:val="1"/>
      <w:numFmt w:val="lowerLetter"/>
      <w:suff w:val="nothing"/>
      <w:lvlText w:val="%2."/>
      <w:lvlJc w:val="left"/>
      <w:pPr>
        <w:ind w:left="0" w:firstLine="1080"/>
      </w:pPr>
      <w:rPr>
        <w:rFonts w:hint="default"/>
        <w:color w:val="000000"/>
        <w:position w:val="0"/>
        <w:sz w:val="24"/>
      </w:rPr>
    </w:lvl>
    <w:lvl w:ilvl="2">
      <w:start w:val="1"/>
      <w:numFmt w:val="lowerRoman"/>
      <w:suff w:val="nothing"/>
      <w:lvlText w:val="%3."/>
      <w:lvlJc w:val="left"/>
      <w:pPr>
        <w:ind w:left="0" w:firstLine="1800"/>
      </w:pPr>
      <w:rPr>
        <w:rFonts w:hint="default"/>
        <w:color w:val="000000"/>
        <w:position w:val="0"/>
        <w:sz w:val="24"/>
      </w:rPr>
    </w:lvl>
    <w:lvl w:ilvl="3">
      <w:start w:val="1"/>
      <w:numFmt w:val="decimal"/>
      <w:isLgl/>
      <w:suff w:val="nothing"/>
      <w:lvlText w:val="%4."/>
      <w:lvlJc w:val="left"/>
      <w:pPr>
        <w:ind w:left="0" w:firstLine="2520"/>
      </w:pPr>
      <w:rPr>
        <w:rFonts w:hint="default"/>
        <w:color w:val="000000"/>
        <w:position w:val="0"/>
        <w:sz w:val="24"/>
      </w:rPr>
    </w:lvl>
    <w:lvl w:ilvl="4">
      <w:start w:val="1"/>
      <w:numFmt w:val="lowerLetter"/>
      <w:suff w:val="nothing"/>
      <w:lvlText w:val="%5."/>
      <w:lvlJc w:val="left"/>
      <w:pPr>
        <w:ind w:left="0" w:firstLine="3240"/>
      </w:pPr>
      <w:rPr>
        <w:rFonts w:hint="default"/>
        <w:color w:val="000000"/>
        <w:position w:val="0"/>
        <w:sz w:val="24"/>
      </w:rPr>
    </w:lvl>
    <w:lvl w:ilvl="5">
      <w:start w:val="1"/>
      <w:numFmt w:val="lowerRoman"/>
      <w:suff w:val="nothing"/>
      <w:lvlText w:val="%6."/>
      <w:lvlJc w:val="left"/>
      <w:pPr>
        <w:ind w:left="0" w:firstLine="3960"/>
      </w:pPr>
      <w:rPr>
        <w:rFonts w:hint="default"/>
        <w:color w:val="000000"/>
        <w:position w:val="0"/>
        <w:sz w:val="24"/>
      </w:rPr>
    </w:lvl>
    <w:lvl w:ilvl="6">
      <w:start w:val="1"/>
      <w:numFmt w:val="decimal"/>
      <w:isLgl/>
      <w:suff w:val="nothing"/>
      <w:lvlText w:val="%7."/>
      <w:lvlJc w:val="left"/>
      <w:pPr>
        <w:ind w:left="0" w:firstLine="4680"/>
      </w:pPr>
      <w:rPr>
        <w:rFonts w:hint="default"/>
        <w:color w:val="000000"/>
        <w:position w:val="0"/>
        <w:sz w:val="24"/>
      </w:rPr>
    </w:lvl>
    <w:lvl w:ilvl="7">
      <w:start w:val="1"/>
      <w:numFmt w:val="lowerLetter"/>
      <w:suff w:val="nothing"/>
      <w:lvlText w:val="%8."/>
      <w:lvlJc w:val="left"/>
      <w:pPr>
        <w:ind w:left="0" w:firstLine="5400"/>
      </w:pPr>
      <w:rPr>
        <w:rFonts w:hint="default"/>
        <w:color w:val="000000"/>
        <w:position w:val="0"/>
        <w:sz w:val="24"/>
      </w:rPr>
    </w:lvl>
    <w:lvl w:ilvl="8">
      <w:start w:val="1"/>
      <w:numFmt w:val="lowerRoman"/>
      <w:suff w:val="nothing"/>
      <w:lvlText w:val="%9."/>
      <w:lvlJc w:val="left"/>
      <w:pPr>
        <w:ind w:left="0" w:firstLine="6120"/>
      </w:pPr>
      <w:rPr>
        <w:rFonts w:hint="default"/>
        <w:color w:val="000000"/>
        <w:position w:val="0"/>
        <w:sz w:val="24"/>
      </w:rPr>
    </w:lvl>
  </w:abstractNum>
  <w:abstractNum w:abstractNumId="1" w15:restartNumberingAfterBreak="0">
    <w:nsid w:val="04A42EED"/>
    <w:multiLevelType w:val="hybridMultilevel"/>
    <w:tmpl w:val="C6B6D6C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2406CC"/>
    <w:multiLevelType w:val="hybridMultilevel"/>
    <w:tmpl w:val="C158C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F4458A"/>
    <w:multiLevelType w:val="hybridMultilevel"/>
    <w:tmpl w:val="F8940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8246E"/>
    <w:multiLevelType w:val="multilevel"/>
    <w:tmpl w:val="A412DF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917C54"/>
    <w:multiLevelType w:val="hybridMultilevel"/>
    <w:tmpl w:val="02583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580B77"/>
    <w:multiLevelType w:val="hybridMultilevel"/>
    <w:tmpl w:val="AFB4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96D0F"/>
    <w:multiLevelType w:val="hybridMultilevel"/>
    <w:tmpl w:val="12D28708"/>
    <w:lvl w:ilvl="0" w:tplc="AD8C5C66">
      <w:start w:val="1"/>
      <w:numFmt w:val="upperLetter"/>
      <w:lvlText w:val="%1."/>
      <w:lvlJc w:val="left"/>
      <w:pPr>
        <w:ind w:left="72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939EC"/>
    <w:multiLevelType w:val="hybridMultilevel"/>
    <w:tmpl w:val="061251FC"/>
    <w:numStyleLink w:val="ImportedStyle1"/>
  </w:abstractNum>
  <w:abstractNum w:abstractNumId="9" w15:restartNumberingAfterBreak="0">
    <w:nsid w:val="2C417919"/>
    <w:multiLevelType w:val="multilevel"/>
    <w:tmpl w:val="1A7A13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D0107D"/>
    <w:multiLevelType w:val="hybridMultilevel"/>
    <w:tmpl w:val="65EEC59C"/>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53A37A7"/>
    <w:multiLevelType w:val="multilevel"/>
    <w:tmpl w:val="890AD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5450A0"/>
    <w:multiLevelType w:val="hybridMultilevel"/>
    <w:tmpl w:val="CB6A4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7F282A"/>
    <w:multiLevelType w:val="multilevel"/>
    <w:tmpl w:val="00980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7E4161"/>
    <w:multiLevelType w:val="hybridMultilevel"/>
    <w:tmpl w:val="F266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3C2271"/>
    <w:multiLevelType w:val="hybridMultilevel"/>
    <w:tmpl w:val="28A24438"/>
    <w:styleLink w:val="ImportedStyle2"/>
    <w:lvl w:ilvl="0" w:tplc="A32A32DE">
      <w:start w:val="1"/>
      <w:numFmt w:val="lowerLetter"/>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rPr>
    </w:lvl>
    <w:lvl w:ilvl="1" w:tplc="E1400A68">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rPr>
    </w:lvl>
    <w:lvl w:ilvl="2" w:tplc="BA8C3DA6">
      <w:start w:val="1"/>
      <w:numFmt w:val="lowerRoman"/>
      <w:lvlText w:val="%3."/>
      <w:lvlJc w:val="left"/>
      <w:pPr>
        <w:ind w:left="2160" w:hanging="300"/>
      </w:pPr>
      <w:rPr>
        <w:rFonts w:hAnsi="Arial Unicode MS"/>
        <w:i/>
        <w:iCs/>
        <w:caps w:val="0"/>
        <w:smallCaps w:val="0"/>
        <w:strike w:val="0"/>
        <w:dstrike w:val="0"/>
        <w:color w:val="000000"/>
        <w:spacing w:val="0"/>
        <w:w w:val="100"/>
        <w:kern w:val="0"/>
        <w:position w:val="0"/>
        <w:highlight w:val="none"/>
        <w:vertAlign w:val="baseline"/>
      </w:rPr>
    </w:lvl>
    <w:lvl w:ilvl="3" w:tplc="721AD764">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rPr>
    </w:lvl>
    <w:lvl w:ilvl="4" w:tplc="C36C7A36">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rPr>
    </w:lvl>
    <w:lvl w:ilvl="5" w:tplc="ED80C8CA">
      <w:start w:val="1"/>
      <w:numFmt w:val="lowerRoman"/>
      <w:lvlText w:val="%6."/>
      <w:lvlJc w:val="left"/>
      <w:pPr>
        <w:ind w:left="4320" w:hanging="300"/>
      </w:pPr>
      <w:rPr>
        <w:rFonts w:hAnsi="Arial Unicode MS"/>
        <w:i/>
        <w:iCs/>
        <w:caps w:val="0"/>
        <w:smallCaps w:val="0"/>
        <w:strike w:val="0"/>
        <w:dstrike w:val="0"/>
        <w:color w:val="000000"/>
        <w:spacing w:val="0"/>
        <w:w w:val="100"/>
        <w:kern w:val="0"/>
        <w:position w:val="0"/>
        <w:highlight w:val="none"/>
        <w:vertAlign w:val="baseline"/>
      </w:rPr>
    </w:lvl>
    <w:lvl w:ilvl="6" w:tplc="99664C48">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rPr>
    </w:lvl>
    <w:lvl w:ilvl="7" w:tplc="F4B21C34">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rPr>
    </w:lvl>
    <w:lvl w:ilvl="8" w:tplc="787EE5B0">
      <w:start w:val="1"/>
      <w:numFmt w:val="lowerRoman"/>
      <w:lvlText w:val="%9."/>
      <w:lvlJc w:val="left"/>
      <w:pPr>
        <w:ind w:left="6480" w:hanging="300"/>
      </w:pPr>
      <w:rPr>
        <w:rFonts w:hAnsi="Arial Unicode MS"/>
        <w:i/>
        <w:iCs/>
        <w:caps w:val="0"/>
        <w:smallCaps w:val="0"/>
        <w:strike w:val="0"/>
        <w:dstrike w:val="0"/>
        <w:color w:val="000000"/>
        <w:spacing w:val="0"/>
        <w:w w:val="100"/>
        <w:kern w:val="0"/>
        <w:position w:val="0"/>
        <w:highlight w:val="none"/>
        <w:vertAlign w:val="baseline"/>
      </w:rPr>
    </w:lvl>
  </w:abstractNum>
  <w:abstractNum w:abstractNumId="16" w15:restartNumberingAfterBreak="0">
    <w:nsid w:val="41120521"/>
    <w:multiLevelType w:val="multilevel"/>
    <w:tmpl w:val="CC4E4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BE1980"/>
    <w:multiLevelType w:val="hybridMultilevel"/>
    <w:tmpl w:val="E79E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DD7183"/>
    <w:multiLevelType w:val="hybridMultilevel"/>
    <w:tmpl w:val="061251FC"/>
    <w:styleLink w:val="ImportedStyle1"/>
    <w:lvl w:ilvl="0" w:tplc="94F4F6F6">
      <w:start w:val="1"/>
      <w:numFmt w:val="upperLetter"/>
      <w:lvlText w:val="%1."/>
      <w:lvlJc w:val="left"/>
      <w:pPr>
        <w:ind w:left="810" w:hanging="360"/>
      </w:pPr>
      <w:rPr>
        <w:rFonts w:hAnsi="Arial Unicode MS"/>
        <w:i/>
        <w:iCs/>
        <w:caps w:val="0"/>
        <w:smallCaps w:val="0"/>
        <w:strike w:val="0"/>
        <w:dstrike w:val="0"/>
        <w:color w:val="000000"/>
        <w:spacing w:val="0"/>
        <w:w w:val="100"/>
        <w:kern w:val="0"/>
        <w:position w:val="0"/>
        <w:highlight w:val="none"/>
        <w:vertAlign w:val="baseline"/>
      </w:rPr>
    </w:lvl>
    <w:lvl w:ilvl="1" w:tplc="DE529CF4">
      <w:start w:val="1"/>
      <w:numFmt w:val="lowerLetter"/>
      <w:lvlText w:val="%2."/>
      <w:lvlJc w:val="left"/>
      <w:pPr>
        <w:ind w:left="1530" w:hanging="360"/>
      </w:pPr>
      <w:rPr>
        <w:rFonts w:hAnsi="Arial Unicode MS"/>
        <w:i/>
        <w:iCs/>
        <w:caps w:val="0"/>
        <w:smallCaps w:val="0"/>
        <w:strike w:val="0"/>
        <w:dstrike w:val="0"/>
        <w:color w:val="000000"/>
        <w:spacing w:val="0"/>
        <w:w w:val="100"/>
        <w:kern w:val="0"/>
        <w:position w:val="0"/>
        <w:highlight w:val="none"/>
        <w:vertAlign w:val="baseline"/>
      </w:rPr>
    </w:lvl>
    <w:lvl w:ilvl="2" w:tplc="A3FEBD8C">
      <w:start w:val="1"/>
      <w:numFmt w:val="lowerRoman"/>
      <w:lvlText w:val="%3."/>
      <w:lvlJc w:val="left"/>
      <w:pPr>
        <w:ind w:left="2250" w:hanging="300"/>
      </w:pPr>
      <w:rPr>
        <w:rFonts w:hAnsi="Arial Unicode MS"/>
        <w:i/>
        <w:iCs/>
        <w:caps w:val="0"/>
        <w:smallCaps w:val="0"/>
        <w:strike w:val="0"/>
        <w:dstrike w:val="0"/>
        <w:color w:val="000000"/>
        <w:spacing w:val="0"/>
        <w:w w:val="100"/>
        <w:kern w:val="0"/>
        <w:position w:val="0"/>
        <w:highlight w:val="none"/>
        <w:vertAlign w:val="baseline"/>
      </w:rPr>
    </w:lvl>
    <w:lvl w:ilvl="3" w:tplc="4CA2327A">
      <w:start w:val="1"/>
      <w:numFmt w:val="decimal"/>
      <w:lvlText w:val="%4."/>
      <w:lvlJc w:val="left"/>
      <w:pPr>
        <w:ind w:left="2970" w:hanging="360"/>
      </w:pPr>
      <w:rPr>
        <w:rFonts w:hAnsi="Arial Unicode MS"/>
        <w:i/>
        <w:iCs/>
        <w:caps w:val="0"/>
        <w:smallCaps w:val="0"/>
        <w:strike w:val="0"/>
        <w:dstrike w:val="0"/>
        <w:color w:val="000000"/>
        <w:spacing w:val="0"/>
        <w:w w:val="100"/>
        <w:kern w:val="0"/>
        <w:position w:val="0"/>
        <w:highlight w:val="none"/>
        <w:vertAlign w:val="baseline"/>
      </w:rPr>
    </w:lvl>
    <w:lvl w:ilvl="4" w:tplc="D8B4F9F4">
      <w:start w:val="1"/>
      <w:numFmt w:val="lowerLetter"/>
      <w:lvlText w:val="%5."/>
      <w:lvlJc w:val="left"/>
      <w:pPr>
        <w:ind w:left="3690" w:hanging="360"/>
      </w:pPr>
      <w:rPr>
        <w:rFonts w:hAnsi="Arial Unicode MS"/>
        <w:i/>
        <w:iCs/>
        <w:caps w:val="0"/>
        <w:smallCaps w:val="0"/>
        <w:strike w:val="0"/>
        <w:dstrike w:val="0"/>
        <w:color w:val="000000"/>
        <w:spacing w:val="0"/>
        <w:w w:val="100"/>
        <w:kern w:val="0"/>
        <w:position w:val="0"/>
        <w:highlight w:val="none"/>
        <w:vertAlign w:val="baseline"/>
      </w:rPr>
    </w:lvl>
    <w:lvl w:ilvl="5" w:tplc="B7000458">
      <w:start w:val="1"/>
      <w:numFmt w:val="lowerRoman"/>
      <w:lvlText w:val="%6."/>
      <w:lvlJc w:val="left"/>
      <w:pPr>
        <w:ind w:left="4410" w:hanging="300"/>
      </w:pPr>
      <w:rPr>
        <w:rFonts w:hAnsi="Arial Unicode MS"/>
        <w:i/>
        <w:iCs/>
        <w:caps w:val="0"/>
        <w:smallCaps w:val="0"/>
        <w:strike w:val="0"/>
        <w:dstrike w:val="0"/>
        <w:color w:val="000000"/>
        <w:spacing w:val="0"/>
        <w:w w:val="100"/>
        <w:kern w:val="0"/>
        <w:position w:val="0"/>
        <w:highlight w:val="none"/>
        <w:vertAlign w:val="baseline"/>
      </w:rPr>
    </w:lvl>
    <w:lvl w:ilvl="6" w:tplc="10BA049A">
      <w:start w:val="1"/>
      <w:numFmt w:val="decimal"/>
      <w:lvlText w:val="%7."/>
      <w:lvlJc w:val="left"/>
      <w:pPr>
        <w:ind w:left="5130" w:hanging="360"/>
      </w:pPr>
      <w:rPr>
        <w:rFonts w:hAnsi="Arial Unicode MS"/>
        <w:i/>
        <w:iCs/>
        <w:caps w:val="0"/>
        <w:smallCaps w:val="0"/>
        <w:strike w:val="0"/>
        <w:dstrike w:val="0"/>
        <w:color w:val="000000"/>
        <w:spacing w:val="0"/>
        <w:w w:val="100"/>
        <w:kern w:val="0"/>
        <w:position w:val="0"/>
        <w:highlight w:val="none"/>
        <w:vertAlign w:val="baseline"/>
      </w:rPr>
    </w:lvl>
    <w:lvl w:ilvl="7" w:tplc="0924E3DA">
      <w:start w:val="1"/>
      <w:numFmt w:val="lowerLetter"/>
      <w:lvlText w:val="%8."/>
      <w:lvlJc w:val="left"/>
      <w:pPr>
        <w:ind w:left="5850" w:hanging="360"/>
      </w:pPr>
      <w:rPr>
        <w:rFonts w:hAnsi="Arial Unicode MS"/>
        <w:i/>
        <w:iCs/>
        <w:caps w:val="0"/>
        <w:smallCaps w:val="0"/>
        <w:strike w:val="0"/>
        <w:dstrike w:val="0"/>
        <w:color w:val="000000"/>
        <w:spacing w:val="0"/>
        <w:w w:val="100"/>
        <w:kern w:val="0"/>
        <w:position w:val="0"/>
        <w:highlight w:val="none"/>
        <w:vertAlign w:val="baseline"/>
      </w:rPr>
    </w:lvl>
    <w:lvl w:ilvl="8" w:tplc="C3FC5816">
      <w:start w:val="1"/>
      <w:numFmt w:val="lowerRoman"/>
      <w:lvlText w:val="%9."/>
      <w:lvlJc w:val="left"/>
      <w:pPr>
        <w:ind w:left="6570" w:hanging="300"/>
      </w:pPr>
      <w:rPr>
        <w:rFonts w:hAnsi="Arial Unicode MS"/>
        <w:i/>
        <w:iCs/>
        <w:caps w:val="0"/>
        <w:smallCaps w:val="0"/>
        <w:strike w:val="0"/>
        <w:dstrike w:val="0"/>
        <w:color w:val="000000"/>
        <w:spacing w:val="0"/>
        <w:w w:val="100"/>
        <w:kern w:val="0"/>
        <w:position w:val="0"/>
        <w:highlight w:val="none"/>
        <w:vertAlign w:val="baseline"/>
      </w:rPr>
    </w:lvl>
  </w:abstractNum>
  <w:abstractNum w:abstractNumId="19" w15:restartNumberingAfterBreak="0">
    <w:nsid w:val="4ABC5AF2"/>
    <w:multiLevelType w:val="hybridMultilevel"/>
    <w:tmpl w:val="9914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C56F83"/>
    <w:multiLevelType w:val="hybridMultilevel"/>
    <w:tmpl w:val="B5982460"/>
    <w:lvl w:ilvl="0" w:tplc="F58EE79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8F86391"/>
    <w:multiLevelType w:val="hybridMultilevel"/>
    <w:tmpl w:val="28A24438"/>
    <w:numStyleLink w:val="ImportedStyle2"/>
  </w:abstractNum>
  <w:abstractNum w:abstractNumId="22" w15:restartNumberingAfterBreak="0">
    <w:nsid w:val="60A42D6F"/>
    <w:multiLevelType w:val="hybridMultilevel"/>
    <w:tmpl w:val="87DC7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43316F"/>
    <w:multiLevelType w:val="hybridMultilevel"/>
    <w:tmpl w:val="5BECD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49E3BC4"/>
    <w:multiLevelType w:val="multilevel"/>
    <w:tmpl w:val="0318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6D3AAE"/>
    <w:multiLevelType w:val="hybridMultilevel"/>
    <w:tmpl w:val="E8688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9EE1EB2"/>
    <w:multiLevelType w:val="hybridMultilevel"/>
    <w:tmpl w:val="53AAFC4C"/>
    <w:lvl w:ilvl="0" w:tplc="252439D6">
      <w:start w:val="1"/>
      <w:numFmt w:val="upperRoman"/>
      <w:lvlText w:val="%1."/>
      <w:lvlJc w:val="left"/>
      <w:pPr>
        <w:ind w:left="1080" w:hanging="720"/>
      </w:pPr>
      <w:rPr>
        <w:rFonts w:ascii="Times New Roman" w:hAnsi="Times New Roman"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076FB3"/>
    <w:multiLevelType w:val="hybridMultilevel"/>
    <w:tmpl w:val="01268D42"/>
    <w:lvl w:ilvl="0" w:tplc="875EB6AC">
      <w:start w:val="1"/>
      <w:numFmt w:val="bullet"/>
      <w:lvlText w:val=""/>
      <w:lvlJc w:val="left"/>
      <w:pPr>
        <w:ind w:left="720" w:hanging="360"/>
      </w:pPr>
      <w:rPr>
        <w:rFonts w:ascii="Symbol" w:hAnsi="Symbol" w:hint="default"/>
      </w:rPr>
    </w:lvl>
    <w:lvl w:ilvl="1" w:tplc="7E4474D0">
      <w:start w:val="1"/>
      <w:numFmt w:val="bullet"/>
      <w:lvlText w:val="o"/>
      <w:lvlJc w:val="left"/>
      <w:pPr>
        <w:ind w:left="1440" w:hanging="360"/>
      </w:pPr>
      <w:rPr>
        <w:rFonts w:ascii="Courier New" w:hAnsi="Courier New" w:hint="default"/>
      </w:rPr>
    </w:lvl>
    <w:lvl w:ilvl="2" w:tplc="D3D053EC">
      <w:start w:val="1"/>
      <w:numFmt w:val="bullet"/>
      <w:lvlText w:val=""/>
      <w:lvlJc w:val="left"/>
      <w:pPr>
        <w:ind w:left="2160" w:hanging="360"/>
      </w:pPr>
      <w:rPr>
        <w:rFonts w:ascii="Wingdings" w:hAnsi="Wingdings" w:hint="default"/>
      </w:rPr>
    </w:lvl>
    <w:lvl w:ilvl="3" w:tplc="E4287F30">
      <w:start w:val="1"/>
      <w:numFmt w:val="bullet"/>
      <w:lvlText w:val=""/>
      <w:lvlJc w:val="left"/>
      <w:pPr>
        <w:ind w:left="2880" w:hanging="360"/>
      </w:pPr>
      <w:rPr>
        <w:rFonts w:ascii="Symbol" w:hAnsi="Symbol" w:hint="default"/>
      </w:rPr>
    </w:lvl>
    <w:lvl w:ilvl="4" w:tplc="BCE8C326">
      <w:start w:val="1"/>
      <w:numFmt w:val="bullet"/>
      <w:lvlText w:val="o"/>
      <w:lvlJc w:val="left"/>
      <w:pPr>
        <w:ind w:left="3600" w:hanging="360"/>
      </w:pPr>
      <w:rPr>
        <w:rFonts w:ascii="Courier New" w:hAnsi="Courier New" w:hint="default"/>
      </w:rPr>
    </w:lvl>
    <w:lvl w:ilvl="5" w:tplc="23BC58A4">
      <w:start w:val="1"/>
      <w:numFmt w:val="bullet"/>
      <w:lvlText w:val=""/>
      <w:lvlJc w:val="left"/>
      <w:pPr>
        <w:ind w:left="4320" w:hanging="360"/>
      </w:pPr>
      <w:rPr>
        <w:rFonts w:ascii="Wingdings" w:hAnsi="Wingdings" w:hint="default"/>
      </w:rPr>
    </w:lvl>
    <w:lvl w:ilvl="6" w:tplc="21287748">
      <w:start w:val="1"/>
      <w:numFmt w:val="bullet"/>
      <w:lvlText w:val=""/>
      <w:lvlJc w:val="left"/>
      <w:pPr>
        <w:ind w:left="5040" w:hanging="360"/>
      </w:pPr>
      <w:rPr>
        <w:rFonts w:ascii="Symbol" w:hAnsi="Symbol" w:hint="default"/>
      </w:rPr>
    </w:lvl>
    <w:lvl w:ilvl="7" w:tplc="94089F82">
      <w:start w:val="1"/>
      <w:numFmt w:val="bullet"/>
      <w:lvlText w:val="o"/>
      <w:lvlJc w:val="left"/>
      <w:pPr>
        <w:ind w:left="5760" w:hanging="360"/>
      </w:pPr>
      <w:rPr>
        <w:rFonts w:ascii="Courier New" w:hAnsi="Courier New" w:hint="default"/>
      </w:rPr>
    </w:lvl>
    <w:lvl w:ilvl="8" w:tplc="B1E05ABE">
      <w:start w:val="1"/>
      <w:numFmt w:val="bullet"/>
      <w:lvlText w:val=""/>
      <w:lvlJc w:val="left"/>
      <w:pPr>
        <w:ind w:left="6480" w:hanging="360"/>
      </w:pPr>
      <w:rPr>
        <w:rFonts w:ascii="Wingdings" w:hAnsi="Wingdings" w:hint="default"/>
      </w:rPr>
    </w:lvl>
  </w:abstractNum>
  <w:abstractNum w:abstractNumId="28" w15:restartNumberingAfterBreak="0">
    <w:nsid w:val="6A405701"/>
    <w:multiLevelType w:val="hybridMultilevel"/>
    <w:tmpl w:val="0BA069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B8D468F"/>
    <w:multiLevelType w:val="hybridMultilevel"/>
    <w:tmpl w:val="3592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CB40E4"/>
    <w:multiLevelType w:val="hybridMultilevel"/>
    <w:tmpl w:val="84CA98C2"/>
    <w:lvl w:ilvl="0" w:tplc="26CA62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29795E"/>
    <w:multiLevelType w:val="hybridMultilevel"/>
    <w:tmpl w:val="991E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766631"/>
    <w:multiLevelType w:val="hybridMultilevel"/>
    <w:tmpl w:val="08E2460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DD6791"/>
    <w:multiLevelType w:val="hybridMultilevel"/>
    <w:tmpl w:val="4A4A5E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82106A"/>
    <w:multiLevelType w:val="hybridMultilevel"/>
    <w:tmpl w:val="A0520A46"/>
    <w:lvl w:ilvl="0" w:tplc="0F50DE6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F937E52"/>
    <w:multiLevelType w:val="hybridMultilevel"/>
    <w:tmpl w:val="CDF8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A3590E"/>
    <w:multiLevelType w:val="multilevel"/>
    <w:tmpl w:val="F6AEF70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8"/>
  </w:num>
  <w:num w:numId="3">
    <w:abstractNumId w:val="8"/>
  </w:num>
  <w:num w:numId="4">
    <w:abstractNumId w:val="15"/>
  </w:num>
  <w:num w:numId="5">
    <w:abstractNumId w:val="21"/>
  </w:num>
  <w:num w:numId="6">
    <w:abstractNumId w:val="24"/>
  </w:num>
  <w:num w:numId="7">
    <w:abstractNumId w:val="16"/>
  </w:num>
  <w:num w:numId="8">
    <w:abstractNumId w:val="13"/>
  </w:num>
  <w:num w:numId="9">
    <w:abstractNumId w:val="9"/>
  </w:num>
  <w:num w:numId="10">
    <w:abstractNumId w:val="5"/>
  </w:num>
  <w:num w:numId="11">
    <w:abstractNumId w:val="22"/>
  </w:num>
  <w:num w:numId="12">
    <w:abstractNumId w:val="25"/>
  </w:num>
  <w:num w:numId="13">
    <w:abstractNumId w:val="6"/>
  </w:num>
  <w:num w:numId="14">
    <w:abstractNumId w:val="7"/>
  </w:num>
  <w:num w:numId="15">
    <w:abstractNumId w:val="33"/>
  </w:num>
  <w:num w:numId="16">
    <w:abstractNumId w:val="11"/>
  </w:num>
  <w:num w:numId="17">
    <w:abstractNumId w:val="32"/>
  </w:num>
  <w:num w:numId="18">
    <w:abstractNumId w:val="35"/>
  </w:num>
  <w:num w:numId="19">
    <w:abstractNumId w:val="14"/>
  </w:num>
  <w:num w:numId="20">
    <w:abstractNumId w:val="3"/>
  </w:num>
  <w:num w:numId="21">
    <w:abstractNumId w:val="31"/>
  </w:num>
  <w:num w:numId="22">
    <w:abstractNumId w:val="28"/>
  </w:num>
  <w:num w:numId="23">
    <w:abstractNumId w:val="2"/>
  </w:num>
  <w:num w:numId="24">
    <w:abstractNumId w:val="30"/>
  </w:num>
  <w:num w:numId="25">
    <w:abstractNumId w:val="17"/>
  </w:num>
  <w:num w:numId="26">
    <w:abstractNumId w:val="19"/>
  </w:num>
  <w:num w:numId="27">
    <w:abstractNumId w:val="29"/>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7"/>
  </w:num>
  <w:num w:numId="31">
    <w:abstractNumId w:val="20"/>
  </w:num>
  <w:num w:numId="32">
    <w:abstractNumId w:val="23"/>
  </w:num>
  <w:num w:numId="33">
    <w:abstractNumId w:val="36"/>
  </w:num>
  <w:num w:numId="34">
    <w:abstractNumId w:val="4"/>
  </w:num>
  <w:num w:numId="35">
    <w:abstractNumId w:val="26"/>
  </w:num>
  <w:num w:numId="36">
    <w:abstractNumId w:val="10"/>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activeWritingStyle w:appName="MSWord" w:lang="pt-PT" w:vendorID="64" w:dllVersion="0" w:nlCheck="1" w:checkStyle="0"/>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C7"/>
    <w:rsid w:val="00000499"/>
    <w:rsid w:val="000011C6"/>
    <w:rsid w:val="00002824"/>
    <w:rsid w:val="00002AC8"/>
    <w:rsid w:val="00006E88"/>
    <w:rsid w:val="000073F4"/>
    <w:rsid w:val="00010767"/>
    <w:rsid w:val="00010BB3"/>
    <w:rsid w:val="00011D6C"/>
    <w:rsid w:val="000142D9"/>
    <w:rsid w:val="00016086"/>
    <w:rsid w:val="000179E7"/>
    <w:rsid w:val="00017EAA"/>
    <w:rsid w:val="000226DE"/>
    <w:rsid w:val="00022E7F"/>
    <w:rsid w:val="0002320E"/>
    <w:rsid w:val="00023DF1"/>
    <w:rsid w:val="00025002"/>
    <w:rsid w:val="00026CBF"/>
    <w:rsid w:val="00026CDA"/>
    <w:rsid w:val="000270AD"/>
    <w:rsid w:val="0003248B"/>
    <w:rsid w:val="00032E59"/>
    <w:rsid w:val="00036290"/>
    <w:rsid w:val="000365A4"/>
    <w:rsid w:val="00043411"/>
    <w:rsid w:val="00050F39"/>
    <w:rsid w:val="000521EF"/>
    <w:rsid w:val="0005450B"/>
    <w:rsid w:val="000609A3"/>
    <w:rsid w:val="0006118E"/>
    <w:rsid w:val="00061F93"/>
    <w:rsid w:val="00063B61"/>
    <w:rsid w:val="00064301"/>
    <w:rsid w:val="00067E12"/>
    <w:rsid w:val="00072B45"/>
    <w:rsid w:val="00073BBD"/>
    <w:rsid w:val="00073D59"/>
    <w:rsid w:val="00076F57"/>
    <w:rsid w:val="00080D9F"/>
    <w:rsid w:val="00080F41"/>
    <w:rsid w:val="00081730"/>
    <w:rsid w:val="000853B5"/>
    <w:rsid w:val="0008573E"/>
    <w:rsid w:val="00086164"/>
    <w:rsid w:val="0008719B"/>
    <w:rsid w:val="00090D3A"/>
    <w:rsid w:val="00090DF8"/>
    <w:rsid w:val="0009202B"/>
    <w:rsid w:val="00093234"/>
    <w:rsid w:val="0009605A"/>
    <w:rsid w:val="000A0FB1"/>
    <w:rsid w:val="000A4399"/>
    <w:rsid w:val="000A4852"/>
    <w:rsid w:val="000A6C8C"/>
    <w:rsid w:val="000A7278"/>
    <w:rsid w:val="000B0B6D"/>
    <w:rsid w:val="000B3902"/>
    <w:rsid w:val="000B3AFE"/>
    <w:rsid w:val="000B3B79"/>
    <w:rsid w:val="000B5179"/>
    <w:rsid w:val="000B6406"/>
    <w:rsid w:val="000C0298"/>
    <w:rsid w:val="000C7406"/>
    <w:rsid w:val="000C7809"/>
    <w:rsid w:val="000D30FE"/>
    <w:rsid w:val="000D469C"/>
    <w:rsid w:val="000E6CD0"/>
    <w:rsid w:val="000F06E0"/>
    <w:rsid w:val="000F3B51"/>
    <w:rsid w:val="000F6191"/>
    <w:rsid w:val="000F768C"/>
    <w:rsid w:val="000F7AAA"/>
    <w:rsid w:val="000F7D65"/>
    <w:rsid w:val="000F7E88"/>
    <w:rsid w:val="000F7F95"/>
    <w:rsid w:val="001006DE"/>
    <w:rsid w:val="00100C9B"/>
    <w:rsid w:val="001010D8"/>
    <w:rsid w:val="001019FA"/>
    <w:rsid w:val="00104B24"/>
    <w:rsid w:val="00105F64"/>
    <w:rsid w:val="00107145"/>
    <w:rsid w:val="00107DA3"/>
    <w:rsid w:val="00110672"/>
    <w:rsid w:val="00110D42"/>
    <w:rsid w:val="001110C8"/>
    <w:rsid w:val="001112C2"/>
    <w:rsid w:val="0011229F"/>
    <w:rsid w:val="001127CE"/>
    <w:rsid w:val="0011282E"/>
    <w:rsid w:val="00112C79"/>
    <w:rsid w:val="001131D6"/>
    <w:rsid w:val="001138AF"/>
    <w:rsid w:val="00115026"/>
    <w:rsid w:val="001227C6"/>
    <w:rsid w:val="00123773"/>
    <w:rsid w:val="00126B88"/>
    <w:rsid w:val="00127592"/>
    <w:rsid w:val="0013017A"/>
    <w:rsid w:val="001321F4"/>
    <w:rsid w:val="0013313A"/>
    <w:rsid w:val="00136D6C"/>
    <w:rsid w:val="00137132"/>
    <w:rsid w:val="001511E3"/>
    <w:rsid w:val="00151288"/>
    <w:rsid w:val="0015164A"/>
    <w:rsid w:val="0015430B"/>
    <w:rsid w:val="001544BD"/>
    <w:rsid w:val="001648F3"/>
    <w:rsid w:val="00171356"/>
    <w:rsid w:val="00174628"/>
    <w:rsid w:val="0017583D"/>
    <w:rsid w:val="00175F32"/>
    <w:rsid w:val="00180989"/>
    <w:rsid w:val="00181D52"/>
    <w:rsid w:val="0018452B"/>
    <w:rsid w:val="001846C5"/>
    <w:rsid w:val="001878AA"/>
    <w:rsid w:val="00190B44"/>
    <w:rsid w:val="00191EEA"/>
    <w:rsid w:val="0019399D"/>
    <w:rsid w:val="001941E9"/>
    <w:rsid w:val="00194375"/>
    <w:rsid w:val="001A3840"/>
    <w:rsid w:val="001A5885"/>
    <w:rsid w:val="001B1BE6"/>
    <w:rsid w:val="001B3A92"/>
    <w:rsid w:val="001B3ECC"/>
    <w:rsid w:val="001B45C4"/>
    <w:rsid w:val="001B6117"/>
    <w:rsid w:val="001B6F0C"/>
    <w:rsid w:val="001B73E4"/>
    <w:rsid w:val="001B7B34"/>
    <w:rsid w:val="001B7B3C"/>
    <w:rsid w:val="001C55B0"/>
    <w:rsid w:val="001C7848"/>
    <w:rsid w:val="001D1A94"/>
    <w:rsid w:val="001D25D1"/>
    <w:rsid w:val="001D4C80"/>
    <w:rsid w:val="001E048A"/>
    <w:rsid w:val="001E0D8B"/>
    <w:rsid w:val="001E272B"/>
    <w:rsid w:val="001E3485"/>
    <w:rsid w:val="001E5BFC"/>
    <w:rsid w:val="001E6C4E"/>
    <w:rsid w:val="001F1F04"/>
    <w:rsid w:val="001F6EB7"/>
    <w:rsid w:val="00202A11"/>
    <w:rsid w:val="00203083"/>
    <w:rsid w:val="00206DE3"/>
    <w:rsid w:val="00207DE7"/>
    <w:rsid w:val="0021227D"/>
    <w:rsid w:val="0021277A"/>
    <w:rsid w:val="002165CE"/>
    <w:rsid w:val="002165E1"/>
    <w:rsid w:val="00217F81"/>
    <w:rsid w:val="0022074C"/>
    <w:rsid w:val="00222566"/>
    <w:rsid w:val="00222B47"/>
    <w:rsid w:val="00226A9A"/>
    <w:rsid w:val="0023004C"/>
    <w:rsid w:val="00232C63"/>
    <w:rsid w:val="00232FEE"/>
    <w:rsid w:val="00234894"/>
    <w:rsid w:val="002359B1"/>
    <w:rsid w:val="002374AE"/>
    <w:rsid w:val="00237EFD"/>
    <w:rsid w:val="00245C9E"/>
    <w:rsid w:val="00247752"/>
    <w:rsid w:val="0025204B"/>
    <w:rsid w:val="00252857"/>
    <w:rsid w:val="0025424F"/>
    <w:rsid w:val="00254BD0"/>
    <w:rsid w:val="002550B9"/>
    <w:rsid w:val="00262BD4"/>
    <w:rsid w:val="0026314F"/>
    <w:rsid w:val="002665F8"/>
    <w:rsid w:val="002669A9"/>
    <w:rsid w:val="00266A11"/>
    <w:rsid w:val="00270AE9"/>
    <w:rsid w:val="00272F1F"/>
    <w:rsid w:val="002731C1"/>
    <w:rsid w:val="00275B14"/>
    <w:rsid w:val="002803C3"/>
    <w:rsid w:val="002823AD"/>
    <w:rsid w:val="002870BF"/>
    <w:rsid w:val="002902FB"/>
    <w:rsid w:val="00291CE6"/>
    <w:rsid w:val="0029285C"/>
    <w:rsid w:val="0029285E"/>
    <w:rsid w:val="002962A3"/>
    <w:rsid w:val="002A2A9D"/>
    <w:rsid w:val="002A5B6F"/>
    <w:rsid w:val="002A5C6E"/>
    <w:rsid w:val="002A5D5C"/>
    <w:rsid w:val="002A6DAF"/>
    <w:rsid w:val="002B0604"/>
    <w:rsid w:val="002B440A"/>
    <w:rsid w:val="002B6A8B"/>
    <w:rsid w:val="002B7EB0"/>
    <w:rsid w:val="002C1615"/>
    <w:rsid w:val="002C4D53"/>
    <w:rsid w:val="002C69B5"/>
    <w:rsid w:val="002C7745"/>
    <w:rsid w:val="002D15F8"/>
    <w:rsid w:val="002D488F"/>
    <w:rsid w:val="002D4ED4"/>
    <w:rsid w:val="002E1039"/>
    <w:rsid w:val="002E29AD"/>
    <w:rsid w:val="002E7E9D"/>
    <w:rsid w:val="002F023D"/>
    <w:rsid w:val="002F1D44"/>
    <w:rsid w:val="002F314E"/>
    <w:rsid w:val="002F4BB6"/>
    <w:rsid w:val="002F6817"/>
    <w:rsid w:val="002F7D7B"/>
    <w:rsid w:val="0030371C"/>
    <w:rsid w:val="00304EEF"/>
    <w:rsid w:val="00305CB9"/>
    <w:rsid w:val="00306F86"/>
    <w:rsid w:val="00313E16"/>
    <w:rsid w:val="00315FA8"/>
    <w:rsid w:val="00321B5B"/>
    <w:rsid w:val="0032316B"/>
    <w:rsid w:val="003257C6"/>
    <w:rsid w:val="00326B31"/>
    <w:rsid w:val="00326E62"/>
    <w:rsid w:val="00327336"/>
    <w:rsid w:val="003276F1"/>
    <w:rsid w:val="0033072B"/>
    <w:rsid w:val="00331D32"/>
    <w:rsid w:val="0034522A"/>
    <w:rsid w:val="00346828"/>
    <w:rsid w:val="00346885"/>
    <w:rsid w:val="0034749C"/>
    <w:rsid w:val="00347FDC"/>
    <w:rsid w:val="00355BD6"/>
    <w:rsid w:val="00360505"/>
    <w:rsid w:val="003620E5"/>
    <w:rsid w:val="00364F18"/>
    <w:rsid w:val="00364F83"/>
    <w:rsid w:val="0036742E"/>
    <w:rsid w:val="00370029"/>
    <w:rsid w:val="003740FD"/>
    <w:rsid w:val="00375E0A"/>
    <w:rsid w:val="003806F1"/>
    <w:rsid w:val="003812E4"/>
    <w:rsid w:val="00382F3D"/>
    <w:rsid w:val="0038329A"/>
    <w:rsid w:val="0038539D"/>
    <w:rsid w:val="003856AE"/>
    <w:rsid w:val="00386761"/>
    <w:rsid w:val="00386D5D"/>
    <w:rsid w:val="003904DF"/>
    <w:rsid w:val="00391AC8"/>
    <w:rsid w:val="0039386E"/>
    <w:rsid w:val="00394852"/>
    <w:rsid w:val="00395FA3"/>
    <w:rsid w:val="003A08F1"/>
    <w:rsid w:val="003A4289"/>
    <w:rsid w:val="003A4EE4"/>
    <w:rsid w:val="003A5F32"/>
    <w:rsid w:val="003A65D8"/>
    <w:rsid w:val="003B4063"/>
    <w:rsid w:val="003C290E"/>
    <w:rsid w:val="003C36F8"/>
    <w:rsid w:val="003D00DF"/>
    <w:rsid w:val="003D3B75"/>
    <w:rsid w:val="003D4621"/>
    <w:rsid w:val="003D564F"/>
    <w:rsid w:val="003D5F2E"/>
    <w:rsid w:val="003E2079"/>
    <w:rsid w:val="003E5BE6"/>
    <w:rsid w:val="003E6230"/>
    <w:rsid w:val="003F10A0"/>
    <w:rsid w:val="003F4BF3"/>
    <w:rsid w:val="003F6552"/>
    <w:rsid w:val="003F700A"/>
    <w:rsid w:val="00400786"/>
    <w:rsid w:val="0040130E"/>
    <w:rsid w:val="0040242C"/>
    <w:rsid w:val="00403D8C"/>
    <w:rsid w:val="00404024"/>
    <w:rsid w:val="00405934"/>
    <w:rsid w:val="00406354"/>
    <w:rsid w:val="00407493"/>
    <w:rsid w:val="00410AFC"/>
    <w:rsid w:val="004142BC"/>
    <w:rsid w:val="00416536"/>
    <w:rsid w:val="00417921"/>
    <w:rsid w:val="004226DB"/>
    <w:rsid w:val="00423336"/>
    <w:rsid w:val="00423D3B"/>
    <w:rsid w:val="004304FE"/>
    <w:rsid w:val="004326FB"/>
    <w:rsid w:val="004350E6"/>
    <w:rsid w:val="004354EE"/>
    <w:rsid w:val="004421C0"/>
    <w:rsid w:val="00442760"/>
    <w:rsid w:val="00443DF3"/>
    <w:rsid w:val="004449EA"/>
    <w:rsid w:val="00450891"/>
    <w:rsid w:val="00451597"/>
    <w:rsid w:val="004517E8"/>
    <w:rsid w:val="004534F2"/>
    <w:rsid w:val="0045540A"/>
    <w:rsid w:val="00456688"/>
    <w:rsid w:val="00456A83"/>
    <w:rsid w:val="00465C93"/>
    <w:rsid w:val="00466104"/>
    <w:rsid w:val="0046656B"/>
    <w:rsid w:val="00466DE8"/>
    <w:rsid w:val="004675A0"/>
    <w:rsid w:val="00473F3E"/>
    <w:rsid w:val="00475EB0"/>
    <w:rsid w:val="00476D8E"/>
    <w:rsid w:val="004827DC"/>
    <w:rsid w:val="004854F7"/>
    <w:rsid w:val="004900AE"/>
    <w:rsid w:val="00492432"/>
    <w:rsid w:val="00492FBE"/>
    <w:rsid w:val="00495699"/>
    <w:rsid w:val="00496B76"/>
    <w:rsid w:val="004970DD"/>
    <w:rsid w:val="004A0D7A"/>
    <w:rsid w:val="004A1FE2"/>
    <w:rsid w:val="004A4949"/>
    <w:rsid w:val="004B0530"/>
    <w:rsid w:val="004B71DA"/>
    <w:rsid w:val="004B7AEA"/>
    <w:rsid w:val="004C2660"/>
    <w:rsid w:val="004C27E8"/>
    <w:rsid w:val="004C454A"/>
    <w:rsid w:val="004C63B5"/>
    <w:rsid w:val="004D2024"/>
    <w:rsid w:val="004D3862"/>
    <w:rsid w:val="004D3F8E"/>
    <w:rsid w:val="004D636C"/>
    <w:rsid w:val="004D7FDB"/>
    <w:rsid w:val="004E2A64"/>
    <w:rsid w:val="004E59F2"/>
    <w:rsid w:val="004E5B22"/>
    <w:rsid w:val="004E5F90"/>
    <w:rsid w:val="004E6EE5"/>
    <w:rsid w:val="004F29C4"/>
    <w:rsid w:val="004F2C8A"/>
    <w:rsid w:val="004F6654"/>
    <w:rsid w:val="00500AF9"/>
    <w:rsid w:val="00501786"/>
    <w:rsid w:val="00501B2B"/>
    <w:rsid w:val="00502AA9"/>
    <w:rsid w:val="0050636C"/>
    <w:rsid w:val="005104E0"/>
    <w:rsid w:val="005106E2"/>
    <w:rsid w:val="00513886"/>
    <w:rsid w:val="00514206"/>
    <w:rsid w:val="00514B70"/>
    <w:rsid w:val="005155FD"/>
    <w:rsid w:val="00520765"/>
    <w:rsid w:val="00524592"/>
    <w:rsid w:val="00533B5D"/>
    <w:rsid w:val="005418B0"/>
    <w:rsid w:val="00541E97"/>
    <w:rsid w:val="0054246A"/>
    <w:rsid w:val="00542778"/>
    <w:rsid w:val="00542C8B"/>
    <w:rsid w:val="0055198B"/>
    <w:rsid w:val="00553563"/>
    <w:rsid w:val="005541FD"/>
    <w:rsid w:val="00555A38"/>
    <w:rsid w:val="00556423"/>
    <w:rsid w:val="0055663D"/>
    <w:rsid w:val="00562AA2"/>
    <w:rsid w:val="00563452"/>
    <w:rsid w:val="00563A14"/>
    <w:rsid w:val="00570A10"/>
    <w:rsid w:val="00573AC6"/>
    <w:rsid w:val="00575354"/>
    <w:rsid w:val="00575657"/>
    <w:rsid w:val="0058130F"/>
    <w:rsid w:val="0058206B"/>
    <w:rsid w:val="005879F4"/>
    <w:rsid w:val="005934E7"/>
    <w:rsid w:val="00594C78"/>
    <w:rsid w:val="00596919"/>
    <w:rsid w:val="00596C90"/>
    <w:rsid w:val="005A0C29"/>
    <w:rsid w:val="005A27F6"/>
    <w:rsid w:val="005A385D"/>
    <w:rsid w:val="005A77AC"/>
    <w:rsid w:val="005B4C87"/>
    <w:rsid w:val="005C1160"/>
    <w:rsid w:val="005C37FA"/>
    <w:rsid w:val="005C5001"/>
    <w:rsid w:val="005C6913"/>
    <w:rsid w:val="005D0629"/>
    <w:rsid w:val="005D0F86"/>
    <w:rsid w:val="005D130D"/>
    <w:rsid w:val="005D22E8"/>
    <w:rsid w:val="005E139D"/>
    <w:rsid w:val="005F0791"/>
    <w:rsid w:val="005F0931"/>
    <w:rsid w:val="005F0AA4"/>
    <w:rsid w:val="005F2B2F"/>
    <w:rsid w:val="005F39F9"/>
    <w:rsid w:val="005F3DE7"/>
    <w:rsid w:val="00615077"/>
    <w:rsid w:val="006154BA"/>
    <w:rsid w:val="0062031A"/>
    <w:rsid w:val="0062236E"/>
    <w:rsid w:val="00623BCD"/>
    <w:rsid w:val="00624BB6"/>
    <w:rsid w:val="00626D40"/>
    <w:rsid w:val="006332AE"/>
    <w:rsid w:val="0063423F"/>
    <w:rsid w:val="00634FAF"/>
    <w:rsid w:val="006365B6"/>
    <w:rsid w:val="0063780D"/>
    <w:rsid w:val="006405F2"/>
    <w:rsid w:val="0064127F"/>
    <w:rsid w:val="00643D46"/>
    <w:rsid w:val="006456BA"/>
    <w:rsid w:val="00645E7B"/>
    <w:rsid w:val="006468DA"/>
    <w:rsid w:val="006477BF"/>
    <w:rsid w:val="00650BEC"/>
    <w:rsid w:val="00650DE7"/>
    <w:rsid w:val="006552E0"/>
    <w:rsid w:val="00656B9A"/>
    <w:rsid w:val="00663EA2"/>
    <w:rsid w:val="006645B9"/>
    <w:rsid w:val="00665B26"/>
    <w:rsid w:val="00677004"/>
    <w:rsid w:val="00680CA0"/>
    <w:rsid w:val="00681293"/>
    <w:rsid w:val="0068317F"/>
    <w:rsid w:val="00683C84"/>
    <w:rsid w:val="00686A71"/>
    <w:rsid w:val="006931BD"/>
    <w:rsid w:val="00694C87"/>
    <w:rsid w:val="00696776"/>
    <w:rsid w:val="006A3451"/>
    <w:rsid w:val="006A35F9"/>
    <w:rsid w:val="006A3964"/>
    <w:rsid w:val="006B058A"/>
    <w:rsid w:val="006B4EF5"/>
    <w:rsid w:val="006B7AE1"/>
    <w:rsid w:val="006B7F95"/>
    <w:rsid w:val="006C02CF"/>
    <w:rsid w:val="006C0462"/>
    <w:rsid w:val="006C06EE"/>
    <w:rsid w:val="006C35E7"/>
    <w:rsid w:val="006C568E"/>
    <w:rsid w:val="006D615C"/>
    <w:rsid w:val="006E0CC1"/>
    <w:rsid w:val="006E1DC9"/>
    <w:rsid w:val="006E2F38"/>
    <w:rsid w:val="006F314A"/>
    <w:rsid w:val="006F5A85"/>
    <w:rsid w:val="006F5FAF"/>
    <w:rsid w:val="006F6110"/>
    <w:rsid w:val="006F6A59"/>
    <w:rsid w:val="00704ACD"/>
    <w:rsid w:val="00704D76"/>
    <w:rsid w:val="00705F44"/>
    <w:rsid w:val="0071275D"/>
    <w:rsid w:val="007205C7"/>
    <w:rsid w:val="0072745E"/>
    <w:rsid w:val="00733208"/>
    <w:rsid w:val="00733C01"/>
    <w:rsid w:val="00735084"/>
    <w:rsid w:val="00741ECD"/>
    <w:rsid w:val="00742E98"/>
    <w:rsid w:val="00743645"/>
    <w:rsid w:val="00744701"/>
    <w:rsid w:val="0075028C"/>
    <w:rsid w:val="00751B89"/>
    <w:rsid w:val="00752B52"/>
    <w:rsid w:val="00754A6F"/>
    <w:rsid w:val="00756DDA"/>
    <w:rsid w:val="007614C0"/>
    <w:rsid w:val="00762A52"/>
    <w:rsid w:val="007646A3"/>
    <w:rsid w:val="00765374"/>
    <w:rsid w:val="007673B4"/>
    <w:rsid w:val="00767FA8"/>
    <w:rsid w:val="00773874"/>
    <w:rsid w:val="0077406C"/>
    <w:rsid w:val="00775DD4"/>
    <w:rsid w:val="007769ED"/>
    <w:rsid w:val="00786DE5"/>
    <w:rsid w:val="007905A0"/>
    <w:rsid w:val="0079607D"/>
    <w:rsid w:val="0079718A"/>
    <w:rsid w:val="007A37F1"/>
    <w:rsid w:val="007A7451"/>
    <w:rsid w:val="007A7D8B"/>
    <w:rsid w:val="007B2FB7"/>
    <w:rsid w:val="007B40BE"/>
    <w:rsid w:val="007B41BF"/>
    <w:rsid w:val="007B5610"/>
    <w:rsid w:val="007C0569"/>
    <w:rsid w:val="007C0D46"/>
    <w:rsid w:val="007C10AD"/>
    <w:rsid w:val="007C2743"/>
    <w:rsid w:val="007C3E1D"/>
    <w:rsid w:val="007D1D1C"/>
    <w:rsid w:val="007E3B5C"/>
    <w:rsid w:val="007E4C24"/>
    <w:rsid w:val="007E607E"/>
    <w:rsid w:val="007E73C9"/>
    <w:rsid w:val="007F010F"/>
    <w:rsid w:val="0080002C"/>
    <w:rsid w:val="0080068B"/>
    <w:rsid w:val="008022D8"/>
    <w:rsid w:val="00802E17"/>
    <w:rsid w:val="00803B3D"/>
    <w:rsid w:val="00803D9B"/>
    <w:rsid w:val="00803DF1"/>
    <w:rsid w:val="00810243"/>
    <w:rsid w:val="0081085F"/>
    <w:rsid w:val="00810F66"/>
    <w:rsid w:val="00811248"/>
    <w:rsid w:val="00813A0F"/>
    <w:rsid w:val="00814156"/>
    <w:rsid w:val="008179B5"/>
    <w:rsid w:val="0082096B"/>
    <w:rsid w:val="008235D7"/>
    <w:rsid w:val="0082439B"/>
    <w:rsid w:val="0082798E"/>
    <w:rsid w:val="00830ACE"/>
    <w:rsid w:val="008310B6"/>
    <w:rsid w:val="00831513"/>
    <w:rsid w:val="00831F06"/>
    <w:rsid w:val="00837B19"/>
    <w:rsid w:val="00837BE2"/>
    <w:rsid w:val="00841DE8"/>
    <w:rsid w:val="00843AA1"/>
    <w:rsid w:val="008460F6"/>
    <w:rsid w:val="00850CA5"/>
    <w:rsid w:val="00851B6C"/>
    <w:rsid w:val="00855596"/>
    <w:rsid w:val="00856697"/>
    <w:rsid w:val="00860452"/>
    <w:rsid w:val="008628E4"/>
    <w:rsid w:val="0086297A"/>
    <w:rsid w:val="00863543"/>
    <w:rsid w:val="00863A55"/>
    <w:rsid w:val="0086533B"/>
    <w:rsid w:val="008657E2"/>
    <w:rsid w:val="008677F4"/>
    <w:rsid w:val="00870412"/>
    <w:rsid w:val="008736D8"/>
    <w:rsid w:val="008762CC"/>
    <w:rsid w:val="0088169D"/>
    <w:rsid w:val="00881759"/>
    <w:rsid w:val="00882AA7"/>
    <w:rsid w:val="0088323F"/>
    <w:rsid w:val="00886A0F"/>
    <w:rsid w:val="008901FF"/>
    <w:rsid w:val="00890224"/>
    <w:rsid w:val="008905BF"/>
    <w:rsid w:val="008A3A7A"/>
    <w:rsid w:val="008B4C2B"/>
    <w:rsid w:val="008B7562"/>
    <w:rsid w:val="008C178F"/>
    <w:rsid w:val="008C4725"/>
    <w:rsid w:val="008C504E"/>
    <w:rsid w:val="008D1DD2"/>
    <w:rsid w:val="008D445F"/>
    <w:rsid w:val="008D458D"/>
    <w:rsid w:val="008D48BD"/>
    <w:rsid w:val="008D4C37"/>
    <w:rsid w:val="008D7FAE"/>
    <w:rsid w:val="008E153C"/>
    <w:rsid w:val="008E5FF1"/>
    <w:rsid w:val="008F098A"/>
    <w:rsid w:val="008F1666"/>
    <w:rsid w:val="008F3F63"/>
    <w:rsid w:val="008F41DC"/>
    <w:rsid w:val="008F4350"/>
    <w:rsid w:val="008F626A"/>
    <w:rsid w:val="008F62BD"/>
    <w:rsid w:val="008F7BCC"/>
    <w:rsid w:val="00900C39"/>
    <w:rsid w:val="00900D10"/>
    <w:rsid w:val="009012FA"/>
    <w:rsid w:val="00902BE7"/>
    <w:rsid w:val="0090651A"/>
    <w:rsid w:val="00906959"/>
    <w:rsid w:val="00906DA5"/>
    <w:rsid w:val="00910CE2"/>
    <w:rsid w:val="009156FB"/>
    <w:rsid w:val="00915F72"/>
    <w:rsid w:val="00916137"/>
    <w:rsid w:val="00917D06"/>
    <w:rsid w:val="009203F1"/>
    <w:rsid w:val="00920B57"/>
    <w:rsid w:val="009223E5"/>
    <w:rsid w:val="0092264A"/>
    <w:rsid w:val="0092396C"/>
    <w:rsid w:val="009257DB"/>
    <w:rsid w:val="00926F2F"/>
    <w:rsid w:val="009274E1"/>
    <w:rsid w:val="0093029A"/>
    <w:rsid w:val="0093254C"/>
    <w:rsid w:val="00934E6B"/>
    <w:rsid w:val="009404F1"/>
    <w:rsid w:val="00943D3C"/>
    <w:rsid w:val="00944627"/>
    <w:rsid w:val="00945170"/>
    <w:rsid w:val="00953E25"/>
    <w:rsid w:val="009563DF"/>
    <w:rsid w:val="00960139"/>
    <w:rsid w:val="0096141B"/>
    <w:rsid w:val="00964838"/>
    <w:rsid w:val="00965EB3"/>
    <w:rsid w:val="00966CD2"/>
    <w:rsid w:val="0097064B"/>
    <w:rsid w:val="00972DCB"/>
    <w:rsid w:val="00974F52"/>
    <w:rsid w:val="00976C3A"/>
    <w:rsid w:val="00980339"/>
    <w:rsid w:val="00981291"/>
    <w:rsid w:val="009833A5"/>
    <w:rsid w:val="009846ED"/>
    <w:rsid w:val="00987028"/>
    <w:rsid w:val="00992DC9"/>
    <w:rsid w:val="00996B2C"/>
    <w:rsid w:val="00996DD4"/>
    <w:rsid w:val="009976B8"/>
    <w:rsid w:val="009A324D"/>
    <w:rsid w:val="009B2A19"/>
    <w:rsid w:val="009B2F75"/>
    <w:rsid w:val="009B326E"/>
    <w:rsid w:val="009B359B"/>
    <w:rsid w:val="009B4097"/>
    <w:rsid w:val="009B4BC6"/>
    <w:rsid w:val="009C0EE8"/>
    <w:rsid w:val="009D17E5"/>
    <w:rsid w:val="009D4F3A"/>
    <w:rsid w:val="009D6FB4"/>
    <w:rsid w:val="009D7E64"/>
    <w:rsid w:val="009E12D2"/>
    <w:rsid w:val="009E3476"/>
    <w:rsid w:val="009E3593"/>
    <w:rsid w:val="009E3B90"/>
    <w:rsid w:val="009E4B5F"/>
    <w:rsid w:val="009F123D"/>
    <w:rsid w:val="009F19E0"/>
    <w:rsid w:val="009F4B5C"/>
    <w:rsid w:val="009F707D"/>
    <w:rsid w:val="00A0022C"/>
    <w:rsid w:val="00A00FE4"/>
    <w:rsid w:val="00A027FD"/>
    <w:rsid w:val="00A03D91"/>
    <w:rsid w:val="00A0474B"/>
    <w:rsid w:val="00A05AF9"/>
    <w:rsid w:val="00A07ABC"/>
    <w:rsid w:val="00A10678"/>
    <w:rsid w:val="00A11405"/>
    <w:rsid w:val="00A14CFF"/>
    <w:rsid w:val="00A1622B"/>
    <w:rsid w:val="00A16C92"/>
    <w:rsid w:val="00A20B2B"/>
    <w:rsid w:val="00A217EB"/>
    <w:rsid w:val="00A22D38"/>
    <w:rsid w:val="00A25203"/>
    <w:rsid w:val="00A25A4A"/>
    <w:rsid w:val="00A2604B"/>
    <w:rsid w:val="00A26D1B"/>
    <w:rsid w:val="00A3423B"/>
    <w:rsid w:val="00A34D2B"/>
    <w:rsid w:val="00A371F8"/>
    <w:rsid w:val="00A40140"/>
    <w:rsid w:val="00A412E5"/>
    <w:rsid w:val="00A4181B"/>
    <w:rsid w:val="00A44863"/>
    <w:rsid w:val="00A45999"/>
    <w:rsid w:val="00A46EDB"/>
    <w:rsid w:val="00A4790D"/>
    <w:rsid w:val="00A509C0"/>
    <w:rsid w:val="00A514DE"/>
    <w:rsid w:val="00A52381"/>
    <w:rsid w:val="00A56A2D"/>
    <w:rsid w:val="00A604A4"/>
    <w:rsid w:val="00A628B1"/>
    <w:rsid w:val="00A6687B"/>
    <w:rsid w:val="00A67963"/>
    <w:rsid w:val="00A67A7E"/>
    <w:rsid w:val="00A71BB7"/>
    <w:rsid w:val="00A733C9"/>
    <w:rsid w:val="00A80E5B"/>
    <w:rsid w:val="00A80F50"/>
    <w:rsid w:val="00A864C7"/>
    <w:rsid w:val="00A86BB9"/>
    <w:rsid w:val="00A9394C"/>
    <w:rsid w:val="00AA06C2"/>
    <w:rsid w:val="00AA1531"/>
    <w:rsid w:val="00AA41BB"/>
    <w:rsid w:val="00AB1D73"/>
    <w:rsid w:val="00AB4BE4"/>
    <w:rsid w:val="00AC03B4"/>
    <w:rsid w:val="00AC0B54"/>
    <w:rsid w:val="00AC2946"/>
    <w:rsid w:val="00AC3EEF"/>
    <w:rsid w:val="00AC5B1F"/>
    <w:rsid w:val="00AC634B"/>
    <w:rsid w:val="00AD279F"/>
    <w:rsid w:val="00AD4E64"/>
    <w:rsid w:val="00AD51F4"/>
    <w:rsid w:val="00AD6085"/>
    <w:rsid w:val="00AD6DB8"/>
    <w:rsid w:val="00AE0D4C"/>
    <w:rsid w:val="00AE11C7"/>
    <w:rsid w:val="00AE338C"/>
    <w:rsid w:val="00AF31BF"/>
    <w:rsid w:val="00AF3E85"/>
    <w:rsid w:val="00AF4119"/>
    <w:rsid w:val="00AF5FF4"/>
    <w:rsid w:val="00B013FB"/>
    <w:rsid w:val="00B02B8B"/>
    <w:rsid w:val="00B02C93"/>
    <w:rsid w:val="00B048F8"/>
    <w:rsid w:val="00B126A8"/>
    <w:rsid w:val="00B1740D"/>
    <w:rsid w:val="00B20E06"/>
    <w:rsid w:val="00B21DF7"/>
    <w:rsid w:val="00B230FB"/>
    <w:rsid w:val="00B30500"/>
    <w:rsid w:val="00B3278C"/>
    <w:rsid w:val="00B32F9C"/>
    <w:rsid w:val="00B34408"/>
    <w:rsid w:val="00B43D9E"/>
    <w:rsid w:val="00B53E1B"/>
    <w:rsid w:val="00B5570F"/>
    <w:rsid w:val="00B55BA8"/>
    <w:rsid w:val="00B60BD9"/>
    <w:rsid w:val="00B64FCB"/>
    <w:rsid w:val="00B65585"/>
    <w:rsid w:val="00B656DF"/>
    <w:rsid w:val="00B65C1C"/>
    <w:rsid w:val="00B73DBA"/>
    <w:rsid w:val="00B7439B"/>
    <w:rsid w:val="00B7465B"/>
    <w:rsid w:val="00B75770"/>
    <w:rsid w:val="00B76B83"/>
    <w:rsid w:val="00B77962"/>
    <w:rsid w:val="00B83052"/>
    <w:rsid w:val="00B84318"/>
    <w:rsid w:val="00B8434C"/>
    <w:rsid w:val="00B87E3B"/>
    <w:rsid w:val="00B930FF"/>
    <w:rsid w:val="00B94D21"/>
    <w:rsid w:val="00B957E4"/>
    <w:rsid w:val="00B958BA"/>
    <w:rsid w:val="00B95E5B"/>
    <w:rsid w:val="00BA2707"/>
    <w:rsid w:val="00BA2B00"/>
    <w:rsid w:val="00BB1A99"/>
    <w:rsid w:val="00BB2D32"/>
    <w:rsid w:val="00BB4391"/>
    <w:rsid w:val="00BB4C73"/>
    <w:rsid w:val="00BB531A"/>
    <w:rsid w:val="00BC0AE5"/>
    <w:rsid w:val="00BC0F31"/>
    <w:rsid w:val="00BC13BF"/>
    <w:rsid w:val="00BC35B2"/>
    <w:rsid w:val="00BC53A9"/>
    <w:rsid w:val="00BD5258"/>
    <w:rsid w:val="00BE170E"/>
    <w:rsid w:val="00BF008D"/>
    <w:rsid w:val="00BF0777"/>
    <w:rsid w:val="00BF0BF1"/>
    <w:rsid w:val="00BF229C"/>
    <w:rsid w:val="00BF3412"/>
    <w:rsid w:val="00BF41E3"/>
    <w:rsid w:val="00BF50A5"/>
    <w:rsid w:val="00BF6545"/>
    <w:rsid w:val="00BF7C8A"/>
    <w:rsid w:val="00C02163"/>
    <w:rsid w:val="00C02CB7"/>
    <w:rsid w:val="00C07B3C"/>
    <w:rsid w:val="00C111AD"/>
    <w:rsid w:val="00C1295C"/>
    <w:rsid w:val="00C13717"/>
    <w:rsid w:val="00C137B4"/>
    <w:rsid w:val="00C14A55"/>
    <w:rsid w:val="00C15A5D"/>
    <w:rsid w:val="00C1627C"/>
    <w:rsid w:val="00C17AC8"/>
    <w:rsid w:val="00C20123"/>
    <w:rsid w:val="00C20521"/>
    <w:rsid w:val="00C20538"/>
    <w:rsid w:val="00C21304"/>
    <w:rsid w:val="00C2671A"/>
    <w:rsid w:val="00C2789E"/>
    <w:rsid w:val="00C33CAB"/>
    <w:rsid w:val="00C34B25"/>
    <w:rsid w:val="00C34D71"/>
    <w:rsid w:val="00C412DC"/>
    <w:rsid w:val="00C422D4"/>
    <w:rsid w:val="00C423D6"/>
    <w:rsid w:val="00C440DE"/>
    <w:rsid w:val="00C455CE"/>
    <w:rsid w:val="00C45647"/>
    <w:rsid w:val="00C47511"/>
    <w:rsid w:val="00C52761"/>
    <w:rsid w:val="00C572CF"/>
    <w:rsid w:val="00C60C57"/>
    <w:rsid w:val="00C61C0E"/>
    <w:rsid w:val="00C62490"/>
    <w:rsid w:val="00C643B3"/>
    <w:rsid w:val="00C64825"/>
    <w:rsid w:val="00C65C88"/>
    <w:rsid w:val="00C669F4"/>
    <w:rsid w:val="00C747A7"/>
    <w:rsid w:val="00C76133"/>
    <w:rsid w:val="00C76F46"/>
    <w:rsid w:val="00C77C75"/>
    <w:rsid w:val="00C82748"/>
    <w:rsid w:val="00C83B2E"/>
    <w:rsid w:val="00C864BF"/>
    <w:rsid w:val="00C86CB7"/>
    <w:rsid w:val="00C87783"/>
    <w:rsid w:val="00C91384"/>
    <w:rsid w:val="00C91D13"/>
    <w:rsid w:val="00C92516"/>
    <w:rsid w:val="00C93238"/>
    <w:rsid w:val="00C97087"/>
    <w:rsid w:val="00CA4A9F"/>
    <w:rsid w:val="00CA6446"/>
    <w:rsid w:val="00CA6797"/>
    <w:rsid w:val="00CB0CA5"/>
    <w:rsid w:val="00CB1480"/>
    <w:rsid w:val="00CB17F9"/>
    <w:rsid w:val="00CB3A90"/>
    <w:rsid w:val="00CB7CA0"/>
    <w:rsid w:val="00CC1382"/>
    <w:rsid w:val="00CC26D0"/>
    <w:rsid w:val="00CC407A"/>
    <w:rsid w:val="00CC45C1"/>
    <w:rsid w:val="00CD0696"/>
    <w:rsid w:val="00CD45F0"/>
    <w:rsid w:val="00CE08EC"/>
    <w:rsid w:val="00CE3F51"/>
    <w:rsid w:val="00CE4630"/>
    <w:rsid w:val="00CE48E6"/>
    <w:rsid w:val="00CE4B15"/>
    <w:rsid w:val="00CE6448"/>
    <w:rsid w:val="00CF45B0"/>
    <w:rsid w:val="00CF63E5"/>
    <w:rsid w:val="00CF69F2"/>
    <w:rsid w:val="00D00FC5"/>
    <w:rsid w:val="00D041E4"/>
    <w:rsid w:val="00D17B8F"/>
    <w:rsid w:val="00D21288"/>
    <w:rsid w:val="00D251F6"/>
    <w:rsid w:val="00D266BD"/>
    <w:rsid w:val="00D3104E"/>
    <w:rsid w:val="00D31B16"/>
    <w:rsid w:val="00D32538"/>
    <w:rsid w:val="00D33331"/>
    <w:rsid w:val="00D373F3"/>
    <w:rsid w:val="00D40B0E"/>
    <w:rsid w:val="00D41DB5"/>
    <w:rsid w:val="00D467F3"/>
    <w:rsid w:val="00D471A2"/>
    <w:rsid w:val="00D5345E"/>
    <w:rsid w:val="00D55B80"/>
    <w:rsid w:val="00D6193A"/>
    <w:rsid w:val="00D63643"/>
    <w:rsid w:val="00D70291"/>
    <w:rsid w:val="00D75716"/>
    <w:rsid w:val="00D76AAB"/>
    <w:rsid w:val="00D86F53"/>
    <w:rsid w:val="00D90145"/>
    <w:rsid w:val="00D90916"/>
    <w:rsid w:val="00D92D5B"/>
    <w:rsid w:val="00D95431"/>
    <w:rsid w:val="00DA09C3"/>
    <w:rsid w:val="00DA15BC"/>
    <w:rsid w:val="00DA601E"/>
    <w:rsid w:val="00DA69C1"/>
    <w:rsid w:val="00DB1D57"/>
    <w:rsid w:val="00DB7790"/>
    <w:rsid w:val="00DB7BA9"/>
    <w:rsid w:val="00DC039B"/>
    <w:rsid w:val="00DC2441"/>
    <w:rsid w:val="00DD14DC"/>
    <w:rsid w:val="00DD47CF"/>
    <w:rsid w:val="00DD544F"/>
    <w:rsid w:val="00DD5500"/>
    <w:rsid w:val="00DE10BA"/>
    <w:rsid w:val="00DE40DB"/>
    <w:rsid w:val="00DE72D6"/>
    <w:rsid w:val="00DF0A5B"/>
    <w:rsid w:val="00DF0F29"/>
    <w:rsid w:val="00DF19A8"/>
    <w:rsid w:val="00DF2D5C"/>
    <w:rsid w:val="00DF44E5"/>
    <w:rsid w:val="00E00042"/>
    <w:rsid w:val="00E00530"/>
    <w:rsid w:val="00E006F2"/>
    <w:rsid w:val="00E0311E"/>
    <w:rsid w:val="00E04F30"/>
    <w:rsid w:val="00E06539"/>
    <w:rsid w:val="00E07202"/>
    <w:rsid w:val="00E10987"/>
    <w:rsid w:val="00E1711D"/>
    <w:rsid w:val="00E20478"/>
    <w:rsid w:val="00E22392"/>
    <w:rsid w:val="00E24BE6"/>
    <w:rsid w:val="00E24C19"/>
    <w:rsid w:val="00E25085"/>
    <w:rsid w:val="00E261A7"/>
    <w:rsid w:val="00E26699"/>
    <w:rsid w:val="00E32D11"/>
    <w:rsid w:val="00E34A49"/>
    <w:rsid w:val="00E34D06"/>
    <w:rsid w:val="00E364BC"/>
    <w:rsid w:val="00E52C0F"/>
    <w:rsid w:val="00E547F2"/>
    <w:rsid w:val="00E65F0A"/>
    <w:rsid w:val="00E66A67"/>
    <w:rsid w:val="00E707F1"/>
    <w:rsid w:val="00E715A0"/>
    <w:rsid w:val="00E717C5"/>
    <w:rsid w:val="00E73972"/>
    <w:rsid w:val="00E74C71"/>
    <w:rsid w:val="00E75AC2"/>
    <w:rsid w:val="00E7719B"/>
    <w:rsid w:val="00E82BA6"/>
    <w:rsid w:val="00E91B1B"/>
    <w:rsid w:val="00E91CA4"/>
    <w:rsid w:val="00E91D72"/>
    <w:rsid w:val="00E96F72"/>
    <w:rsid w:val="00EA2B18"/>
    <w:rsid w:val="00EA3DA2"/>
    <w:rsid w:val="00EA5F74"/>
    <w:rsid w:val="00EA7F51"/>
    <w:rsid w:val="00EB4DCB"/>
    <w:rsid w:val="00EB707D"/>
    <w:rsid w:val="00EC1037"/>
    <w:rsid w:val="00EC463F"/>
    <w:rsid w:val="00EC531C"/>
    <w:rsid w:val="00EC72CA"/>
    <w:rsid w:val="00ED22D4"/>
    <w:rsid w:val="00ED316F"/>
    <w:rsid w:val="00ED31D9"/>
    <w:rsid w:val="00ED62F7"/>
    <w:rsid w:val="00ED7B50"/>
    <w:rsid w:val="00EE19B6"/>
    <w:rsid w:val="00EE5AE2"/>
    <w:rsid w:val="00EF4E85"/>
    <w:rsid w:val="00EF5568"/>
    <w:rsid w:val="00EF5CB2"/>
    <w:rsid w:val="00EF6216"/>
    <w:rsid w:val="00F00065"/>
    <w:rsid w:val="00F046E0"/>
    <w:rsid w:val="00F05C4B"/>
    <w:rsid w:val="00F11C55"/>
    <w:rsid w:val="00F1564A"/>
    <w:rsid w:val="00F156B0"/>
    <w:rsid w:val="00F15969"/>
    <w:rsid w:val="00F160DD"/>
    <w:rsid w:val="00F20FF7"/>
    <w:rsid w:val="00F21014"/>
    <w:rsid w:val="00F21DB8"/>
    <w:rsid w:val="00F23800"/>
    <w:rsid w:val="00F26001"/>
    <w:rsid w:val="00F260A0"/>
    <w:rsid w:val="00F35DF8"/>
    <w:rsid w:val="00F37A66"/>
    <w:rsid w:val="00F409D3"/>
    <w:rsid w:val="00F4161F"/>
    <w:rsid w:val="00F41749"/>
    <w:rsid w:val="00F43E92"/>
    <w:rsid w:val="00F471F6"/>
    <w:rsid w:val="00F501AB"/>
    <w:rsid w:val="00F522AC"/>
    <w:rsid w:val="00F549F2"/>
    <w:rsid w:val="00F60DA5"/>
    <w:rsid w:val="00F70FD2"/>
    <w:rsid w:val="00F71F56"/>
    <w:rsid w:val="00F75430"/>
    <w:rsid w:val="00F76984"/>
    <w:rsid w:val="00F84204"/>
    <w:rsid w:val="00F86C68"/>
    <w:rsid w:val="00F91A57"/>
    <w:rsid w:val="00F94856"/>
    <w:rsid w:val="00F961C7"/>
    <w:rsid w:val="00F97431"/>
    <w:rsid w:val="00FA03C1"/>
    <w:rsid w:val="00FA533D"/>
    <w:rsid w:val="00FA6E44"/>
    <w:rsid w:val="00FB07FA"/>
    <w:rsid w:val="00FB1AFF"/>
    <w:rsid w:val="00FB1B21"/>
    <w:rsid w:val="00FB276B"/>
    <w:rsid w:val="00FB40F1"/>
    <w:rsid w:val="00FB5311"/>
    <w:rsid w:val="00FB5FB6"/>
    <w:rsid w:val="00FB6E83"/>
    <w:rsid w:val="00FC1644"/>
    <w:rsid w:val="00FD0BE1"/>
    <w:rsid w:val="00FD3CAC"/>
    <w:rsid w:val="00FE244D"/>
    <w:rsid w:val="00FE2835"/>
    <w:rsid w:val="00FF29A9"/>
    <w:rsid w:val="00FF4F56"/>
    <w:rsid w:val="00FF7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85CCB06"/>
  <w14:defaultImageDpi w14:val="32767"/>
  <w15:chartTrackingRefBased/>
  <w15:docId w15:val="{0F16B0A7-7F45-4544-BF61-E521EBFE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uiPriority="99" w:qFormat="1"/>
    <w:lsdException w:name="annotation text" w:locked="1" w:uiPriority="99"/>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uiPriority="99"/>
    <w:lsdException w:name="annotation reference" w:locked="1"/>
    <w:lsdException w:name="line number" w:locked="1"/>
    <w:lsdException w:name="page number" w:locked="1" w:uiPriority="99"/>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uiPriority="99"/>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semiHidden="1" w:unhideWhenUs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A00FE4"/>
    <w:rPr>
      <w:sz w:val="24"/>
      <w:szCs w:val="24"/>
    </w:rPr>
  </w:style>
  <w:style w:type="paragraph" w:styleId="Heading1">
    <w:name w:val="heading 1"/>
    <w:basedOn w:val="Normal"/>
    <w:next w:val="Normal"/>
    <w:link w:val="Heading1Char"/>
    <w:uiPriority w:val="9"/>
    <w:qFormat/>
    <w:locked/>
    <w:rsid w:val="0017583D"/>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unhideWhenUsed/>
    <w:qFormat/>
    <w:locked/>
    <w:rsid w:val="003F4BF3"/>
    <w:pPr>
      <w:keepNext/>
      <w:keepLines/>
      <w:spacing w:before="40"/>
      <w:outlineLvl w:val="2"/>
    </w:pPr>
    <w:rPr>
      <w:rFonts w:ascii="Calibri Light" w:hAnsi="Calibri Light"/>
      <w:color w:val="1F4D78"/>
    </w:rPr>
  </w:style>
  <w:style w:type="paragraph" w:styleId="Heading5">
    <w:name w:val="heading 5"/>
    <w:basedOn w:val="Normal"/>
    <w:next w:val="Normal"/>
    <w:link w:val="Heading5Char"/>
    <w:semiHidden/>
    <w:unhideWhenUsed/>
    <w:qFormat/>
    <w:locked/>
    <w:rsid w:val="0002500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pPr>
      <w:spacing w:line="480" w:lineRule="auto"/>
    </w:pPr>
    <w:rPr>
      <w:rFonts w:ascii="Lucida Grande" w:eastAsia="ヒラギノ角ゴ Pro W3" w:hAnsi="Lucida Grande"/>
      <w:color w:val="000000"/>
      <w:sz w:val="22"/>
    </w:rPr>
  </w:style>
  <w:style w:type="paragraph" w:customStyle="1" w:styleId="Footer1">
    <w:name w:val="Footer1"/>
    <w:pPr>
      <w:tabs>
        <w:tab w:val="center" w:pos="4680"/>
        <w:tab w:val="right" w:pos="9360"/>
      </w:tabs>
    </w:pPr>
    <w:rPr>
      <w:rFonts w:ascii="Lucida Grande" w:eastAsia="ヒラギノ角ゴ Pro W3" w:hAnsi="Lucida Grande"/>
      <w:color w:val="000000"/>
      <w:sz w:val="24"/>
    </w:rPr>
  </w:style>
  <w:style w:type="paragraph" w:customStyle="1" w:styleId="Heading4A">
    <w:name w:val="Heading 4 A"/>
    <w:next w:val="Normal"/>
    <w:pPr>
      <w:keepNext/>
      <w:jc w:val="center"/>
      <w:outlineLvl w:val="3"/>
    </w:pPr>
    <w:rPr>
      <w:rFonts w:ascii="Arial Bold" w:eastAsia="ヒラギノ角ゴ Pro W3" w:hAnsi="Arial Bold"/>
      <w:color w:val="000000"/>
      <w:sz w:val="24"/>
      <w:u w:val="single"/>
    </w:rPr>
  </w:style>
  <w:style w:type="paragraph" w:customStyle="1" w:styleId="Heading5A">
    <w:name w:val="Heading 5 A"/>
    <w:next w:val="Normal"/>
    <w:pPr>
      <w:keepNext/>
      <w:outlineLvl w:val="4"/>
    </w:pPr>
    <w:rPr>
      <w:rFonts w:ascii="Times New Roman Bold" w:eastAsia="ヒラギノ角ゴ Pro W3" w:hAnsi="Times New Roman Bold"/>
      <w:color w:val="000000"/>
      <w:u w:val="single"/>
    </w:rPr>
  </w:style>
  <w:style w:type="paragraph" w:customStyle="1" w:styleId="Heading3AA">
    <w:name w:val="Heading 3 A A"/>
    <w:next w:val="Normal"/>
    <w:pPr>
      <w:keepNext/>
      <w:tabs>
        <w:tab w:val="center" w:pos="4680"/>
      </w:tabs>
      <w:jc w:val="center"/>
      <w:outlineLvl w:val="2"/>
    </w:pPr>
    <w:rPr>
      <w:rFonts w:ascii="Times New Roman Bold" w:eastAsia="ヒラギノ角ゴ Pro W3" w:hAnsi="Times New Roman Bold"/>
      <w:color w:val="000000"/>
      <w:sz w:val="24"/>
    </w:rPr>
  </w:style>
  <w:style w:type="paragraph" w:customStyle="1" w:styleId="ColorfulList-Accent11">
    <w:name w:val="Colorful List - Accent 11"/>
    <w:qFormat/>
    <w:pPr>
      <w:ind w:left="720"/>
    </w:pPr>
    <w:rPr>
      <w:rFonts w:ascii="Lucida Grande" w:eastAsia="ヒラギノ角ゴ Pro W3" w:hAnsi="Lucida Grande"/>
      <w:color w:val="000000"/>
      <w:sz w:val="24"/>
    </w:rPr>
  </w:style>
  <w:style w:type="character" w:customStyle="1" w:styleId="FootnoteReference1">
    <w:name w:val="Footnote Reference1"/>
    <w:rPr>
      <w:color w:val="000000"/>
      <w:sz w:val="22"/>
      <w:vertAlign w:val="superscript"/>
    </w:rPr>
  </w:style>
  <w:style w:type="paragraph" w:customStyle="1" w:styleId="FootnoteText1">
    <w:name w:val="Footnote Text1"/>
    <w:rPr>
      <w:rFonts w:ascii="Lucida Grande" w:eastAsia="ヒラギノ角ゴ Pro W3" w:hAnsi="Lucida Grande"/>
      <w:color w:val="000000"/>
    </w:rPr>
  </w:style>
  <w:style w:type="character" w:customStyle="1" w:styleId="Hyperlink1">
    <w:name w:val="Hyperlink1"/>
    <w:rPr>
      <w:color w:val="0C35A3"/>
      <w:sz w:val="22"/>
      <w:u w:val="single"/>
    </w:rPr>
  </w:style>
  <w:style w:type="paragraph" w:customStyle="1" w:styleId="FootnoteTextA">
    <w:name w:val="Footnote Text A"/>
    <w:rPr>
      <w:rFonts w:ascii="Helvetica" w:eastAsia="ヒラギノ角ゴ Pro W3" w:hAnsi="Helvetica"/>
      <w:color w:val="000000"/>
    </w:rPr>
  </w:style>
  <w:style w:type="paragraph" w:customStyle="1" w:styleId="NormalWeb1">
    <w:name w:val="Normal (Web)1"/>
    <w:pPr>
      <w:spacing w:before="100" w:after="100"/>
    </w:pPr>
    <w:rPr>
      <w:rFonts w:eastAsia="ヒラギノ角ゴ Pro W3"/>
      <w:color w:val="000000"/>
      <w:sz w:val="24"/>
    </w:rPr>
  </w:style>
  <w:style w:type="paragraph" w:styleId="FootnoteText">
    <w:name w:val="footnote text"/>
    <w:aliases w:val="FT"/>
    <w:basedOn w:val="Normal"/>
    <w:link w:val="FootnoteTextChar"/>
    <w:uiPriority w:val="99"/>
    <w:unhideWhenUsed/>
    <w:qFormat/>
    <w:locked/>
    <w:rsid w:val="00E66A67"/>
    <w:pPr>
      <w:spacing w:after="100" w:line="211" w:lineRule="auto"/>
    </w:pPr>
    <w:rPr>
      <w:rFonts w:eastAsia="MS Mincho"/>
      <w:sz w:val="20"/>
      <w:szCs w:val="20"/>
    </w:rPr>
  </w:style>
  <w:style w:type="character" w:customStyle="1" w:styleId="FootnoteTextChar">
    <w:name w:val="Footnote Text Char"/>
    <w:aliases w:val="FT Char"/>
    <w:link w:val="FootnoteText"/>
    <w:uiPriority w:val="99"/>
    <w:rsid w:val="00E66A67"/>
    <w:rPr>
      <w:rFonts w:eastAsia="MS Mincho"/>
    </w:rPr>
  </w:style>
  <w:style w:type="character" w:styleId="FootnoteReference">
    <w:name w:val="footnote reference"/>
    <w:uiPriority w:val="99"/>
    <w:unhideWhenUsed/>
    <w:locked/>
    <w:rsid w:val="00A864C7"/>
    <w:rPr>
      <w:vertAlign w:val="superscript"/>
    </w:rPr>
  </w:style>
  <w:style w:type="character" w:styleId="Hyperlink">
    <w:name w:val="Hyperlink"/>
    <w:uiPriority w:val="99"/>
    <w:unhideWhenUsed/>
    <w:locked/>
    <w:rsid w:val="00A864C7"/>
    <w:rPr>
      <w:color w:val="0563C1"/>
      <w:u w:val="single"/>
    </w:rPr>
  </w:style>
  <w:style w:type="paragraph" w:customStyle="1" w:styleId="BodyA">
    <w:name w:val="Body A"/>
    <w:rsid w:val="00992DC9"/>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numbering" w:customStyle="1" w:styleId="ImportedStyle1">
    <w:name w:val="Imported Style 1"/>
    <w:rsid w:val="00992DC9"/>
    <w:pPr>
      <w:numPr>
        <w:numId w:val="2"/>
      </w:numPr>
    </w:pPr>
  </w:style>
  <w:style w:type="character" w:customStyle="1" w:styleId="None">
    <w:name w:val="None"/>
    <w:rsid w:val="00992DC9"/>
  </w:style>
  <w:style w:type="character" w:customStyle="1" w:styleId="Hyperlink0">
    <w:name w:val="Hyperlink.0"/>
    <w:rsid w:val="00992DC9"/>
    <w:rPr>
      <w:rFonts w:ascii="Times New Roman" w:eastAsia="Times New Roman" w:hAnsi="Times New Roman" w:cs="Times New Roman"/>
      <w:color w:val="0563C1"/>
      <w:u w:val="single" w:color="0563C1"/>
    </w:rPr>
  </w:style>
  <w:style w:type="character" w:customStyle="1" w:styleId="apple-converted-space">
    <w:name w:val="apple-converted-space"/>
    <w:rsid w:val="003F10A0"/>
  </w:style>
  <w:style w:type="character" w:styleId="Emphasis">
    <w:name w:val="Emphasis"/>
    <w:uiPriority w:val="20"/>
    <w:qFormat/>
    <w:locked/>
    <w:rsid w:val="003F10A0"/>
    <w:rPr>
      <w:i/>
      <w:iCs/>
    </w:rPr>
  </w:style>
  <w:style w:type="paragraph" w:styleId="NormalWeb">
    <w:name w:val="Normal (Web)"/>
    <w:basedOn w:val="Normal"/>
    <w:uiPriority w:val="99"/>
    <w:unhideWhenUsed/>
    <w:locked/>
    <w:rsid w:val="006456BA"/>
    <w:pPr>
      <w:spacing w:before="100" w:beforeAutospacing="1" w:after="100" w:afterAutospacing="1"/>
    </w:pPr>
  </w:style>
  <w:style w:type="character" w:styleId="FollowedHyperlink">
    <w:name w:val="FollowedHyperlink"/>
    <w:locked/>
    <w:rsid w:val="002665F8"/>
    <w:rPr>
      <w:color w:val="954F72"/>
      <w:u w:val="single"/>
    </w:rPr>
  </w:style>
  <w:style w:type="paragraph" w:customStyle="1" w:styleId="FootnoteText10">
    <w:name w:val="Footnote Text1"/>
    <w:rsid w:val="00FB40F1"/>
    <w:rPr>
      <w:rFonts w:ascii="Lucida Grande" w:eastAsia="ヒラギノ角ゴ Pro W3" w:hAnsi="Lucida Grande"/>
      <w:color w:val="000000"/>
    </w:rPr>
  </w:style>
  <w:style w:type="numbering" w:customStyle="1" w:styleId="ImportedStyle2">
    <w:name w:val="Imported Style 2"/>
    <w:rsid w:val="000A7278"/>
    <w:pPr>
      <w:numPr>
        <w:numId w:val="4"/>
      </w:numPr>
    </w:pPr>
  </w:style>
  <w:style w:type="character" w:customStyle="1" w:styleId="Hyperlink10">
    <w:name w:val="Hyperlink.1"/>
    <w:rsid w:val="000A7278"/>
    <w:rPr>
      <w:color w:val="0563C1"/>
      <w:u w:val="single" w:color="0563C1"/>
    </w:rPr>
  </w:style>
  <w:style w:type="paragraph" w:customStyle="1" w:styleId="Default">
    <w:name w:val="Default"/>
    <w:rsid w:val="000A727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eading1Char">
    <w:name w:val="Heading 1 Char"/>
    <w:link w:val="Heading1"/>
    <w:uiPriority w:val="9"/>
    <w:rsid w:val="0017583D"/>
    <w:rPr>
      <w:rFonts w:ascii="Calibri Light" w:eastAsia="Times New Roman" w:hAnsi="Calibri Light" w:cs="Times New Roman"/>
      <w:b/>
      <w:bCs/>
      <w:kern w:val="32"/>
      <w:sz w:val="32"/>
      <w:szCs w:val="32"/>
    </w:rPr>
  </w:style>
  <w:style w:type="table" w:styleId="TableGrid">
    <w:name w:val="Table Grid"/>
    <w:basedOn w:val="TableNormal"/>
    <w:locked/>
    <w:rsid w:val="00F96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locked/>
    <w:rsid w:val="001B45C4"/>
    <w:pPr>
      <w:tabs>
        <w:tab w:val="center" w:pos="4680"/>
        <w:tab w:val="right" w:pos="9360"/>
      </w:tabs>
    </w:pPr>
  </w:style>
  <w:style w:type="character" w:customStyle="1" w:styleId="HeaderChar">
    <w:name w:val="Header Char"/>
    <w:link w:val="Header"/>
    <w:uiPriority w:val="99"/>
    <w:rsid w:val="001B45C4"/>
    <w:rPr>
      <w:sz w:val="24"/>
      <w:szCs w:val="24"/>
    </w:rPr>
  </w:style>
  <w:style w:type="character" w:styleId="CommentReference">
    <w:name w:val="annotation reference"/>
    <w:locked/>
    <w:rsid w:val="00CB7CA0"/>
    <w:rPr>
      <w:sz w:val="16"/>
      <w:szCs w:val="16"/>
    </w:rPr>
  </w:style>
  <w:style w:type="paragraph" w:styleId="CommentText">
    <w:name w:val="annotation text"/>
    <w:basedOn w:val="Normal"/>
    <w:link w:val="CommentTextChar"/>
    <w:uiPriority w:val="99"/>
    <w:locked/>
    <w:rsid w:val="00CB7CA0"/>
    <w:rPr>
      <w:sz w:val="20"/>
      <w:szCs w:val="20"/>
    </w:rPr>
  </w:style>
  <w:style w:type="character" w:customStyle="1" w:styleId="CommentTextChar">
    <w:name w:val="Comment Text Char"/>
    <w:basedOn w:val="DefaultParagraphFont"/>
    <w:link w:val="CommentText"/>
    <w:uiPriority w:val="99"/>
    <w:rsid w:val="00CB7CA0"/>
  </w:style>
  <w:style w:type="paragraph" w:styleId="CommentSubject">
    <w:name w:val="annotation subject"/>
    <w:basedOn w:val="CommentText"/>
    <w:next w:val="CommentText"/>
    <w:link w:val="CommentSubjectChar"/>
    <w:locked/>
    <w:rsid w:val="00CB7CA0"/>
    <w:rPr>
      <w:b/>
      <w:bCs/>
    </w:rPr>
  </w:style>
  <w:style w:type="character" w:customStyle="1" w:styleId="CommentSubjectChar">
    <w:name w:val="Comment Subject Char"/>
    <w:link w:val="CommentSubject"/>
    <w:rsid w:val="00CB7CA0"/>
    <w:rPr>
      <w:b/>
      <w:bCs/>
    </w:rPr>
  </w:style>
  <w:style w:type="paragraph" w:styleId="Revision">
    <w:name w:val="Revision"/>
    <w:hidden/>
    <w:uiPriority w:val="71"/>
    <w:unhideWhenUsed/>
    <w:rsid w:val="00CB7CA0"/>
    <w:rPr>
      <w:sz w:val="24"/>
      <w:szCs w:val="24"/>
    </w:rPr>
  </w:style>
  <w:style w:type="paragraph" w:styleId="BalloonText">
    <w:name w:val="Balloon Text"/>
    <w:basedOn w:val="Normal"/>
    <w:link w:val="BalloonTextChar"/>
    <w:locked/>
    <w:rsid w:val="00CB7CA0"/>
    <w:rPr>
      <w:rFonts w:ascii="Segoe UI" w:hAnsi="Segoe UI" w:cs="Segoe UI"/>
      <w:sz w:val="18"/>
      <w:szCs w:val="18"/>
    </w:rPr>
  </w:style>
  <w:style w:type="character" w:customStyle="1" w:styleId="BalloonTextChar">
    <w:name w:val="Balloon Text Char"/>
    <w:link w:val="BalloonText"/>
    <w:rsid w:val="00CB7CA0"/>
    <w:rPr>
      <w:rFonts w:ascii="Segoe UI" w:hAnsi="Segoe UI" w:cs="Segoe UI"/>
      <w:sz w:val="18"/>
      <w:szCs w:val="18"/>
    </w:rPr>
  </w:style>
  <w:style w:type="paragraph" w:styleId="ListParagraph">
    <w:name w:val="List Paragraph"/>
    <w:basedOn w:val="Normal"/>
    <w:uiPriority w:val="34"/>
    <w:qFormat/>
    <w:rsid w:val="000073F4"/>
    <w:pPr>
      <w:ind w:left="720"/>
      <w:contextualSpacing/>
    </w:pPr>
  </w:style>
  <w:style w:type="paragraph" w:styleId="BodyText">
    <w:name w:val="Body Text"/>
    <w:basedOn w:val="Normal"/>
    <w:link w:val="BodyTextChar"/>
    <w:uiPriority w:val="99"/>
    <w:locked/>
    <w:rsid w:val="000011C6"/>
    <w:pPr>
      <w:spacing w:line="480" w:lineRule="auto"/>
      <w:ind w:firstLine="720"/>
      <w:jc w:val="both"/>
    </w:pPr>
  </w:style>
  <w:style w:type="character" w:customStyle="1" w:styleId="BodyTextChar">
    <w:name w:val="Body Text Char"/>
    <w:link w:val="BodyText"/>
    <w:uiPriority w:val="99"/>
    <w:rsid w:val="000011C6"/>
    <w:rPr>
      <w:sz w:val="24"/>
      <w:szCs w:val="24"/>
    </w:rPr>
  </w:style>
  <w:style w:type="paragraph" w:styleId="EndnoteText">
    <w:name w:val="endnote text"/>
    <w:basedOn w:val="Normal"/>
    <w:link w:val="EndnoteTextChar"/>
    <w:locked/>
    <w:rsid w:val="0009605A"/>
  </w:style>
  <w:style w:type="character" w:customStyle="1" w:styleId="EndnoteTextChar">
    <w:name w:val="Endnote Text Char"/>
    <w:link w:val="EndnoteText"/>
    <w:rsid w:val="0009605A"/>
    <w:rPr>
      <w:sz w:val="24"/>
      <w:szCs w:val="24"/>
    </w:rPr>
  </w:style>
  <w:style w:type="character" w:styleId="EndnoteReference">
    <w:name w:val="endnote reference"/>
    <w:locked/>
    <w:rsid w:val="0009605A"/>
    <w:rPr>
      <w:vertAlign w:val="superscript"/>
    </w:rPr>
  </w:style>
  <w:style w:type="paragraph" w:styleId="Footer">
    <w:name w:val="footer"/>
    <w:basedOn w:val="Normal"/>
    <w:link w:val="FooterChar"/>
    <w:uiPriority w:val="99"/>
    <w:locked/>
    <w:rsid w:val="0021277A"/>
    <w:pPr>
      <w:tabs>
        <w:tab w:val="center" w:pos="4320"/>
        <w:tab w:val="right" w:pos="8640"/>
      </w:tabs>
      <w:ind w:firstLine="720"/>
    </w:pPr>
  </w:style>
  <w:style w:type="character" w:customStyle="1" w:styleId="FooterChar">
    <w:name w:val="Footer Char"/>
    <w:link w:val="Footer"/>
    <w:uiPriority w:val="99"/>
    <w:rsid w:val="0021277A"/>
    <w:rPr>
      <w:sz w:val="24"/>
      <w:szCs w:val="24"/>
    </w:rPr>
  </w:style>
  <w:style w:type="character" w:styleId="LineNumber">
    <w:name w:val="line number"/>
    <w:basedOn w:val="DefaultParagraphFont"/>
    <w:locked/>
    <w:rsid w:val="0021277A"/>
  </w:style>
  <w:style w:type="character" w:customStyle="1" w:styleId="Heading3Char">
    <w:name w:val="Heading 3 Char"/>
    <w:link w:val="Heading3"/>
    <w:rsid w:val="003F4BF3"/>
    <w:rPr>
      <w:rFonts w:ascii="Calibri Light" w:eastAsia="Times New Roman" w:hAnsi="Calibri Light" w:cs="Times New Roman"/>
      <w:color w:val="1F4D78"/>
      <w:sz w:val="24"/>
      <w:szCs w:val="24"/>
    </w:rPr>
  </w:style>
  <w:style w:type="character" w:styleId="Strong">
    <w:name w:val="Strong"/>
    <w:uiPriority w:val="22"/>
    <w:qFormat/>
    <w:locked/>
    <w:rsid w:val="00C02CB7"/>
    <w:rPr>
      <w:b/>
      <w:bCs/>
    </w:rPr>
  </w:style>
  <w:style w:type="paragraph" w:customStyle="1" w:styleId="p">
    <w:name w:val="p"/>
    <w:basedOn w:val="Normal"/>
    <w:rsid w:val="00900D10"/>
    <w:pPr>
      <w:spacing w:before="100" w:beforeAutospacing="1" w:after="100" w:afterAutospacing="1"/>
    </w:pPr>
  </w:style>
  <w:style w:type="paragraph" w:styleId="DocumentMap">
    <w:name w:val="Document Map"/>
    <w:basedOn w:val="Normal"/>
    <w:link w:val="DocumentMapChar"/>
    <w:locked/>
    <w:rsid w:val="00A56A2D"/>
  </w:style>
  <w:style w:type="character" w:customStyle="1" w:styleId="DocumentMapChar">
    <w:name w:val="Document Map Char"/>
    <w:link w:val="DocumentMap"/>
    <w:rsid w:val="00A56A2D"/>
    <w:rPr>
      <w:sz w:val="24"/>
      <w:szCs w:val="24"/>
    </w:rPr>
  </w:style>
  <w:style w:type="character" w:customStyle="1" w:styleId="Heading5Char">
    <w:name w:val="Heading 5 Char"/>
    <w:link w:val="Heading5"/>
    <w:semiHidden/>
    <w:rsid w:val="00025002"/>
    <w:rPr>
      <w:rFonts w:ascii="Calibri" w:eastAsia="Times New Roman" w:hAnsi="Calibri" w:cs="Times New Roman"/>
      <w:b/>
      <w:bCs/>
      <w:i/>
      <w:iCs/>
      <w:sz w:val="26"/>
      <w:szCs w:val="26"/>
    </w:rPr>
  </w:style>
  <w:style w:type="paragraph" w:customStyle="1" w:styleId="Body">
    <w:name w:val="Body"/>
    <w:rsid w:val="0002500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styleId="PageNumber">
    <w:name w:val="page number"/>
    <w:basedOn w:val="DefaultParagraphFont"/>
    <w:uiPriority w:val="99"/>
    <w:unhideWhenUsed/>
    <w:locked/>
    <w:rsid w:val="009F19E0"/>
  </w:style>
  <w:style w:type="paragraph" w:customStyle="1" w:styleId="paragraph">
    <w:name w:val="paragraph"/>
    <w:basedOn w:val="Normal"/>
    <w:rsid w:val="009F19E0"/>
    <w:pPr>
      <w:spacing w:before="100" w:beforeAutospacing="1" w:after="100" w:afterAutospacing="1"/>
    </w:pPr>
  </w:style>
  <w:style w:type="character" w:customStyle="1" w:styleId="UnresolvedMention1">
    <w:name w:val="Unresolved Mention1"/>
    <w:basedOn w:val="DefaultParagraphFont"/>
    <w:uiPriority w:val="99"/>
    <w:semiHidden/>
    <w:unhideWhenUsed/>
    <w:rsid w:val="004854F7"/>
    <w:rPr>
      <w:color w:val="605E5C"/>
      <w:shd w:val="clear" w:color="auto" w:fill="E1DFDD"/>
    </w:rPr>
  </w:style>
  <w:style w:type="character" w:customStyle="1" w:styleId="normaltextrun">
    <w:name w:val="normaltextrun"/>
    <w:basedOn w:val="DefaultParagraphFont"/>
    <w:rsid w:val="00FB40F1"/>
  </w:style>
  <w:style w:type="character" w:customStyle="1" w:styleId="eop">
    <w:name w:val="eop"/>
    <w:basedOn w:val="DefaultParagraphFont"/>
    <w:rsid w:val="00FB40F1"/>
  </w:style>
  <w:style w:type="character" w:customStyle="1" w:styleId="superscript">
    <w:name w:val="superscript"/>
    <w:basedOn w:val="DefaultParagraphFont"/>
    <w:rsid w:val="00C14A55"/>
  </w:style>
  <w:style w:type="character" w:customStyle="1" w:styleId="UnresolvedMention2">
    <w:name w:val="Unresolved Mention2"/>
    <w:basedOn w:val="DefaultParagraphFont"/>
    <w:uiPriority w:val="99"/>
    <w:semiHidden/>
    <w:unhideWhenUsed/>
    <w:rsid w:val="004F66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625">
      <w:bodyDiv w:val="1"/>
      <w:marLeft w:val="0"/>
      <w:marRight w:val="0"/>
      <w:marTop w:val="0"/>
      <w:marBottom w:val="0"/>
      <w:divBdr>
        <w:top w:val="none" w:sz="0" w:space="0" w:color="auto"/>
        <w:left w:val="none" w:sz="0" w:space="0" w:color="auto"/>
        <w:bottom w:val="none" w:sz="0" w:space="0" w:color="auto"/>
        <w:right w:val="none" w:sz="0" w:space="0" w:color="auto"/>
      </w:divBdr>
      <w:divsChild>
        <w:div w:id="401172627">
          <w:marLeft w:val="0"/>
          <w:marRight w:val="0"/>
          <w:marTop w:val="0"/>
          <w:marBottom w:val="0"/>
          <w:divBdr>
            <w:top w:val="none" w:sz="0" w:space="0" w:color="auto"/>
            <w:left w:val="none" w:sz="0" w:space="0" w:color="auto"/>
            <w:bottom w:val="none" w:sz="0" w:space="0" w:color="auto"/>
            <w:right w:val="none" w:sz="0" w:space="0" w:color="auto"/>
          </w:divBdr>
          <w:divsChild>
            <w:div w:id="1194995699">
              <w:marLeft w:val="0"/>
              <w:marRight w:val="0"/>
              <w:marTop w:val="0"/>
              <w:marBottom w:val="0"/>
              <w:divBdr>
                <w:top w:val="none" w:sz="0" w:space="0" w:color="auto"/>
                <w:left w:val="none" w:sz="0" w:space="0" w:color="auto"/>
                <w:bottom w:val="none" w:sz="0" w:space="0" w:color="auto"/>
                <w:right w:val="none" w:sz="0" w:space="0" w:color="auto"/>
              </w:divBdr>
              <w:divsChild>
                <w:div w:id="115915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2979">
      <w:bodyDiv w:val="1"/>
      <w:marLeft w:val="0"/>
      <w:marRight w:val="0"/>
      <w:marTop w:val="0"/>
      <w:marBottom w:val="0"/>
      <w:divBdr>
        <w:top w:val="none" w:sz="0" w:space="0" w:color="auto"/>
        <w:left w:val="none" w:sz="0" w:space="0" w:color="auto"/>
        <w:bottom w:val="none" w:sz="0" w:space="0" w:color="auto"/>
        <w:right w:val="none" w:sz="0" w:space="0" w:color="auto"/>
      </w:divBdr>
    </w:div>
    <w:div w:id="20209530">
      <w:bodyDiv w:val="1"/>
      <w:marLeft w:val="0"/>
      <w:marRight w:val="0"/>
      <w:marTop w:val="0"/>
      <w:marBottom w:val="0"/>
      <w:divBdr>
        <w:top w:val="none" w:sz="0" w:space="0" w:color="auto"/>
        <w:left w:val="none" w:sz="0" w:space="0" w:color="auto"/>
        <w:bottom w:val="none" w:sz="0" w:space="0" w:color="auto"/>
        <w:right w:val="none" w:sz="0" w:space="0" w:color="auto"/>
      </w:divBdr>
    </w:div>
    <w:div w:id="32388933">
      <w:bodyDiv w:val="1"/>
      <w:marLeft w:val="0"/>
      <w:marRight w:val="0"/>
      <w:marTop w:val="0"/>
      <w:marBottom w:val="0"/>
      <w:divBdr>
        <w:top w:val="none" w:sz="0" w:space="0" w:color="auto"/>
        <w:left w:val="none" w:sz="0" w:space="0" w:color="auto"/>
        <w:bottom w:val="none" w:sz="0" w:space="0" w:color="auto"/>
        <w:right w:val="none" w:sz="0" w:space="0" w:color="auto"/>
      </w:divBdr>
    </w:div>
    <w:div w:id="63111434">
      <w:bodyDiv w:val="1"/>
      <w:marLeft w:val="0"/>
      <w:marRight w:val="0"/>
      <w:marTop w:val="0"/>
      <w:marBottom w:val="0"/>
      <w:divBdr>
        <w:top w:val="none" w:sz="0" w:space="0" w:color="auto"/>
        <w:left w:val="none" w:sz="0" w:space="0" w:color="auto"/>
        <w:bottom w:val="none" w:sz="0" w:space="0" w:color="auto"/>
        <w:right w:val="none" w:sz="0" w:space="0" w:color="auto"/>
      </w:divBdr>
      <w:divsChild>
        <w:div w:id="824081178">
          <w:marLeft w:val="0"/>
          <w:marRight w:val="0"/>
          <w:marTop w:val="0"/>
          <w:marBottom w:val="0"/>
          <w:divBdr>
            <w:top w:val="none" w:sz="0" w:space="0" w:color="auto"/>
            <w:left w:val="none" w:sz="0" w:space="0" w:color="auto"/>
            <w:bottom w:val="none" w:sz="0" w:space="0" w:color="auto"/>
            <w:right w:val="none" w:sz="0" w:space="0" w:color="auto"/>
          </w:divBdr>
        </w:div>
        <w:div w:id="1255817000">
          <w:marLeft w:val="0"/>
          <w:marRight w:val="0"/>
          <w:marTop w:val="0"/>
          <w:marBottom w:val="0"/>
          <w:divBdr>
            <w:top w:val="none" w:sz="0" w:space="0" w:color="auto"/>
            <w:left w:val="none" w:sz="0" w:space="0" w:color="auto"/>
            <w:bottom w:val="none" w:sz="0" w:space="0" w:color="auto"/>
            <w:right w:val="none" w:sz="0" w:space="0" w:color="auto"/>
          </w:divBdr>
        </w:div>
      </w:divsChild>
    </w:div>
    <w:div w:id="77482376">
      <w:bodyDiv w:val="1"/>
      <w:marLeft w:val="0"/>
      <w:marRight w:val="0"/>
      <w:marTop w:val="0"/>
      <w:marBottom w:val="0"/>
      <w:divBdr>
        <w:top w:val="none" w:sz="0" w:space="0" w:color="auto"/>
        <w:left w:val="none" w:sz="0" w:space="0" w:color="auto"/>
        <w:bottom w:val="none" w:sz="0" w:space="0" w:color="auto"/>
        <w:right w:val="none" w:sz="0" w:space="0" w:color="auto"/>
      </w:divBdr>
    </w:div>
    <w:div w:id="81337523">
      <w:bodyDiv w:val="1"/>
      <w:marLeft w:val="0"/>
      <w:marRight w:val="0"/>
      <w:marTop w:val="0"/>
      <w:marBottom w:val="0"/>
      <w:divBdr>
        <w:top w:val="none" w:sz="0" w:space="0" w:color="auto"/>
        <w:left w:val="none" w:sz="0" w:space="0" w:color="auto"/>
        <w:bottom w:val="none" w:sz="0" w:space="0" w:color="auto"/>
        <w:right w:val="none" w:sz="0" w:space="0" w:color="auto"/>
      </w:divBdr>
    </w:div>
    <w:div w:id="141385594">
      <w:bodyDiv w:val="1"/>
      <w:marLeft w:val="0"/>
      <w:marRight w:val="0"/>
      <w:marTop w:val="0"/>
      <w:marBottom w:val="0"/>
      <w:divBdr>
        <w:top w:val="none" w:sz="0" w:space="0" w:color="auto"/>
        <w:left w:val="none" w:sz="0" w:space="0" w:color="auto"/>
        <w:bottom w:val="none" w:sz="0" w:space="0" w:color="auto"/>
        <w:right w:val="none" w:sz="0" w:space="0" w:color="auto"/>
      </w:divBdr>
    </w:div>
    <w:div w:id="141435966">
      <w:bodyDiv w:val="1"/>
      <w:marLeft w:val="0"/>
      <w:marRight w:val="0"/>
      <w:marTop w:val="0"/>
      <w:marBottom w:val="0"/>
      <w:divBdr>
        <w:top w:val="none" w:sz="0" w:space="0" w:color="auto"/>
        <w:left w:val="none" w:sz="0" w:space="0" w:color="auto"/>
        <w:bottom w:val="none" w:sz="0" w:space="0" w:color="auto"/>
        <w:right w:val="none" w:sz="0" w:space="0" w:color="auto"/>
      </w:divBdr>
      <w:divsChild>
        <w:div w:id="141312665">
          <w:marLeft w:val="0"/>
          <w:marRight w:val="0"/>
          <w:marTop w:val="0"/>
          <w:marBottom w:val="0"/>
          <w:divBdr>
            <w:top w:val="none" w:sz="0" w:space="0" w:color="auto"/>
            <w:left w:val="none" w:sz="0" w:space="0" w:color="auto"/>
            <w:bottom w:val="none" w:sz="0" w:space="0" w:color="auto"/>
            <w:right w:val="none" w:sz="0" w:space="0" w:color="auto"/>
          </w:divBdr>
          <w:divsChild>
            <w:div w:id="228735794">
              <w:marLeft w:val="0"/>
              <w:marRight w:val="0"/>
              <w:marTop w:val="0"/>
              <w:marBottom w:val="0"/>
              <w:divBdr>
                <w:top w:val="none" w:sz="0" w:space="0" w:color="auto"/>
                <w:left w:val="none" w:sz="0" w:space="0" w:color="auto"/>
                <w:bottom w:val="none" w:sz="0" w:space="0" w:color="auto"/>
                <w:right w:val="none" w:sz="0" w:space="0" w:color="auto"/>
              </w:divBdr>
              <w:divsChild>
                <w:div w:id="4976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1750">
      <w:bodyDiv w:val="1"/>
      <w:marLeft w:val="0"/>
      <w:marRight w:val="0"/>
      <w:marTop w:val="0"/>
      <w:marBottom w:val="0"/>
      <w:divBdr>
        <w:top w:val="none" w:sz="0" w:space="0" w:color="auto"/>
        <w:left w:val="none" w:sz="0" w:space="0" w:color="auto"/>
        <w:bottom w:val="none" w:sz="0" w:space="0" w:color="auto"/>
        <w:right w:val="none" w:sz="0" w:space="0" w:color="auto"/>
      </w:divBdr>
    </w:div>
    <w:div w:id="177550002">
      <w:bodyDiv w:val="1"/>
      <w:marLeft w:val="0"/>
      <w:marRight w:val="0"/>
      <w:marTop w:val="0"/>
      <w:marBottom w:val="0"/>
      <w:divBdr>
        <w:top w:val="none" w:sz="0" w:space="0" w:color="auto"/>
        <w:left w:val="none" w:sz="0" w:space="0" w:color="auto"/>
        <w:bottom w:val="none" w:sz="0" w:space="0" w:color="auto"/>
        <w:right w:val="none" w:sz="0" w:space="0" w:color="auto"/>
      </w:divBdr>
    </w:div>
    <w:div w:id="209340194">
      <w:bodyDiv w:val="1"/>
      <w:marLeft w:val="0"/>
      <w:marRight w:val="0"/>
      <w:marTop w:val="0"/>
      <w:marBottom w:val="0"/>
      <w:divBdr>
        <w:top w:val="none" w:sz="0" w:space="0" w:color="auto"/>
        <w:left w:val="none" w:sz="0" w:space="0" w:color="auto"/>
        <w:bottom w:val="none" w:sz="0" w:space="0" w:color="auto"/>
        <w:right w:val="none" w:sz="0" w:space="0" w:color="auto"/>
      </w:divBdr>
    </w:div>
    <w:div w:id="211231717">
      <w:bodyDiv w:val="1"/>
      <w:marLeft w:val="0"/>
      <w:marRight w:val="0"/>
      <w:marTop w:val="0"/>
      <w:marBottom w:val="0"/>
      <w:divBdr>
        <w:top w:val="none" w:sz="0" w:space="0" w:color="auto"/>
        <w:left w:val="none" w:sz="0" w:space="0" w:color="auto"/>
        <w:bottom w:val="none" w:sz="0" w:space="0" w:color="auto"/>
        <w:right w:val="none" w:sz="0" w:space="0" w:color="auto"/>
      </w:divBdr>
    </w:div>
    <w:div w:id="238684315">
      <w:bodyDiv w:val="1"/>
      <w:marLeft w:val="0"/>
      <w:marRight w:val="0"/>
      <w:marTop w:val="0"/>
      <w:marBottom w:val="0"/>
      <w:divBdr>
        <w:top w:val="none" w:sz="0" w:space="0" w:color="auto"/>
        <w:left w:val="none" w:sz="0" w:space="0" w:color="auto"/>
        <w:bottom w:val="none" w:sz="0" w:space="0" w:color="auto"/>
        <w:right w:val="none" w:sz="0" w:space="0" w:color="auto"/>
      </w:divBdr>
    </w:div>
    <w:div w:id="241792888">
      <w:bodyDiv w:val="1"/>
      <w:marLeft w:val="0"/>
      <w:marRight w:val="0"/>
      <w:marTop w:val="0"/>
      <w:marBottom w:val="0"/>
      <w:divBdr>
        <w:top w:val="none" w:sz="0" w:space="0" w:color="auto"/>
        <w:left w:val="none" w:sz="0" w:space="0" w:color="auto"/>
        <w:bottom w:val="none" w:sz="0" w:space="0" w:color="auto"/>
        <w:right w:val="none" w:sz="0" w:space="0" w:color="auto"/>
      </w:divBdr>
    </w:div>
    <w:div w:id="252983198">
      <w:bodyDiv w:val="1"/>
      <w:marLeft w:val="0"/>
      <w:marRight w:val="0"/>
      <w:marTop w:val="0"/>
      <w:marBottom w:val="0"/>
      <w:divBdr>
        <w:top w:val="none" w:sz="0" w:space="0" w:color="auto"/>
        <w:left w:val="none" w:sz="0" w:space="0" w:color="auto"/>
        <w:bottom w:val="none" w:sz="0" w:space="0" w:color="auto"/>
        <w:right w:val="none" w:sz="0" w:space="0" w:color="auto"/>
      </w:divBdr>
    </w:div>
    <w:div w:id="307828247">
      <w:bodyDiv w:val="1"/>
      <w:marLeft w:val="0"/>
      <w:marRight w:val="0"/>
      <w:marTop w:val="0"/>
      <w:marBottom w:val="0"/>
      <w:divBdr>
        <w:top w:val="none" w:sz="0" w:space="0" w:color="auto"/>
        <w:left w:val="none" w:sz="0" w:space="0" w:color="auto"/>
        <w:bottom w:val="none" w:sz="0" w:space="0" w:color="auto"/>
        <w:right w:val="none" w:sz="0" w:space="0" w:color="auto"/>
      </w:divBdr>
    </w:div>
    <w:div w:id="312490247">
      <w:bodyDiv w:val="1"/>
      <w:marLeft w:val="0"/>
      <w:marRight w:val="0"/>
      <w:marTop w:val="0"/>
      <w:marBottom w:val="0"/>
      <w:divBdr>
        <w:top w:val="none" w:sz="0" w:space="0" w:color="auto"/>
        <w:left w:val="none" w:sz="0" w:space="0" w:color="auto"/>
        <w:bottom w:val="none" w:sz="0" w:space="0" w:color="auto"/>
        <w:right w:val="none" w:sz="0" w:space="0" w:color="auto"/>
      </w:divBdr>
    </w:div>
    <w:div w:id="325866688">
      <w:bodyDiv w:val="1"/>
      <w:marLeft w:val="0"/>
      <w:marRight w:val="0"/>
      <w:marTop w:val="0"/>
      <w:marBottom w:val="0"/>
      <w:divBdr>
        <w:top w:val="none" w:sz="0" w:space="0" w:color="auto"/>
        <w:left w:val="none" w:sz="0" w:space="0" w:color="auto"/>
        <w:bottom w:val="none" w:sz="0" w:space="0" w:color="auto"/>
        <w:right w:val="none" w:sz="0" w:space="0" w:color="auto"/>
      </w:divBdr>
    </w:div>
    <w:div w:id="335572746">
      <w:bodyDiv w:val="1"/>
      <w:marLeft w:val="0"/>
      <w:marRight w:val="0"/>
      <w:marTop w:val="0"/>
      <w:marBottom w:val="0"/>
      <w:divBdr>
        <w:top w:val="none" w:sz="0" w:space="0" w:color="auto"/>
        <w:left w:val="none" w:sz="0" w:space="0" w:color="auto"/>
        <w:bottom w:val="none" w:sz="0" w:space="0" w:color="auto"/>
        <w:right w:val="none" w:sz="0" w:space="0" w:color="auto"/>
      </w:divBdr>
      <w:divsChild>
        <w:div w:id="2031255136">
          <w:marLeft w:val="0"/>
          <w:marRight w:val="0"/>
          <w:marTop w:val="0"/>
          <w:marBottom w:val="0"/>
          <w:divBdr>
            <w:top w:val="none" w:sz="0" w:space="0" w:color="auto"/>
            <w:left w:val="none" w:sz="0" w:space="0" w:color="auto"/>
            <w:bottom w:val="none" w:sz="0" w:space="0" w:color="auto"/>
            <w:right w:val="none" w:sz="0" w:space="0" w:color="auto"/>
          </w:divBdr>
          <w:divsChild>
            <w:div w:id="1876235619">
              <w:marLeft w:val="0"/>
              <w:marRight w:val="0"/>
              <w:marTop w:val="0"/>
              <w:marBottom w:val="0"/>
              <w:divBdr>
                <w:top w:val="none" w:sz="0" w:space="0" w:color="C0C0C0"/>
                <w:left w:val="none" w:sz="0" w:space="0" w:color="C0C0C0"/>
                <w:bottom w:val="none" w:sz="0" w:space="0" w:color="C0C0C0"/>
                <w:right w:val="none" w:sz="0" w:space="0" w:color="C0C0C0"/>
              </w:divBdr>
              <w:divsChild>
                <w:div w:id="1292898775">
                  <w:marLeft w:val="0"/>
                  <w:marRight w:val="0"/>
                  <w:marTop w:val="0"/>
                  <w:marBottom w:val="0"/>
                  <w:divBdr>
                    <w:top w:val="none" w:sz="0" w:space="0" w:color="auto"/>
                    <w:left w:val="none" w:sz="0" w:space="0" w:color="auto"/>
                    <w:bottom w:val="none" w:sz="0" w:space="0" w:color="auto"/>
                    <w:right w:val="none" w:sz="0" w:space="0" w:color="auto"/>
                  </w:divBdr>
                  <w:divsChild>
                    <w:div w:id="895892469">
                      <w:marLeft w:val="0"/>
                      <w:marRight w:val="0"/>
                      <w:marTop w:val="0"/>
                      <w:marBottom w:val="0"/>
                      <w:divBdr>
                        <w:top w:val="none" w:sz="0" w:space="0" w:color="auto"/>
                        <w:left w:val="none" w:sz="0" w:space="0" w:color="auto"/>
                        <w:bottom w:val="none" w:sz="0" w:space="0" w:color="auto"/>
                        <w:right w:val="none" w:sz="0" w:space="0" w:color="auto"/>
                      </w:divBdr>
                      <w:divsChild>
                        <w:div w:id="995230578">
                          <w:marLeft w:val="150"/>
                          <w:marRight w:val="150"/>
                          <w:marTop w:val="150"/>
                          <w:marBottom w:val="150"/>
                          <w:divBdr>
                            <w:top w:val="none" w:sz="0" w:space="0" w:color="auto"/>
                            <w:left w:val="none" w:sz="0" w:space="0" w:color="auto"/>
                            <w:bottom w:val="none" w:sz="0" w:space="0" w:color="auto"/>
                            <w:right w:val="none" w:sz="0" w:space="0" w:color="auto"/>
                          </w:divBdr>
                          <w:divsChild>
                            <w:div w:id="1393045659">
                              <w:marLeft w:val="0"/>
                              <w:marRight w:val="0"/>
                              <w:marTop w:val="0"/>
                              <w:marBottom w:val="0"/>
                              <w:divBdr>
                                <w:top w:val="none" w:sz="0" w:space="0" w:color="auto"/>
                                <w:left w:val="none" w:sz="0" w:space="0" w:color="auto"/>
                                <w:bottom w:val="none" w:sz="0" w:space="0" w:color="auto"/>
                                <w:right w:val="none" w:sz="0" w:space="0" w:color="auto"/>
                              </w:divBdr>
                              <w:divsChild>
                                <w:div w:id="197887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607639">
      <w:bodyDiv w:val="1"/>
      <w:marLeft w:val="0"/>
      <w:marRight w:val="0"/>
      <w:marTop w:val="0"/>
      <w:marBottom w:val="0"/>
      <w:divBdr>
        <w:top w:val="none" w:sz="0" w:space="0" w:color="auto"/>
        <w:left w:val="none" w:sz="0" w:space="0" w:color="auto"/>
        <w:bottom w:val="none" w:sz="0" w:space="0" w:color="auto"/>
        <w:right w:val="none" w:sz="0" w:space="0" w:color="auto"/>
      </w:divBdr>
    </w:div>
    <w:div w:id="356466189">
      <w:bodyDiv w:val="1"/>
      <w:marLeft w:val="0"/>
      <w:marRight w:val="0"/>
      <w:marTop w:val="0"/>
      <w:marBottom w:val="0"/>
      <w:divBdr>
        <w:top w:val="none" w:sz="0" w:space="0" w:color="auto"/>
        <w:left w:val="none" w:sz="0" w:space="0" w:color="auto"/>
        <w:bottom w:val="none" w:sz="0" w:space="0" w:color="auto"/>
        <w:right w:val="none" w:sz="0" w:space="0" w:color="auto"/>
      </w:divBdr>
      <w:divsChild>
        <w:div w:id="1797672539">
          <w:marLeft w:val="0"/>
          <w:marRight w:val="0"/>
          <w:marTop w:val="0"/>
          <w:marBottom w:val="0"/>
          <w:divBdr>
            <w:top w:val="none" w:sz="0" w:space="0" w:color="auto"/>
            <w:left w:val="none" w:sz="0" w:space="0" w:color="auto"/>
            <w:bottom w:val="none" w:sz="0" w:space="0" w:color="auto"/>
            <w:right w:val="none" w:sz="0" w:space="0" w:color="auto"/>
          </w:divBdr>
          <w:divsChild>
            <w:div w:id="1239441317">
              <w:marLeft w:val="0"/>
              <w:marRight w:val="0"/>
              <w:marTop w:val="0"/>
              <w:marBottom w:val="0"/>
              <w:divBdr>
                <w:top w:val="none" w:sz="0" w:space="0" w:color="auto"/>
                <w:left w:val="none" w:sz="0" w:space="0" w:color="auto"/>
                <w:bottom w:val="none" w:sz="0" w:space="0" w:color="auto"/>
                <w:right w:val="none" w:sz="0" w:space="0" w:color="auto"/>
              </w:divBdr>
              <w:divsChild>
                <w:div w:id="11196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62656">
      <w:bodyDiv w:val="1"/>
      <w:marLeft w:val="0"/>
      <w:marRight w:val="0"/>
      <w:marTop w:val="0"/>
      <w:marBottom w:val="0"/>
      <w:divBdr>
        <w:top w:val="none" w:sz="0" w:space="0" w:color="auto"/>
        <w:left w:val="none" w:sz="0" w:space="0" w:color="auto"/>
        <w:bottom w:val="none" w:sz="0" w:space="0" w:color="auto"/>
        <w:right w:val="none" w:sz="0" w:space="0" w:color="auto"/>
      </w:divBdr>
      <w:divsChild>
        <w:div w:id="1855412127">
          <w:marLeft w:val="0"/>
          <w:marRight w:val="0"/>
          <w:marTop w:val="0"/>
          <w:marBottom w:val="0"/>
          <w:divBdr>
            <w:top w:val="none" w:sz="0" w:space="0" w:color="auto"/>
            <w:left w:val="none" w:sz="0" w:space="0" w:color="auto"/>
            <w:bottom w:val="none" w:sz="0" w:space="0" w:color="auto"/>
            <w:right w:val="none" w:sz="0" w:space="0" w:color="auto"/>
          </w:divBdr>
          <w:divsChild>
            <w:div w:id="2050256196">
              <w:marLeft w:val="0"/>
              <w:marRight w:val="0"/>
              <w:marTop w:val="0"/>
              <w:marBottom w:val="0"/>
              <w:divBdr>
                <w:top w:val="none" w:sz="0" w:space="0" w:color="auto"/>
                <w:left w:val="none" w:sz="0" w:space="0" w:color="auto"/>
                <w:bottom w:val="none" w:sz="0" w:space="0" w:color="auto"/>
                <w:right w:val="none" w:sz="0" w:space="0" w:color="auto"/>
              </w:divBdr>
              <w:divsChild>
                <w:div w:id="816729807">
                  <w:marLeft w:val="0"/>
                  <w:marRight w:val="0"/>
                  <w:marTop w:val="0"/>
                  <w:marBottom w:val="0"/>
                  <w:divBdr>
                    <w:top w:val="none" w:sz="0" w:space="0" w:color="auto"/>
                    <w:left w:val="none" w:sz="0" w:space="0" w:color="auto"/>
                    <w:bottom w:val="none" w:sz="0" w:space="0" w:color="auto"/>
                    <w:right w:val="none" w:sz="0" w:space="0" w:color="auto"/>
                  </w:divBdr>
                  <w:divsChild>
                    <w:div w:id="18268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11140">
      <w:bodyDiv w:val="1"/>
      <w:marLeft w:val="0"/>
      <w:marRight w:val="0"/>
      <w:marTop w:val="0"/>
      <w:marBottom w:val="0"/>
      <w:divBdr>
        <w:top w:val="none" w:sz="0" w:space="0" w:color="auto"/>
        <w:left w:val="none" w:sz="0" w:space="0" w:color="auto"/>
        <w:bottom w:val="none" w:sz="0" w:space="0" w:color="auto"/>
        <w:right w:val="none" w:sz="0" w:space="0" w:color="auto"/>
      </w:divBdr>
    </w:div>
    <w:div w:id="408121096">
      <w:bodyDiv w:val="1"/>
      <w:marLeft w:val="0"/>
      <w:marRight w:val="0"/>
      <w:marTop w:val="0"/>
      <w:marBottom w:val="0"/>
      <w:divBdr>
        <w:top w:val="none" w:sz="0" w:space="0" w:color="auto"/>
        <w:left w:val="none" w:sz="0" w:space="0" w:color="auto"/>
        <w:bottom w:val="none" w:sz="0" w:space="0" w:color="auto"/>
        <w:right w:val="none" w:sz="0" w:space="0" w:color="auto"/>
      </w:divBdr>
    </w:div>
    <w:div w:id="411241214">
      <w:bodyDiv w:val="1"/>
      <w:marLeft w:val="0"/>
      <w:marRight w:val="0"/>
      <w:marTop w:val="0"/>
      <w:marBottom w:val="0"/>
      <w:divBdr>
        <w:top w:val="none" w:sz="0" w:space="0" w:color="auto"/>
        <w:left w:val="none" w:sz="0" w:space="0" w:color="auto"/>
        <w:bottom w:val="none" w:sz="0" w:space="0" w:color="auto"/>
        <w:right w:val="none" w:sz="0" w:space="0" w:color="auto"/>
      </w:divBdr>
    </w:div>
    <w:div w:id="421921756">
      <w:bodyDiv w:val="1"/>
      <w:marLeft w:val="0"/>
      <w:marRight w:val="0"/>
      <w:marTop w:val="0"/>
      <w:marBottom w:val="0"/>
      <w:divBdr>
        <w:top w:val="none" w:sz="0" w:space="0" w:color="auto"/>
        <w:left w:val="none" w:sz="0" w:space="0" w:color="auto"/>
        <w:bottom w:val="none" w:sz="0" w:space="0" w:color="auto"/>
        <w:right w:val="none" w:sz="0" w:space="0" w:color="auto"/>
      </w:divBdr>
      <w:divsChild>
        <w:div w:id="1338311811">
          <w:marLeft w:val="0"/>
          <w:marRight w:val="0"/>
          <w:marTop w:val="0"/>
          <w:marBottom w:val="0"/>
          <w:divBdr>
            <w:top w:val="none" w:sz="0" w:space="0" w:color="auto"/>
            <w:left w:val="none" w:sz="0" w:space="0" w:color="auto"/>
            <w:bottom w:val="none" w:sz="0" w:space="0" w:color="auto"/>
            <w:right w:val="none" w:sz="0" w:space="0" w:color="auto"/>
          </w:divBdr>
        </w:div>
      </w:divsChild>
    </w:div>
    <w:div w:id="470444281">
      <w:bodyDiv w:val="1"/>
      <w:marLeft w:val="0"/>
      <w:marRight w:val="0"/>
      <w:marTop w:val="0"/>
      <w:marBottom w:val="0"/>
      <w:divBdr>
        <w:top w:val="none" w:sz="0" w:space="0" w:color="auto"/>
        <w:left w:val="none" w:sz="0" w:space="0" w:color="auto"/>
        <w:bottom w:val="none" w:sz="0" w:space="0" w:color="auto"/>
        <w:right w:val="none" w:sz="0" w:space="0" w:color="auto"/>
      </w:divBdr>
    </w:div>
    <w:div w:id="495001885">
      <w:bodyDiv w:val="1"/>
      <w:marLeft w:val="0"/>
      <w:marRight w:val="0"/>
      <w:marTop w:val="0"/>
      <w:marBottom w:val="0"/>
      <w:divBdr>
        <w:top w:val="none" w:sz="0" w:space="0" w:color="auto"/>
        <w:left w:val="none" w:sz="0" w:space="0" w:color="auto"/>
        <w:bottom w:val="none" w:sz="0" w:space="0" w:color="auto"/>
        <w:right w:val="none" w:sz="0" w:space="0" w:color="auto"/>
      </w:divBdr>
      <w:divsChild>
        <w:div w:id="920942754">
          <w:marLeft w:val="0"/>
          <w:marRight w:val="0"/>
          <w:marTop w:val="0"/>
          <w:marBottom w:val="0"/>
          <w:divBdr>
            <w:top w:val="none" w:sz="0" w:space="0" w:color="auto"/>
            <w:left w:val="none" w:sz="0" w:space="0" w:color="auto"/>
            <w:bottom w:val="none" w:sz="0" w:space="0" w:color="auto"/>
            <w:right w:val="none" w:sz="0" w:space="0" w:color="auto"/>
          </w:divBdr>
          <w:divsChild>
            <w:div w:id="1541625413">
              <w:marLeft w:val="0"/>
              <w:marRight w:val="0"/>
              <w:marTop w:val="0"/>
              <w:marBottom w:val="0"/>
              <w:divBdr>
                <w:top w:val="none" w:sz="0" w:space="0" w:color="auto"/>
                <w:left w:val="none" w:sz="0" w:space="0" w:color="auto"/>
                <w:bottom w:val="none" w:sz="0" w:space="0" w:color="auto"/>
                <w:right w:val="none" w:sz="0" w:space="0" w:color="auto"/>
              </w:divBdr>
              <w:divsChild>
                <w:div w:id="205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585804">
      <w:bodyDiv w:val="1"/>
      <w:marLeft w:val="0"/>
      <w:marRight w:val="0"/>
      <w:marTop w:val="0"/>
      <w:marBottom w:val="0"/>
      <w:divBdr>
        <w:top w:val="none" w:sz="0" w:space="0" w:color="auto"/>
        <w:left w:val="none" w:sz="0" w:space="0" w:color="auto"/>
        <w:bottom w:val="none" w:sz="0" w:space="0" w:color="auto"/>
        <w:right w:val="none" w:sz="0" w:space="0" w:color="auto"/>
      </w:divBdr>
    </w:div>
    <w:div w:id="506991497">
      <w:bodyDiv w:val="1"/>
      <w:marLeft w:val="0"/>
      <w:marRight w:val="0"/>
      <w:marTop w:val="0"/>
      <w:marBottom w:val="0"/>
      <w:divBdr>
        <w:top w:val="none" w:sz="0" w:space="0" w:color="auto"/>
        <w:left w:val="none" w:sz="0" w:space="0" w:color="auto"/>
        <w:bottom w:val="none" w:sz="0" w:space="0" w:color="auto"/>
        <w:right w:val="none" w:sz="0" w:space="0" w:color="auto"/>
      </w:divBdr>
    </w:div>
    <w:div w:id="508108695">
      <w:bodyDiv w:val="1"/>
      <w:marLeft w:val="0"/>
      <w:marRight w:val="0"/>
      <w:marTop w:val="0"/>
      <w:marBottom w:val="0"/>
      <w:divBdr>
        <w:top w:val="none" w:sz="0" w:space="0" w:color="auto"/>
        <w:left w:val="none" w:sz="0" w:space="0" w:color="auto"/>
        <w:bottom w:val="none" w:sz="0" w:space="0" w:color="auto"/>
        <w:right w:val="none" w:sz="0" w:space="0" w:color="auto"/>
      </w:divBdr>
      <w:divsChild>
        <w:div w:id="1414666606">
          <w:marLeft w:val="0"/>
          <w:marRight w:val="0"/>
          <w:marTop w:val="0"/>
          <w:marBottom w:val="0"/>
          <w:divBdr>
            <w:top w:val="none" w:sz="0" w:space="0" w:color="auto"/>
            <w:left w:val="none" w:sz="0" w:space="0" w:color="auto"/>
            <w:bottom w:val="none" w:sz="0" w:space="0" w:color="auto"/>
            <w:right w:val="none" w:sz="0" w:space="0" w:color="auto"/>
          </w:divBdr>
          <w:divsChild>
            <w:div w:id="188959768">
              <w:marLeft w:val="0"/>
              <w:marRight w:val="0"/>
              <w:marTop w:val="0"/>
              <w:marBottom w:val="0"/>
              <w:divBdr>
                <w:top w:val="none" w:sz="0" w:space="0" w:color="auto"/>
                <w:left w:val="none" w:sz="0" w:space="0" w:color="auto"/>
                <w:bottom w:val="none" w:sz="0" w:space="0" w:color="auto"/>
                <w:right w:val="none" w:sz="0" w:space="0" w:color="auto"/>
              </w:divBdr>
              <w:divsChild>
                <w:div w:id="1008556535">
                  <w:marLeft w:val="0"/>
                  <w:marRight w:val="0"/>
                  <w:marTop w:val="0"/>
                  <w:marBottom w:val="0"/>
                  <w:divBdr>
                    <w:top w:val="none" w:sz="0" w:space="0" w:color="auto"/>
                    <w:left w:val="none" w:sz="0" w:space="0" w:color="auto"/>
                    <w:bottom w:val="none" w:sz="0" w:space="0" w:color="auto"/>
                    <w:right w:val="none" w:sz="0" w:space="0" w:color="auto"/>
                  </w:divBdr>
                  <w:divsChild>
                    <w:div w:id="4289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352191">
      <w:bodyDiv w:val="1"/>
      <w:marLeft w:val="0"/>
      <w:marRight w:val="0"/>
      <w:marTop w:val="0"/>
      <w:marBottom w:val="0"/>
      <w:divBdr>
        <w:top w:val="none" w:sz="0" w:space="0" w:color="auto"/>
        <w:left w:val="none" w:sz="0" w:space="0" w:color="auto"/>
        <w:bottom w:val="none" w:sz="0" w:space="0" w:color="auto"/>
        <w:right w:val="none" w:sz="0" w:space="0" w:color="auto"/>
      </w:divBdr>
      <w:divsChild>
        <w:div w:id="1212498576">
          <w:marLeft w:val="0"/>
          <w:marRight w:val="30"/>
          <w:marTop w:val="0"/>
          <w:marBottom w:val="0"/>
          <w:divBdr>
            <w:top w:val="none" w:sz="0" w:space="0" w:color="auto"/>
            <w:left w:val="none" w:sz="0" w:space="0" w:color="auto"/>
            <w:bottom w:val="none" w:sz="0" w:space="0" w:color="auto"/>
            <w:right w:val="none" w:sz="0" w:space="0" w:color="auto"/>
          </w:divBdr>
        </w:div>
      </w:divsChild>
    </w:div>
    <w:div w:id="551112625">
      <w:bodyDiv w:val="1"/>
      <w:marLeft w:val="0"/>
      <w:marRight w:val="0"/>
      <w:marTop w:val="0"/>
      <w:marBottom w:val="0"/>
      <w:divBdr>
        <w:top w:val="none" w:sz="0" w:space="0" w:color="auto"/>
        <w:left w:val="none" w:sz="0" w:space="0" w:color="auto"/>
        <w:bottom w:val="none" w:sz="0" w:space="0" w:color="auto"/>
        <w:right w:val="none" w:sz="0" w:space="0" w:color="auto"/>
      </w:divBdr>
    </w:div>
    <w:div w:id="594365539">
      <w:bodyDiv w:val="1"/>
      <w:marLeft w:val="0"/>
      <w:marRight w:val="0"/>
      <w:marTop w:val="0"/>
      <w:marBottom w:val="0"/>
      <w:divBdr>
        <w:top w:val="none" w:sz="0" w:space="0" w:color="auto"/>
        <w:left w:val="none" w:sz="0" w:space="0" w:color="auto"/>
        <w:bottom w:val="none" w:sz="0" w:space="0" w:color="auto"/>
        <w:right w:val="none" w:sz="0" w:space="0" w:color="auto"/>
      </w:divBdr>
      <w:divsChild>
        <w:div w:id="424809224">
          <w:marLeft w:val="0"/>
          <w:marRight w:val="0"/>
          <w:marTop w:val="0"/>
          <w:marBottom w:val="0"/>
          <w:divBdr>
            <w:top w:val="none" w:sz="0" w:space="0" w:color="auto"/>
            <w:left w:val="none" w:sz="0" w:space="0" w:color="auto"/>
            <w:bottom w:val="none" w:sz="0" w:space="0" w:color="auto"/>
            <w:right w:val="none" w:sz="0" w:space="0" w:color="auto"/>
          </w:divBdr>
          <w:divsChild>
            <w:div w:id="22249385">
              <w:marLeft w:val="0"/>
              <w:marRight w:val="0"/>
              <w:marTop w:val="0"/>
              <w:marBottom w:val="0"/>
              <w:divBdr>
                <w:top w:val="none" w:sz="0" w:space="0" w:color="auto"/>
                <w:left w:val="none" w:sz="0" w:space="0" w:color="auto"/>
                <w:bottom w:val="none" w:sz="0" w:space="0" w:color="auto"/>
                <w:right w:val="none" w:sz="0" w:space="0" w:color="auto"/>
              </w:divBdr>
              <w:divsChild>
                <w:div w:id="11638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51554">
      <w:bodyDiv w:val="1"/>
      <w:marLeft w:val="0"/>
      <w:marRight w:val="0"/>
      <w:marTop w:val="0"/>
      <w:marBottom w:val="0"/>
      <w:divBdr>
        <w:top w:val="none" w:sz="0" w:space="0" w:color="auto"/>
        <w:left w:val="none" w:sz="0" w:space="0" w:color="auto"/>
        <w:bottom w:val="none" w:sz="0" w:space="0" w:color="auto"/>
        <w:right w:val="none" w:sz="0" w:space="0" w:color="auto"/>
      </w:divBdr>
    </w:div>
    <w:div w:id="622351229">
      <w:bodyDiv w:val="1"/>
      <w:marLeft w:val="0"/>
      <w:marRight w:val="0"/>
      <w:marTop w:val="0"/>
      <w:marBottom w:val="0"/>
      <w:divBdr>
        <w:top w:val="none" w:sz="0" w:space="0" w:color="auto"/>
        <w:left w:val="none" w:sz="0" w:space="0" w:color="auto"/>
        <w:bottom w:val="none" w:sz="0" w:space="0" w:color="auto"/>
        <w:right w:val="none" w:sz="0" w:space="0" w:color="auto"/>
      </w:divBdr>
    </w:div>
    <w:div w:id="629944901">
      <w:bodyDiv w:val="1"/>
      <w:marLeft w:val="0"/>
      <w:marRight w:val="0"/>
      <w:marTop w:val="0"/>
      <w:marBottom w:val="0"/>
      <w:divBdr>
        <w:top w:val="none" w:sz="0" w:space="0" w:color="auto"/>
        <w:left w:val="none" w:sz="0" w:space="0" w:color="auto"/>
        <w:bottom w:val="none" w:sz="0" w:space="0" w:color="auto"/>
        <w:right w:val="none" w:sz="0" w:space="0" w:color="auto"/>
      </w:divBdr>
      <w:divsChild>
        <w:div w:id="2104953978">
          <w:marLeft w:val="0"/>
          <w:marRight w:val="0"/>
          <w:marTop w:val="0"/>
          <w:marBottom w:val="0"/>
          <w:divBdr>
            <w:top w:val="none" w:sz="0" w:space="0" w:color="auto"/>
            <w:left w:val="none" w:sz="0" w:space="0" w:color="auto"/>
            <w:bottom w:val="none" w:sz="0" w:space="0" w:color="auto"/>
            <w:right w:val="none" w:sz="0" w:space="0" w:color="auto"/>
          </w:divBdr>
          <w:divsChild>
            <w:div w:id="1612282989">
              <w:marLeft w:val="0"/>
              <w:marRight w:val="0"/>
              <w:marTop w:val="0"/>
              <w:marBottom w:val="0"/>
              <w:divBdr>
                <w:top w:val="none" w:sz="0" w:space="0" w:color="auto"/>
                <w:left w:val="none" w:sz="0" w:space="0" w:color="auto"/>
                <w:bottom w:val="none" w:sz="0" w:space="0" w:color="auto"/>
                <w:right w:val="none" w:sz="0" w:space="0" w:color="auto"/>
              </w:divBdr>
              <w:divsChild>
                <w:div w:id="1904096806">
                  <w:marLeft w:val="0"/>
                  <w:marRight w:val="0"/>
                  <w:marTop w:val="0"/>
                  <w:marBottom w:val="0"/>
                  <w:divBdr>
                    <w:top w:val="none" w:sz="0" w:space="0" w:color="auto"/>
                    <w:left w:val="none" w:sz="0" w:space="0" w:color="auto"/>
                    <w:bottom w:val="none" w:sz="0" w:space="0" w:color="auto"/>
                    <w:right w:val="none" w:sz="0" w:space="0" w:color="auto"/>
                  </w:divBdr>
                  <w:divsChild>
                    <w:div w:id="311523022">
                      <w:marLeft w:val="0"/>
                      <w:marRight w:val="0"/>
                      <w:marTop w:val="0"/>
                      <w:marBottom w:val="0"/>
                      <w:divBdr>
                        <w:top w:val="none" w:sz="0" w:space="0" w:color="auto"/>
                        <w:left w:val="none" w:sz="0" w:space="0" w:color="auto"/>
                        <w:bottom w:val="none" w:sz="0" w:space="0" w:color="auto"/>
                        <w:right w:val="none" w:sz="0" w:space="0" w:color="auto"/>
                      </w:divBdr>
                      <w:divsChild>
                        <w:div w:id="346754703">
                          <w:marLeft w:val="0"/>
                          <w:marRight w:val="0"/>
                          <w:marTop w:val="0"/>
                          <w:marBottom w:val="0"/>
                          <w:divBdr>
                            <w:top w:val="none" w:sz="0" w:space="0" w:color="auto"/>
                            <w:left w:val="none" w:sz="0" w:space="0" w:color="auto"/>
                            <w:bottom w:val="none" w:sz="0" w:space="0" w:color="auto"/>
                            <w:right w:val="none" w:sz="0" w:space="0" w:color="auto"/>
                          </w:divBdr>
                          <w:divsChild>
                            <w:div w:id="2039233944">
                              <w:marLeft w:val="0"/>
                              <w:marRight w:val="0"/>
                              <w:marTop w:val="0"/>
                              <w:marBottom w:val="0"/>
                              <w:divBdr>
                                <w:top w:val="none" w:sz="0" w:space="0" w:color="auto"/>
                                <w:left w:val="none" w:sz="0" w:space="0" w:color="auto"/>
                                <w:bottom w:val="none" w:sz="0" w:space="0" w:color="auto"/>
                                <w:right w:val="none" w:sz="0" w:space="0" w:color="auto"/>
                              </w:divBdr>
                              <w:divsChild>
                                <w:div w:id="1251086657">
                                  <w:marLeft w:val="0"/>
                                  <w:marRight w:val="0"/>
                                  <w:marTop w:val="0"/>
                                  <w:marBottom w:val="0"/>
                                  <w:divBdr>
                                    <w:top w:val="none" w:sz="0" w:space="0" w:color="auto"/>
                                    <w:left w:val="none" w:sz="0" w:space="0" w:color="auto"/>
                                    <w:bottom w:val="none" w:sz="0" w:space="0" w:color="auto"/>
                                    <w:right w:val="none" w:sz="0" w:space="0" w:color="auto"/>
                                  </w:divBdr>
                                  <w:divsChild>
                                    <w:div w:id="602080111">
                                      <w:marLeft w:val="0"/>
                                      <w:marRight w:val="0"/>
                                      <w:marTop w:val="0"/>
                                      <w:marBottom w:val="0"/>
                                      <w:divBdr>
                                        <w:top w:val="none" w:sz="0" w:space="0" w:color="auto"/>
                                        <w:left w:val="none" w:sz="0" w:space="0" w:color="auto"/>
                                        <w:bottom w:val="none" w:sz="0" w:space="0" w:color="auto"/>
                                        <w:right w:val="none" w:sz="0" w:space="0" w:color="auto"/>
                                      </w:divBdr>
                                      <w:divsChild>
                                        <w:div w:id="1776514884">
                                          <w:marLeft w:val="0"/>
                                          <w:marRight w:val="0"/>
                                          <w:marTop w:val="0"/>
                                          <w:marBottom w:val="0"/>
                                          <w:divBdr>
                                            <w:top w:val="none" w:sz="0" w:space="0" w:color="auto"/>
                                            <w:left w:val="none" w:sz="0" w:space="0" w:color="auto"/>
                                            <w:bottom w:val="none" w:sz="0" w:space="0" w:color="auto"/>
                                            <w:right w:val="none" w:sz="0" w:space="0" w:color="auto"/>
                                          </w:divBdr>
                                          <w:divsChild>
                                            <w:div w:id="1297446126">
                                              <w:marLeft w:val="0"/>
                                              <w:marRight w:val="0"/>
                                              <w:marTop w:val="0"/>
                                              <w:marBottom w:val="0"/>
                                              <w:divBdr>
                                                <w:top w:val="none" w:sz="0" w:space="0" w:color="auto"/>
                                                <w:left w:val="none" w:sz="0" w:space="0" w:color="auto"/>
                                                <w:bottom w:val="none" w:sz="0" w:space="0" w:color="auto"/>
                                                <w:right w:val="none" w:sz="0" w:space="0" w:color="auto"/>
                                              </w:divBdr>
                                              <w:divsChild>
                                                <w:div w:id="686639044">
                                                  <w:marLeft w:val="0"/>
                                                  <w:marRight w:val="0"/>
                                                  <w:marTop w:val="0"/>
                                                  <w:marBottom w:val="0"/>
                                                  <w:divBdr>
                                                    <w:top w:val="none" w:sz="0" w:space="0" w:color="auto"/>
                                                    <w:left w:val="none" w:sz="0" w:space="0" w:color="auto"/>
                                                    <w:bottom w:val="none" w:sz="0" w:space="0" w:color="auto"/>
                                                    <w:right w:val="none" w:sz="0" w:space="0" w:color="auto"/>
                                                  </w:divBdr>
                                                  <w:divsChild>
                                                    <w:div w:id="633483942">
                                                      <w:marLeft w:val="0"/>
                                                      <w:marRight w:val="0"/>
                                                      <w:marTop w:val="0"/>
                                                      <w:marBottom w:val="0"/>
                                                      <w:divBdr>
                                                        <w:top w:val="none" w:sz="0" w:space="0" w:color="auto"/>
                                                        <w:left w:val="none" w:sz="0" w:space="0" w:color="auto"/>
                                                        <w:bottom w:val="none" w:sz="0" w:space="0" w:color="auto"/>
                                                        <w:right w:val="none" w:sz="0" w:space="0" w:color="auto"/>
                                                      </w:divBdr>
                                                      <w:divsChild>
                                                        <w:div w:id="746072518">
                                                          <w:marLeft w:val="0"/>
                                                          <w:marRight w:val="0"/>
                                                          <w:marTop w:val="0"/>
                                                          <w:marBottom w:val="0"/>
                                                          <w:divBdr>
                                                            <w:top w:val="none" w:sz="0" w:space="0" w:color="auto"/>
                                                            <w:left w:val="none" w:sz="0" w:space="0" w:color="auto"/>
                                                            <w:bottom w:val="none" w:sz="0" w:space="0" w:color="auto"/>
                                                            <w:right w:val="none" w:sz="0" w:space="0" w:color="auto"/>
                                                          </w:divBdr>
                                                          <w:divsChild>
                                                            <w:div w:id="683820788">
                                                              <w:marLeft w:val="0"/>
                                                              <w:marRight w:val="0"/>
                                                              <w:marTop w:val="0"/>
                                                              <w:marBottom w:val="0"/>
                                                              <w:divBdr>
                                                                <w:top w:val="none" w:sz="0" w:space="0" w:color="auto"/>
                                                                <w:left w:val="none" w:sz="0" w:space="0" w:color="auto"/>
                                                                <w:bottom w:val="none" w:sz="0" w:space="0" w:color="auto"/>
                                                                <w:right w:val="none" w:sz="0" w:space="0" w:color="auto"/>
                                                              </w:divBdr>
                                                              <w:divsChild>
                                                                <w:div w:id="766584519">
                                                                  <w:marLeft w:val="0"/>
                                                                  <w:marRight w:val="0"/>
                                                                  <w:marTop w:val="0"/>
                                                                  <w:marBottom w:val="0"/>
                                                                  <w:divBdr>
                                                                    <w:top w:val="none" w:sz="0" w:space="0" w:color="auto"/>
                                                                    <w:left w:val="none" w:sz="0" w:space="0" w:color="auto"/>
                                                                    <w:bottom w:val="none" w:sz="0" w:space="0" w:color="auto"/>
                                                                    <w:right w:val="none" w:sz="0" w:space="0" w:color="auto"/>
                                                                  </w:divBdr>
                                                                  <w:divsChild>
                                                                    <w:div w:id="341784321">
                                                                      <w:marLeft w:val="0"/>
                                                                      <w:marRight w:val="0"/>
                                                                      <w:marTop w:val="0"/>
                                                                      <w:marBottom w:val="0"/>
                                                                      <w:divBdr>
                                                                        <w:top w:val="none" w:sz="0" w:space="0" w:color="auto"/>
                                                                        <w:left w:val="none" w:sz="0" w:space="0" w:color="auto"/>
                                                                        <w:bottom w:val="none" w:sz="0" w:space="0" w:color="auto"/>
                                                                        <w:right w:val="none" w:sz="0" w:space="0" w:color="auto"/>
                                                                      </w:divBdr>
                                                                      <w:divsChild>
                                                                        <w:div w:id="13844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866187">
      <w:bodyDiv w:val="1"/>
      <w:marLeft w:val="0"/>
      <w:marRight w:val="0"/>
      <w:marTop w:val="0"/>
      <w:marBottom w:val="0"/>
      <w:divBdr>
        <w:top w:val="none" w:sz="0" w:space="0" w:color="auto"/>
        <w:left w:val="none" w:sz="0" w:space="0" w:color="auto"/>
        <w:bottom w:val="none" w:sz="0" w:space="0" w:color="auto"/>
        <w:right w:val="none" w:sz="0" w:space="0" w:color="auto"/>
      </w:divBdr>
    </w:div>
    <w:div w:id="679163738">
      <w:bodyDiv w:val="1"/>
      <w:marLeft w:val="0"/>
      <w:marRight w:val="0"/>
      <w:marTop w:val="0"/>
      <w:marBottom w:val="0"/>
      <w:divBdr>
        <w:top w:val="none" w:sz="0" w:space="0" w:color="auto"/>
        <w:left w:val="none" w:sz="0" w:space="0" w:color="auto"/>
        <w:bottom w:val="none" w:sz="0" w:space="0" w:color="auto"/>
        <w:right w:val="none" w:sz="0" w:space="0" w:color="auto"/>
      </w:divBdr>
    </w:div>
    <w:div w:id="703869907">
      <w:bodyDiv w:val="1"/>
      <w:marLeft w:val="0"/>
      <w:marRight w:val="0"/>
      <w:marTop w:val="0"/>
      <w:marBottom w:val="0"/>
      <w:divBdr>
        <w:top w:val="none" w:sz="0" w:space="0" w:color="auto"/>
        <w:left w:val="none" w:sz="0" w:space="0" w:color="auto"/>
        <w:bottom w:val="none" w:sz="0" w:space="0" w:color="auto"/>
        <w:right w:val="none" w:sz="0" w:space="0" w:color="auto"/>
      </w:divBdr>
    </w:div>
    <w:div w:id="712770481">
      <w:bodyDiv w:val="1"/>
      <w:marLeft w:val="0"/>
      <w:marRight w:val="0"/>
      <w:marTop w:val="0"/>
      <w:marBottom w:val="0"/>
      <w:divBdr>
        <w:top w:val="none" w:sz="0" w:space="0" w:color="auto"/>
        <w:left w:val="none" w:sz="0" w:space="0" w:color="auto"/>
        <w:bottom w:val="none" w:sz="0" w:space="0" w:color="auto"/>
        <w:right w:val="none" w:sz="0" w:space="0" w:color="auto"/>
      </w:divBdr>
    </w:div>
    <w:div w:id="742219092">
      <w:bodyDiv w:val="1"/>
      <w:marLeft w:val="0"/>
      <w:marRight w:val="0"/>
      <w:marTop w:val="0"/>
      <w:marBottom w:val="0"/>
      <w:divBdr>
        <w:top w:val="none" w:sz="0" w:space="0" w:color="auto"/>
        <w:left w:val="none" w:sz="0" w:space="0" w:color="auto"/>
        <w:bottom w:val="none" w:sz="0" w:space="0" w:color="auto"/>
        <w:right w:val="none" w:sz="0" w:space="0" w:color="auto"/>
      </w:divBdr>
      <w:divsChild>
        <w:div w:id="1364597663">
          <w:marLeft w:val="0"/>
          <w:marRight w:val="0"/>
          <w:marTop w:val="0"/>
          <w:marBottom w:val="0"/>
          <w:divBdr>
            <w:top w:val="none" w:sz="0" w:space="0" w:color="auto"/>
            <w:left w:val="none" w:sz="0" w:space="0" w:color="auto"/>
            <w:bottom w:val="none" w:sz="0" w:space="0" w:color="auto"/>
            <w:right w:val="none" w:sz="0" w:space="0" w:color="auto"/>
          </w:divBdr>
          <w:divsChild>
            <w:div w:id="961573414">
              <w:marLeft w:val="0"/>
              <w:marRight w:val="0"/>
              <w:marTop w:val="0"/>
              <w:marBottom w:val="0"/>
              <w:divBdr>
                <w:top w:val="none" w:sz="0" w:space="0" w:color="auto"/>
                <w:left w:val="none" w:sz="0" w:space="0" w:color="auto"/>
                <w:bottom w:val="none" w:sz="0" w:space="0" w:color="auto"/>
                <w:right w:val="none" w:sz="0" w:space="0" w:color="auto"/>
              </w:divBdr>
              <w:divsChild>
                <w:div w:id="399449285">
                  <w:marLeft w:val="0"/>
                  <w:marRight w:val="0"/>
                  <w:marTop w:val="0"/>
                  <w:marBottom w:val="0"/>
                  <w:divBdr>
                    <w:top w:val="none" w:sz="0" w:space="0" w:color="auto"/>
                    <w:left w:val="none" w:sz="0" w:space="0" w:color="auto"/>
                    <w:bottom w:val="none" w:sz="0" w:space="0" w:color="auto"/>
                    <w:right w:val="none" w:sz="0" w:space="0" w:color="auto"/>
                  </w:divBdr>
                  <w:divsChild>
                    <w:div w:id="9004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743584">
      <w:bodyDiv w:val="1"/>
      <w:marLeft w:val="0"/>
      <w:marRight w:val="0"/>
      <w:marTop w:val="0"/>
      <w:marBottom w:val="0"/>
      <w:divBdr>
        <w:top w:val="none" w:sz="0" w:space="0" w:color="auto"/>
        <w:left w:val="none" w:sz="0" w:space="0" w:color="auto"/>
        <w:bottom w:val="none" w:sz="0" w:space="0" w:color="auto"/>
        <w:right w:val="none" w:sz="0" w:space="0" w:color="auto"/>
      </w:divBdr>
    </w:div>
    <w:div w:id="759715206">
      <w:bodyDiv w:val="1"/>
      <w:marLeft w:val="0"/>
      <w:marRight w:val="0"/>
      <w:marTop w:val="0"/>
      <w:marBottom w:val="0"/>
      <w:divBdr>
        <w:top w:val="none" w:sz="0" w:space="0" w:color="auto"/>
        <w:left w:val="none" w:sz="0" w:space="0" w:color="auto"/>
        <w:bottom w:val="none" w:sz="0" w:space="0" w:color="auto"/>
        <w:right w:val="none" w:sz="0" w:space="0" w:color="auto"/>
      </w:divBdr>
    </w:div>
    <w:div w:id="786778877">
      <w:bodyDiv w:val="1"/>
      <w:marLeft w:val="0"/>
      <w:marRight w:val="0"/>
      <w:marTop w:val="0"/>
      <w:marBottom w:val="0"/>
      <w:divBdr>
        <w:top w:val="none" w:sz="0" w:space="0" w:color="auto"/>
        <w:left w:val="none" w:sz="0" w:space="0" w:color="auto"/>
        <w:bottom w:val="none" w:sz="0" w:space="0" w:color="auto"/>
        <w:right w:val="none" w:sz="0" w:space="0" w:color="auto"/>
      </w:divBdr>
      <w:divsChild>
        <w:div w:id="398096006">
          <w:marLeft w:val="0"/>
          <w:marRight w:val="0"/>
          <w:marTop w:val="0"/>
          <w:marBottom w:val="0"/>
          <w:divBdr>
            <w:top w:val="none" w:sz="0" w:space="0" w:color="auto"/>
            <w:left w:val="none" w:sz="0" w:space="0" w:color="auto"/>
            <w:bottom w:val="none" w:sz="0" w:space="0" w:color="auto"/>
            <w:right w:val="none" w:sz="0" w:space="0" w:color="auto"/>
          </w:divBdr>
          <w:divsChild>
            <w:div w:id="336690088">
              <w:marLeft w:val="0"/>
              <w:marRight w:val="0"/>
              <w:marTop w:val="0"/>
              <w:marBottom w:val="0"/>
              <w:divBdr>
                <w:top w:val="none" w:sz="0" w:space="0" w:color="auto"/>
                <w:left w:val="none" w:sz="0" w:space="0" w:color="auto"/>
                <w:bottom w:val="none" w:sz="0" w:space="0" w:color="auto"/>
                <w:right w:val="none" w:sz="0" w:space="0" w:color="auto"/>
              </w:divBdr>
              <w:divsChild>
                <w:div w:id="14692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935946">
      <w:bodyDiv w:val="1"/>
      <w:marLeft w:val="0"/>
      <w:marRight w:val="0"/>
      <w:marTop w:val="0"/>
      <w:marBottom w:val="0"/>
      <w:divBdr>
        <w:top w:val="none" w:sz="0" w:space="0" w:color="auto"/>
        <w:left w:val="none" w:sz="0" w:space="0" w:color="auto"/>
        <w:bottom w:val="none" w:sz="0" w:space="0" w:color="auto"/>
        <w:right w:val="none" w:sz="0" w:space="0" w:color="auto"/>
      </w:divBdr>
    </w:div>
    <w:div w:id="806438987">
      <w:bodyDiv w:val="1"/>
      <w:marLeft w:val="0"/>
      <w:marRight w:val="0"/>
      <w:marTop w:val="0"/>
      <w:marBottom w:val="0"/>
      <w:divBdr>
        <w:top w:val="none" w:sz="0" w:space="0" w:color="auto"/>
        <w:left w:val="none" w:sz="0" w:space="0" w:color="auto"/>
        <w:bottom w:val="none" w:sz="0" w:space="0" w:color="auto"/>
        <w:right w:val="none" w:sz="0" w:space="0" w:color="auto"/>
      </w:divBdr>
    </w:div>
    <w:div w:id="818302650">
      <w:bodyDiv w:val="1"/>
      <w:marLeft w:val="0"/>
      <w:marRight w:val="0"/>
      <w:marTop w:val="0"/>
      <w:marBottom w:val="0"/>
      <w:divBdr>
        <w:top w:val="none" w:sz="0" w:space="0" w:color="auto"/>
        <w:left w:val="none" w:sz="0" w:space="0" w:color="auto"/>
        <w:bottom w:val="none" w:sz="0" w:space="0" w:color="auto"/>
        <w:right w:val="none" w:sz="0" w:space="0" w:color="auto"/>
      </w:divBdr>
    </w:div>
    <w:div w:id="834564239">
      <w:bodyDiv w:val="1"/>
      <w:marLeft w:val="0"/>
      <w:marRight w:val="0"/>
      <w:marTop w:val="0"/>
      <w:marBottom w:val="0"/>
      <w:divBdr>
        <w:top w:val="none" w:sz="0" w:space="0" w:color="auto"/>
        <w:left w:val="none" w:sz="0" w:space="0" w:color="auto"/>
        <w:bottom w:val="none" w:sz="0" w:space="0" w:color="auto"/>
        <w:right w:val="none" w:sz="0" w:space="0" w:color="auto"/>
      </w:divBdr>
      <w:divsChild>
        <w:div w:id="1344430502">
          <w:marLeft w:val="0"/>
          <w:marRight w:val="0"/>
          <w:marTop w:val="0"/>
          <w:marBottom w:val="0"/>
          <w:divBdr>
            <w:top w:val="none" w:sz="0" w:space="0" w:color="auto"/>
            <w:left w:val="none" w:sz="0" w:space="0" w:color="auto"/>
            <w:bottom w:val="none" w:sz="0" w:space="0" w:color="auto"/>
            <w:right w:val="none" w:sz="0" w:space="0" w:color="auto"/>
          </w:divBdr>
          <w:divsChild>
            <w:div w:id="2119448425">
              <w:marLeft w:val="0"/>
              <w:marRight w:val="0"/>
              <w:marTop w:val="0"/>
              <w:marBottom w:val="0"/>
              <w:divBdr>
                <w:top w:val="none" w:sz="0" w:space="0" w:color="auto"/>
                <w:left w:val="none" w:sz="0" w:space="0" w:color="auto"/>
                <w:bottom w:val="none" w:sz="0" w:space="0" w:color="auto"/>
                <w:right w:val="none" w:sz="0" w:space="0" w:color="auto"/>
              </w:divBdr>
              <w:divsChild>
                <w:div w:id="6470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598124">
      <w:bodyDiv w:val="1"/>
      <w:marLeft w:val="0"/>
      <w:marRight w:val="0"/>
      <w:marTop w:val="0"/>
      <w:marBottom w:val="0"/>
      <w:divBdr>
        <w:top w:val="none" w:sz="0" w:space="0" w:color="auto"/>
        <w:left w:val="none" w:sz="0" w:space="0" w:color="auto"/>
        <w:bottom w:val="none" w:sz="0" w:space="0" w:color="auto"/>
        <w:right w:val="none" w:sz="0" w:space="0" w:color="auto"/>
      </w:divBdr>
    </w:div>
    <w:div w:id="880560497">
      <w:bodyDiv w:val="1"/>
      <w:marLeft w:val="0"/>
      <w:marRight w:val="0"/>
      <w:marTop w:val="0"/>
      <w:marBottom w:val="0"/>
      <w:divBdr>
        <w:top w:val="none" w:sz="0" w:space="0" w:color="auto"/>
        <w:left w:val="none" w:sz="0" w:space="0" w:color="auto"/>
        <w:bottom w:val="none" w:sz="0" w:space="0" w:color="auto"/>
        <w:right w:val="none" w:sz="0" w:space="0" w:color="auto"/>
      </w:divBdr>
    </w:div>
    <w:div w:id="919023317">
      <w:bodyDiv w:val="1"/>
      <w:marLeft w:val="0"/>
      <w:marRight w:val="0"/>
      <w:marTop w:val="0"/>
      <w:marBottom w:val="0"/>
      <w:divBdr>
        <w:top w:val="none" w:sz="0" w:space="0" w:color="auto"/>
        <w:left w:val="none" w:sz="0" w:space="0" w:color="auto"/>
        <w:bottom w:val="none" w:sz="0" w:space="0" w:color="auto"/>
        <w:right w:val="none" w:sz="0" w:space="0" w:color="auto"/>
      </w:divBdr>
    </w:div>
    <w:div w:id="921569876">
      <w:bodyDiv w:val="1"/>
      <w:marLeft w:val="0"/>
      <w:marRight w:val="0"/>
      <w:marTop w:val="0"/>
      <w:marBottom w:val="0"/>
      <w:divBdr>
        <w:top w:val="none" w:sz="0" w:space="0" w:color="auto"/>
        <w:left w:val="none" w:sz="0" w:space="0" w:color="auto"/>
        <w:bottom w:val="none" w:sz="0" w:space="0" w:color="auto"/>
        <w:right w:val="none" w:sz="0" w:space="0" w:color="auto"/>
      </w:divBdr>
      <w:divsChild>
        <w:div w:id="785350433">
          <w:marLeft w:val="0"/>
          <w:marRight w:val="0"/>
          <w:marTop w:val="0"/>
          <w:marBottom w:val="0"/>
          <w:divBdr>
            <w:top w:val="none" w:sz="0" w:space="0" w:color="auto"/>
            <w:left w:val="none" w:sz="0" w:space="0" w:color="auto"/>
            <w:bottom w:val="none" w:sz="0" w:space="0" w:color="auto"/>
            <w:right w:val="none" w:sz="0" w:space="0" w:color="auto"/>
          </w:divBdr>
          <w:divsChild>
            <w:div w:id="973370834">
              <w:marLeft w:val="0"/>
              <w:marRight w:val="0"/>
              <w:marTop w:val="0"/>
              <w:marBottom w:val="0"/>
              <w:divBdr>
                <w:top w:val="none" w:sz="0" w:space="0" w:color="auto"/>
                <w:left w:val="none" w:sz="0" w:space="0" w:color="auto"/>
                <w:bottom w:val="none" w:sz="0" w:space="0" w:color="auto"/>
                <w:right w:val="none" w:sz="0" w:space="0" w:color="auto"/>
              </w:divBdr>
              <w:divsChild>
                <w:div w:id="195266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15675">
      <w:bodyDiv w:val="1"/>
      <w:marLeft w:val="0"/>
      <w:marRight w:val="0"/>
      <w:marTop w:val="0"/>
      <w:marBottom w:val="0"/>
      <w:divBdr>
        <w:top w:val="none" w:sz="0" w:space="0" w:color="auto"/>
        <w:left w:val="none" w:sz="0" w:space="0" w:color="auto"/>
        <w:bottom w:val="none" w:sz="0" w:space="0" w:color="auto"/>
        <w:right w:val="none" w:sz="0" w:space="0" w:color="auto"/>
      </w:divBdr>
    </w:div>
    <w:div w:id="985864369">
      <w:bodyDiv w:val="1"/>
      <w:marLeft w:val="0"/>
      <w:marRight w:val="0"/>
      <w:marTop w:val="0"/>
      <w:marBottom w:val="0"/>
      <w:divBdr>
        <w:top w:val="none" w:sz="0" w:space="0" w:color="auto"/>
        <w:left w:val="none" w:sz="0" w:space="0" w:color="auto"/>
        <w:bottom w:val="none" w:sz="0" w:space="0" w:color="auto"/>
        <w:right w:val="none" w:sz="0" w:space="0" w:color="auto"/>
      </w:divBdr>
    </w:div>
    <w:div w:id="986857068">
      <w:bodyDiv w:val="1"/>
      <w:marLeft w:val="0"/>
      <w:marRight w:val="0"/>
      <w:marTop w:val="0"/>
      <w:marBottom w:val="0"/>
      <w:divBdr>
        <w:top w:val="none" w:sz="0" w:space="0" w:color="auto"/>
        <w:left w:val="none" w:sz="0" w:space="0" w:color="auto"/>
        <w:bottom w:val="none" w:sz="0" w:space="0" w:color="auto"/>
        <w:right w:val="none" w:sz="0" w:space="0" w:color="auto"/>
      </w:divBdr>
    </w:div>
    <w:div w:id="997807148">
      <w:bodyDiv w:val="1"/>
      <w:marLeft w:val="0"/>
      <w:marRight w:val="0"/>
      <w:marTop w:val="0"/>
      <w:marBottom w:val="0"/>
      <w:divBdr>
        <w:top w:val="none" w:sz="0" w:space="0" w:color="auto"/>
        <w:left w:val="none" w:sz="0" w:space="0" w:color="auto"/>
        <w:bottom w:val="none" w:sz="0" w:space="0" w:color="auto"/>
        <w:right w:val="none" w:sz="0" w:space="0" w:color="auto"/>
      </w:divBdr>
    </w:div>
    <w:div w:id="1001355349">
      <w:bodyDiv w:val="1"/>
      <w:marLeft w:val="0"/>
      <w:marRight w:val="0"/>
      <w:marTop w:val="0"/>
      <w:marBottom w:val="0"/>
      <w:divBdr>
        <w:top w:val="none" w:sz="0" w:space="0" w:color="auto"/>
        <w:left w:val="none" w:sz="0" w:space="0" w:color="auto"/>
        <w:bottom w:val="none" w:sz="0" w:space="0" w:color="auto"/>
        <w:right w:val="none" w:sz="0" w:space="0" w:color="auto"/>
      </w:divBdr>
    </w:div>
    <w:div w:id="1009453532">
      <w:bodyDiv w:val="1"/>
      <w:marLeft w:val="0"/>
      <w:marRight w:val="0"/>
      <w:marTop w:val="0"/>
      <w:marBottom w:val="0"/>
      <w:divBdr>
        <w:top w:val="none" w:sz="0" w:space="0" w:color="auto"/>
        <w:left w:val="none" w:sz="0" w:space="0" w:color="auto"/>
        <w:bottom w:val="none" w:sz="0" w:space="0" w:color="auto"/>
        <w:right w:val="none" w:sz="0" w:space="0" w:color="auto"/>
      </w:divBdr>
    </w:div>
    <w:div w:id="1142693352">
      <w:bodyDiv w:val="1"/>
      <w:marLeft w:val="0"/>
      <w:marRight w:val="0"/>
      <w:marTop w:val="0"/>
      <w:marBottom w:val="0"/>
      <w:divBdr>
        <w:top w:val="none" w:sz="0" w:space="0" w:color="auto"/>
        <w:left w:val="none" w:sz="0" w:space="0" w:color="auto"/>
        <w:bottom w:val="none" w:sz="0" w:space="0" w:color="auto"/>
        <w:right w:val="none" w:sz="0" w:space="0" w:color="auto"/>
      </w:divBdr>
    </w:div>
    <w:div w:id="1198347181">
      <w:bodyDiv w:val="1"/>
      <w:marLeft w:val="0"/>
      <w:marRight w:val="0"/>
      <w:marTop w:val="0"/>
      <w:marBottom w:val="0"/>
      <w:divBdr>
        <w:top w:val="none" w:sz="0" w:space="0" w:color="auto"/>
        <w:left w:val="none" w:sz="0" w:space="0" w:color="auto"/>
        <w:bottom w:val="none" w:sz="0" w:space="0" w:color="auto"/>
        <w:right w:val="none" w:sz="0" w:space="0" w:color="auto"/>
      </w:divBdr>
      <w:divsChild>
        <w:div w:id="1908414401">
          <w:marLeft w:val="0"/>
          <w:marRight w:val="0"/>
          <w:marTop w:val="0"/>
          <w:marBottom w:val="0"/>
          <w:divBdr>
            <w:top w:val="none" w:sz="0" w:space="0" w:color="auto"/>
            <w:left w:val="none" w:sz="0" w:space="0" w:color="auto"/>
            <w:bottom w:val="none" w:sz="0" w:space="0" w:color="auto"/>
            <w:right w:val="none" w:sz="0" w:space="0" w:color="auto"/>
          </w:divBdr>
          <w:divsChild>
            <w:div w:id="14187248">
              <w:marLeft w:val="0"/>
              <w:marRight w:val="0"/>
              <w:marTop w:val="0"/>
              <w:marBottom w:val="0"/>
              <w:divBdr>
                <w:top w:val="none" w:sz="0" w:space="0" w:color="auto"/>
                <w:left w:val="none" w:sz="0" w:space="0" w:color="auto"/>
                <w:bottom w:val="none" w:sz="0" w:space="0" w:color="auto"/>
                <w:right w:val="none" w:sz="0" w:space="0" w:color="auto"/>
              </w:divBdr>
              <w:divsChild>
                <w:div w:id="18090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899639">
      <w:bodyDiv w:val="1"/>
      <w:marLeft w:val="0"/>
      <w:marRight w:val="0"/>
      <w:marTop w:val="0"/>
      <w:marBottom w:val="0"/>
      <w:divBdr>
        <w:top w:val="none" w:sz="0" w:space="0" w:color="auto"/>
        <w:left w:val="none" w:sz="0" w:space="0" w:color="auto"/>
        <w:bottom w:val="none" w:sz="0" w:space="0" w:color="auto"/>
        <w:right w:val="none" w:sz="0" w:space="0" w:color="auto"/>
      </w:divBdr>
    </w:div>
    <w:div w:id="1216163853">
      <w:bodyDiv w:val="1"/>
      <w:marLeft w:val="0"/>
      <w:marRight w:val="0"/>
      <w:marTop w:val="0"/>
      <w:marBottom w:val="0"/>
      <w:divBdr>
        <w:top w:val="none" w:sz="0" w:space="0" w:color="auto"/>
        <w:left w:val="none" w:sz="0" w:space="0" w:color="auto"/>
        <w:bottom w:val="none" w:sz="0" w:space="0" w:color="auto"/>
        <w:right w:val="none" w:sz="0" w:space="0" w:color="auto"/>
      </w:divBdr>
    </w:div>
    <w:div w:id="1237470449">
      <w:bodyDiv w:val="1"/>
      <w:marLeft w:val="0"/>
      <w:marRight w:val="0"/>
      <w:marTop w:val="0"/>
      <w:marBottom w:val="0"/>
      <w:divBdr>
        <w:top w:val="none" w:sz="0" w:space="0" w:color="auto"/>
        <w:left w:val="none" w:sz="0" w:space="0" w:color="auto"/>
        <w:bottom w:val="none" w:sz="0" w:space="0" w:color="auto"/>
        <w:right w:val="none" w:sz="0" w:space="0" w:color="auto"/>
      </w:divBdr>
    </w:div>
    <w:div w:id="1291403706">
      <w:bodyDiv w:val="1"/>
      <w:marLeft w:val="0"/>
      <w:marRight w:val="0"/>
      <w:marTop w:val="0"/>
      <w:marBottom w:val="0"/>
      <w:divBdr>
        <w:top w:val="none" w:sz="0" w:space="0" w:color="auto"/>
        <w:left w:val="none" w:sz="0" w:space="0" w:color="auto"/>
        <w:bottom w:val="none" w:sz="0" w:space="0" w:color="auto"/>
        <w:right w:val="none" w:sz="0" w:space="0" w:color="auto"/>
      </w:divBdr>
    </w:div>
    <w:div w:id="1317958118">
      <w:bodyDiv w:val="1"/>
      <w:marLeft w:val="0"/>
      <w:marRight w:val="0"/>
      <w:marTop w:val="0"/>
      <w:marBottom w:val="0"/>
      <w:divBdr>
        <w:top w:val="none" w:sz="0" w:space="0" w:color="auto"/>
        <w:left w:val="none" w:sz="0" w:space="0" w:color="auto"/>
        <w:bottom w:val="none" w:sz="0" w:space="0" w:color="auto"/>
        <w:right w:val="none" w:sz="0" w:space="0" w:color="auto"/>
      </w:divBdr>
    </w:div>
    <w:div w:id="1332951611">
      <w:bodyDiv w:val="1"/>
      <w:marLeft w:val="0"/>
      <w:marRight w:val="0"/>
      <w:marTop w:val="0"/>
      <w:marBottom w:val="0"/>
      <w:divBdr>
        <w:top w:val="none" w:sz="0" w:space="0" w:color="auto"/>
        <w:left w:val="none" w:sz="0" w:space="0" w:color="auto"/>
        <w:bottom w:val="none" w:sz="0" w:space="0" w:color="auto"/>
        <w:right w:val="none" w:sz="0" w:space="0" w:color="auto"/>
      </w:divBdr>
      <w:divsChild>
        <w:div w:id="443964605">
          <w:marLeft w:val="0"/>
          <w:marRight w:val="0"/>
          <w:marTop w:val="0"/>
          <w:marBottom w:val="0"/>
          <w:divBdr>
            <w:top w:val="none" w:sz="0" w:space="0" w:color="auto"/>
            <w:left w:val="none" w:sz="0" w:space="0" w:color="auto"/>
            <w:bottom w:val="none" w:sz="0" w:space="0" w:color="auto"/>
            <w:right w:val="none" w:sz="0" w:space="0" w:color="auto"/>
          </w:divBdr>
          <w:divsChild>
            <w:div w:id="1368678711">
              <w:marLeft w:val="0"/>
              <w:marRight w:val="0"/>
              <w:marTop w:val="0"/>
              <w:marBottom w:val="0"/>
              <w:divBdr>
                <w:top w:val="none" w:sz="0" w:space="0" w:color="auto"/>
                <w:left w:val="none" w:sz="0" w:space="0" w:color="auto"/>
                <w:bottom w:val="none" w:sz="0" w:space="0" w:color="auto"/>
                <w:right w:val="none" w:sz="0" w:space="0" w:color="auto"/>
              </w:divBdr>
              <w:divsChild>
                <w:div w:id="3347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83412">
      <w:bodyDiv w:val="1"/>
      <w:marLeft w:val="0"/>
      <w:marRight w:val="0"/>
      <w:marTop w:val="0"/>
      <w:marBottom w:val="0"/>
      <w:divBdr>
        <w:top w:val="none" w:sz="0" w:space="0" w:color="auto"/>
        <w:left w:val="none" w:sz="0" w:space="0" w:color="auto"/>
        <w:bottom w:val="none" w:sz="0" w:space="0" w:color="auto"/>
        <w:right w:val="none" w:sz="0" w:space="0" w:color="auto"/>
      </w:divBdr>
    </w:div>
    <w:div w:id="1349523248">
      <w:bodyDiv w:val="1"/>
      <w:marLeft w:val="0"/>
      <w:marRight w:val="0"/>
      <w:marTop w:val="0"/>
      <w:marBottom w:val="0"/>
      <w:divBdr>
        <w:top w:val="none" w:sz="0" w:space="0" w:color="auto"/>
        <w:left w:val="none" w:sz="0" w:space="0" w:color="auto"/>
        <w:bottom w:val="none" w:sz="0" w:space="0" w:color="auto"/>
        <w:right w:val="none" w:sz="0" w:space="0" w:color="auto"/>
      </w:divBdr>
    </w:div>
    <w:div w:id="1357149880">
      <w:bodyDiv w:val="1"/>
      <w:marLeft w:val="0"/>
      <w:marRight w:val="0"/>
      <w:marTop w:val="0"/>
      <w:marBottom w:val="0"/>
      <w:divBdr>
        <w:top w:val="none" w:sz="0" w:space="0" w:color="auto"/>
        <w:left w:val="none" w:sz="0" w:space="0" w:color="auto"/>
        <w:bottom w:val="none" w:sz="0" w:space="0" w:color="auto"/>
        <w:right w:val="none" w:sz="0" w:space="0" w:color="auto"/>
      </w:divBdr>
    </w:div>
    <w:div w:id="1398284200">
      <w:bodyDiv w:val="1"/>
      <w:marLeft w:val="0"/>
      <w:marRight w:val="0"/>
      <w:marTop w:val="0"/>
      <w:marBottom w:val="0"/>
      <w:divBdr>
        <w:top w:val="none" w:sz="0" w:space="0" w:color="auto"/>
        <w:left w:val="none" w:sz="0" w:space="0" w:color="auto"/>
        <w:bottom w:val="none" w:sz="0" w:space="0" w:color="auto"/>
        <w:right w:val="none" w:sz="0" w:space="0" w:color="auto"/>
      </w:divBdr>
    </w:div>
    <w:div w:id="1408990105">
      <w:bodyDiv w:val="1"/>
      <w:marLeft w:val="0"/>
      <w:marRight w:val="0"/>
      <w:marTop w:val="0"/>
      <w:marBottom w:val="0"/>
      <w:divBdr>
        <w:top w:val="none" w:sz="0" w:space="0" w:color="auto"/>
        <w:left w:val="none" w:sz="0" w:space="0" w:color="auto"/>
        <w:bottom w:val="none" w:sz="0" w:space="0" w:color="auto"/>
        <w:right w:val="none" w:sz="0" w:space="0" w:color="auto"/>
      </w:divBdr>
    </w:div>
    <w:div w:id="1459638668">
      <w:bodyDiv w:val="1"/>
      <w:marLeft w:val="0"/>
      <w:marRight w:val="0"/>
      <w:marTop w:val="0"/>
      <w:marBottom w:val="0"/>
      <w:divBdr>
        <w:top w:val="none" w:sz="0" w:space="0" w:color="auto"/>
        <w:left w:val="none" w:sz="0" w:space="0" w:color="auto"/>
        <w:bottom w:val="none" w:sz="0" w:space="0" w:color="auto"/>
        <w:right w:val="none" w:sz="0" w:space="0" w:color="auto"/>
      </w:divBdr>
    </w:div>
    <w:div w:id="1461461823">
      <w:bodyDiv w:val="1"/>
      <w:marLeft w:val="0"/>
      <w:marRight w:val="0"/>
      <w:marTop w:val="0"/>
      <w:marBottom w:val="0"/>
      <w:divBdr>
        <w:top w:val="none" w:sz="0" w:space="0" w:color="auto"/>
        <w:left w:val="none" w:sz="0" w:space="0" w:color="auto"/>
        <w:bottom w:val="none" w:sz="0" w:space="0" w:color="auto"/>
        <w:right w:val="none" w:sz="0" w:space="0" w:color="auto"/>
      </w:divBdr>
    </w:div>
    <w:div w:id="1480073005">
      <w:bodyDiv w:val="1"/>
      <w:marLeft w:val="0"/>
      <w:marRight w:val="0"/>
      <w:marTop w:val="0"/>
      <w:marBottom w:val="0"/>
      <w:divBdr>
        <w:top w:val="none" w:sz="0" w:space="0" w:color="auto"/>
        <w:left w:val="none" w:sz="0" w:space="0" w:color="auto"/>
        <w:bottom w:val="none" w:sz="0" w:space="0" w:color="auto"/>
        <w:right w:val="none" w:sz="0" w:space="0" w:color="auto"/>
      </w:divBdr>
    </w:div>
    <w:div w:id="1490561834">
      <w:bodyDiv w:val="1"/>
      <w:marLeft w:val="0"/>
      <w:marRight w:val="0"/>
      <w:marTop w:val="0"/>
      <w:marBottom w:val="0"/>
      <w:divBdr>
        <w:top w:val="none" w:sz="0" w:space="0" w:color="auto"/>
        <w:left w:val="none" w:sz="0" w:space="0" w:color="auto"/>
        <w:bottom w:val="none" w:sz="0" w:space="0" w:color="auto"/>
        <w:right w:val="none" w:sz="0" w:space="0" w:color="auto"/>
      </w:divBdr>
    </w:div>
    <w:div w:id="1504392024">
      <w:bodyDiv w:val="1"/>
      <w:marLeft w:val="0"/>
      <w:marRight w:val="0"/>
      <w:marTop w:val="0"/>
      <w:marBottom w:val="0"/>
      <w:divBdr>
        <w:top w:val="none" w:sz="0" w:space="0" w:color="auto"/>
        <w:left w:val="none" w:sz="0" w:space="0" w:color="auto"/>
        <w:bottom w:val="none" w:sz="0" w:space="0" w:color="auto"/>
        <w:right w:val="none" w:sz="0" w:space="0" w:color="auto"/>
      </w:divBdr>
    </w:div>
    <w:div w:id="1517033931">
      <w:bodyDiv w:val="1"/>
      <w:marLeft w:val="0"/>
      <w:marRight w:val="0"/>
      <w:marTop w:val="0"/>
      <w:marBottom w:val="0"/>
      <w:divBdr>
        <w:top w:val="none" w:sz="0" w:space="0" w:color="auto"/>
        <w:left w:val="none" w:sz="0" w:space="0" w:color="auto"/>
        <w:bottom w:val="none" w:sz="0" w:space="0" w:color="auto"/>
        <w:right w:val="none" w:sz="0" w:space="0" w:color="auto"/>
      </w:divBdr>
    </w:div>
    <w:div w:id="1538081449">
      <w:bodyDiv w:val="1"/>
      <w:marLeft w:val="0"/>
      <w:marRight w:val="0"/>
      <w:marTop w:val="0"/>
      <w:marBottom w:val="0"/>
      <w:divBdr>
        <w:top w:val="none" w:sz="0" w:space="0" w:color="auto"/>
        <w:left w:val="none" w:sz="0" w:space="0" w:color="auto"/>
        <w:bottom w:val="none" w:sz="0" w:space="0" w:color="auto"/>
        <w:right w:val="none" w:sz="0" w:space="0" w:color="auto"/>
      </w:divBdr>
    </w:div>
    <w:div w:id="1547251515">
      <w:bodyDiv w:val="1"/>
      <w:marLeft w:val="0"/>
      <w:marRight w:val="0"/>
      <w:marTop w:val="0"/>
      <w:marBottom w:val="0"/>
      <w:divBdr>
        <w:top w:val="none" w:sz="0" w:space="0" w:color="auto"/>
        <w:left w:val="none" w:sz="0" w:space="0" w:color="auto"/>
        <w:bottom w:val="none" w:sz="0" w:space="0" w:color="auto"/>
        <w:right w:val="none" w:sz="0" w:space="0" w:color="auto"/>
      </w:divBdr>
    </w:div>
    <w:div w:id="1571387519">
      <w:bodyDiv w:val="1"/>
      <w:marLeft w:val="0"/>
      <w:marRight w:val="0"/>
      <w:marTop w:val="0"/>
      <w:marBottom w:val="0"/>
      <w:divBdr>
        <w:top w:val="none" w:sz="0" w:space="0" w:color="auto"/>
        <w:left w:val="none" w:sz="0" w:space="0" w:color="auto"/>
        <w:bottom w:val="none" w:sz="0" w:space="0" w:color="auto"/>
        <w:right w:val="none" w:sz="0" w:space="0" w:color="auto"/>
      </w:divBdr>
      <w:divsChild>
        <w:div w:id="1533759189">
          <w:marLeft w:val="0"/>
          <w:marRight w:val="0"/>
          <w:marTop w:val="0"/>
          <w:marBottom w:val="0"/>
          <w:divBdr>
            <w:top w:val="none" w:sz="0" w:space="0" w:color="auto"/>
            <w:left w:val="none" w:sz="0" w:space="0" w:color="auto"/>
            <w:bottom w:val="none" w:sz="0" w:space="0" w:color="auto"/>
            <w:right w:val="none" w:sz="0" w:space="0" w:color="auto"/>
          </w:divBdr>
          <w:divsChild>
            <w:div w:id="1912159482">
              <w:marLeft w:val="0"/>
              <w:marRight w:val="0"/>
              <w:marTop w:val="0"/>
              <w:marBottom w:val="0"/>
              <w:divBdr>
                <w:top w:val="none" w:sz="0" w:space="0" w:color="auto"/>
                <w:left w:val="none" w:sz="0" w:space="0" w:color="auto"/>
                <w:bottom w:val="none" w:sz="0" w:space="0" w:color="auto"/>
                <w:right w:val="none" w:sz="0" w:space="0" w:color="auto"/>
              </w:divBdr>
              <w:divsChild>
                <w:div w:id="83441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85359">
      <w:bodyDiv w:val="1"/>
      <w:marLeft w:val="0"/>
      <w:marRight w:val="0"/>
      <w:marTop w:val="0"/>
      <w:marBottom w:val="0"/>
      <w:divBdr>
        <w:top w:val="none" w:sz="0" w:space="0" w:color="auto"/>
        <w:left w:val="none" w:sz="0" w:space="0" w:color="auto"/>
        <w:bottom w:val="none" w:sz="0" w:space="0" w:color="auto"/>
        <w:right w:val="none" w:sz="0" w:space="0" w:color="auto"/>
      </w:divBdr>
    </w:div>
    <w:div w:id="1579359808">
      <w:bodyDiv w:val="1"/>
      <w:marLeft w:val="0"/>
      <w:marRight w:val="0"/>
      <w:marTop w:val="0"/>
      <w:marBottom w:val="0"/>
      <w:divBdr>
        <w:top w:val="none" w:sz="0" w:space="0" w:color="auto"/>
        <w:left w:val="none" w:sz="0" w:space="0" w:color="auto"/>
        <w:bottom w:val="none" w:sz="0" w:space="0" w:color="auto"/>
        <w:right w:val="none" w:sz="0" w:space="0" w:color="auto"/>
      </w:divBdr>
    </w:div>
    <w:div w:id="1579708665">
      <w:bodyDiv w:val="1"/>
      <w:marLeft w:val="0"/>
      <w:marRight w:val="0"/>
      <w:marTop w:val="0"/>
      <w:marBottom w:val="0"/>
      <w:divBdr>
        <w:top w:val="none" w:sz="0" w:space="0" w:color="auto"/>
        <w:left w:val="none" w:sz="0" w:space="0" w:color="auto"/>
        <w:bottom w:val="none" w:sz="0" w:space="0" w:color="auto"/>
        <w:right w:val="none" w:sz="0" w:space="0" w:color="auto"/>
      </w:divBdr>
    </w:div>
    <w:div w:id="1606421565">
      <w:bodyDiv w:val="1"/>
      <w:marLeft w:val="0"/>
      <w:marRight w:val="0"/>
      <w:marTop w:val="0"/>
      <w:marBottom w:val="0"/>
      <w:divBdr>
        <w:top w:val="none" w:sz="0" w:space="0" w:color="auto"/>
        <w:left w:val="none" w:sz="0" w:space="0" w:color="auto"/>
        <w:bottom w:val="none" w:sz="0" w:space="0" w:color="auto"/>
        <w:right w:val="none" w:sz="0" w:space="0" w:color="auto"/>
      </w:divBdr>
    </w:div>
    <w:div w:id="1621180602">
      <w:bodyDiv w:val="1"/>
      <w:marLeft w:val="0"/>
      <w:marRight w:val="0"/>
      <w:marTop w:val="0"/>
      <w:marBottom w:val="0"/>
      <w:divBdr>
        <w:top w:val="none" w:sz="0" w:space="0" w:color="auto"/>
        <w:left w:val="none" w:sz="0" w:space="0" w:color="auto"/>
        <w:bottom w:val="none" w:sz="0" w:space="0" w:color="auto"/>
        <w:right w:val="none" w:sz="0" w:space="0" w:color="auto"/>
      </w:divBdr>
    </w:div>
    <w:div w:id="1644458268">
      <w:bodyDiv w:val="1"/>
      <w:marLeft w:val="0"/>
      <w:marRight w:val="0"/>
      <w:marTop w:val="0"/>
      <w:marBottom w:val="0"/>
      <w:divBdr>
        <w:top w:val="none" w:sz="0" w:space="0" w:color="auto"/>
        <w:left w:val="none" w:sz="0" w:space="0" w:color="auto"/>
        <w:bottom w:val="none" w:sz="0" w:space="0" w:color="auto"/>
        <w:right w:val="none" w:sz="0" w:space="0" w:color="auto"/>
      </w:divBdr>
    </w:div>
    <w:div w:id="1647389343">
      <w:bodyDiv w:val="1"/>
      <w:marLeft w:val="0"/>
      <w:marRight w:val="0"/>
      <w:marTop w:val="0"/>
      <w:marBottom w:val="0"/>
      <w:divBdr>
        <w:top w:val="none" w:sz="0" w:space="0" w:color="auto"/>
        <w:left w:val="none" w:sz="0" w:space="0" w:color="auto"/>
        <w:bottom w:val="none" w:sz="0" w:space="0" w:color="auto"/>
        <w:right w:val="none" w:sz="0" w:space="0" w:color="auto"/>
      </w:divBdr>
      <w:divsChild>
        <w:div w:id="1023752272">
          <w:marLeft w:val="0"/>
          <w:marRight w:val="0"/>
          <w:marTop w:val="0"/>
          <w:marBottom w:val="0"/>
          <w:divBdr>
            <w:top w:val="none" w:sz="0" w:space="0" w:color="auto"/>
            <w:left w:val="none" w:sz="0" w:space="0" w:color="auto"/>
            <w:bottom w:val="none" w:sz="0" w:space="0" w:color="auto"/>
            <w:right w:val="none" w:sz="0" w:space="0" w:color="auto"/>
          </w:divBdr>
          <w:divsChild>
            <w:div w:id="2004315939">
              <w:marLeft w:val="0"/>
              <w:marRight w:val="0"/>
              <w:marTop w:val="0"/>
              <w:marBottom w:val="0"/>
              <w:divBdr>
                <w:top w:val="none" w:sz="0" w:space="0" w:color="auto"/>
                <w:left w:val="none" w:sz="0" w:space="0" w:color="auto"/>
                <w:bottom w:val="none" w:sz="0" w:space="0" w:color="auto"/>
                <w:right w:val="none" w:sz="0" w:space="0" w:color="auto"/>
              </w:divBdr>
              <w:divsChild>
                <w:div w:id="3600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86790">
      <w:bodyDiv w:val="1"/>
      <w:marLeft w:val="0"/>
      <w:marRight w:val="0"/>
      <w:marTop w:val="0"/>
      <w:marBottom w:val="0"/>
      <w:divBdr>
        <w:top w:val="none" w:sz="0" w:space="0" w:color="auto"/>
        <w:left w:val="none" w:sz="0" w:space="0" w:color="auto"/>
        <w:bottom w:val="none" w:sz="0" w:space="0" w:color="auto"/>
        <w:right w:val="none" w:sz="0" w:space="0" w:color="auto"/>
      </w:divBdr>
      <w:divsChild>
        <w:div w:id="232356965">
          <w:marLeft w:val="0"/>
          <w:marRight w:val="0"/>
          <w:marTop w:val="0"/>
          <w:marBottom w:val="0"/>
          <w:divBdr>
            <w:top w:val="single" w:sz="6" w:space="4" w:color="777777"/>
            <w:left w:val="single" w:sz="6" w:space="8" w:color="777777"/>
            <w:bottom w:val="single" w:sz="6" w:space="4" w:color="777777"/>
            <w:right w:val="single" w:sz="6" w:space="8" w:color="777777"/>
          </w:divBdr>
        </w:div>
      </w:divsChild>
    </w:div>
    <w:div w:id="1656251807">
      <w:bodyDiv w:val="1"/>
      <w:marLeft w:val="0"/>
      <w:marRight w:val="0"/>
      <w:marTop w:val="0"/>
      <w:marBottom w:val="0"/>
      <w:divBdr>
        <w:top w:val="none" w:sz="0" w:space="0" w:color="auto"/>
        <w:left w:val="none" w:sz="0" w:space="0" w:color="auto"/>
        <w:bottom w:val="none" w:sz="0" w:space="0" w:color="auto"/>
        <w:right w:val="none" w:sz="0" w:space="0" w:color="auto"/>
      </w:divBdr>
      <w:divsChild>
        <w:div w:id="391928370">
          <w:marLeft w:val="0"/>
          <w:marRight w:val="0"/>
          <w:marTop w:val="0"/>
          <w:marBottom w:val="0"/>
          <w:divBdr>
            <w:top w:val="none" w:sz="0" w:space="0" w:color="auto"/>
            <w:left w:val="none" w:sz="0" w:space="0" w:color="auto"/>
            <w:bottom w:val="none" w:sz="0" w:space="0" w:color="auto"/>
            <w:right w:val="none" w:sz="0" w:space="0" w:color="auto"/>
          </w:divBdr>
        </w:div>
        <w:div w:id="1337883602">
          <w:marLeft w:val="0"/>
          <w:marRight w:val="0"/>
          <w:marTop w:val="0"/>
          <w:marBottom w:val="0"/>
          <w:divBdr>
            <w:top w:val="none" w:sz="0" w:space="0" w:color="auto"/>
            <w:left w:val="none" w:sz="0" w:space="0" w:color="auto"/>
            <w:bottom w:val="none" w:sz="0" w:space="0" w:color="auto"/>
            <w:right w:val="none" w:sz="0" w:space="0" w:color="auto"/>
          </w:divBdr>
        </w:div>
        <w:div w:id="1715422562">
          <w:marLeft w:val="0"/>
          <w:marRight w:val="0"/>
          <w:marTop w:val="0"/>
          <w:marBottom w:val="0"/>
          <w:divBdr>
            <w:top w:val="none" w:sz="0" w:space="0" w:color="auto"/>
            <w:left w:val="none" w:sz="0" w:space="0" w:color="auto"/>
            <w:bottom w:val="none" w:sz="0" w:space="0" w:color="auto"/>
            <w:right w:val="none" w:sz="0" w:space="0" w:color="auto"/>
          </w:divBdr>
        </w:div>
      </w:divsChild>
    </w:div>
    <w:div w:id="1669289599">
      <w:bodyDiv w:val="1"/>
      <w:marLeft w:val="0"/>
      <w:marRight w:val="0"/>
      <w:marTop w:val="0"/>
      <w:marBottom w:val="0"/>
      <w:divBdr>
        <w:top w:val="none" w:sz="0" w:space="0" w:color="auto"/>
        <w:left w:val="none" w:sz="0" w:space="0" w:color="auto"/>
        <w:bottom w:val="none" w:sz="0" w:space="0" w:color="auto"/>
        <w:right w:val="none" w:sz="0" w:space="0" w:color="auto"/>
      </w:divBdr>
    </w:div>
    <w:div w:id="1804302384">
      <w:bodyDiv w:val="1"/>
      <w:marLeft w:val="0"/>
      <w:marRight w:val="0"/>
      <w:marTop w:val="0"/>
      <w:marBottom w:val="0"/>
      <w:divBdr>
        <w:top w:val="none" w:sz="0" w:space="0" w:color="auto"/>
        <w:left w:val="none" w:sz="0" w:space="0" w:color="auto"/>
        <w:bottom w:val="none" w:sz="0" w:space="0" w:color="auto"/>
        <w:right w:val="none" w:sz="0" w:space="0" w:color="auto"/>
      </w:divBdr>
    </w:div>
    <w:div w:id="1804880502">
      <w:bodyDiv w:val="1"/>
      <w:marLeft w:val="0"/>
      <w:marRight w:val="0"/>
      <w:marTop w:val="0"/>
      <w:marBottom w:val="0"/>
      <w:divBdr>
        <w:top w:val="none" w:sz="0" w:space="0" w:color="auto"/>
        <w:left w:val="none" w:sz="0" w:space="0" w:color="auto"/>
        <w:bottom w:val="none" w:sz="0" w:space="0" w:color="auto"/>
        <w:right w:val="none" w:sz="0" w:space="0" w:color="auto"/>
      </w:divBdr>
      <w:divsChild>
        <w:div w:id="2109419846">
          <w:marLeft w:val="0"/>
          <w:marRight w:val="0"/>
          <w:marTop w:val="0"/>
          <w:marBottom w:val="0"/>
          <w:divBdr>
            <w:top w:val="none" w:sz="0" w:space="0" w:color="auto"/>
            <w:left w:val="none" w:sz="0" w:space="0" w:color="auto"/>
            <w:bottom w:val="none" w:sz="0" w:space="0" w:color="auto"/>
            <w:right w:val="none" w:sz="0" w:space="0" w:color="auto"/>
          </w:divBdr>
          <w:divsChild>
            <w:div w:id="2024938958">
              <w:marLeft w:val="0"/>
              <w:marRight w:val="0"/>
              <w:marTop w:val="0"/>
              <w:marBottom w:val="0"/>
              <w:divBdr>
                <w:top w:val="none" w:sz="0" w:space="0" w:color="auto"/>
                <w:left w:val="none" w:sz="0" w:space="0" w:color="auto"/>
                <w:bottom w:val="none" w:sz="0" w:space="0" w:color="auto"/>
                <w:right w:val="none" w:sz="0" w:space="0" w:color="auto"/>
              </w:divBdr>
              <w:divsChild>
                <w:div w:id="188128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04550">
      <w:bodyDiv w:val="1"/>
      <w:marLeft w:val="0"/>
      <w:marRight w:val="0"/>
      <w:marTop w:val="0"/>
      <w:marBottom w:val="0"/>
      <w:divBdr>
        <w:top w:val="none" w:sz="0" w:space="0" w:color="auto"/>
        <w:left w:val="none" w:sz="0" w:space="0" w:color="auto"/>
        <w:bottom w:val="none" w:sz="0" w:space="0" w:color="auto"/>
        <w:right w:val="none" w:sz="0" w:space="0" w:color="auto"/>
      </w:divBdr>
    </w:div>
    <w:div w:id="1859540816">
      <w:bodyDiv w:val="1"/>
      <w:marLeft w:val="0"/>
      <w:marRight w:val="0"/>
      <w:marTop w:val="0"/>
      <w:marBottom w:val="0"/>
      <w:divBdr>
        <w:top w:val="none" w:sz="0" w:space="0" w:color="auto"/>
        <w:left w:val="none" w:sz="0" w:space="0" w:color="auto"/>
        <w:bottom w:val="none" w:sz="0" w:space="0" w:color="auto"/>
        <w:right w:val="none" w:sz="0" w:space="0" w:color="auto"/>
      </w:divBdr>
    </w:div>
    <w:div w:id="1921407655">
      <w:bodyDiv w:val="1"/>
      <w:marLeft w:val="0"/>
      <w:marRight w:val="0"/>
      <w:marTop w:val="0"/>
      <w:marBottom w:val="0"/>
      <w:divBdr>
        <w:top w:val="none" w:sz="0" w:space="0" w:color="auto"/>
        <w:left w:val="none" w:sz="0" w:space="0" w:color="auto"/>
        <w:bottom w:val="none" w:sz="0" w:space="0" w:color="auto"/>
        <w:right w:val="none" w:sz="0" w:space="0" w:color="auto"/>
      </w:divBdr>
    </w:div>
    <w:div w:id="1950625334">
      <w:bodyDiv w:val="1"/>
      <w:marLeft w:val="0"/>
      <w:marRight w:val="0"/>
      <w:marTop w:val="0"/>
      <w:marBottom w:val="0"/>
      <w:divBdr>
        <w:top w:val="none" w:sz="0" w:space="0" w:color="auto"/>
        <w:left w:val="none" w:sz="0" w:space="0" w:color="auto"/>
        <w:bottom w:val="none" w:sz="0" w:space="0" w:color="auto"/>
        <w:right w:val="none" w:sz="0" w:space="0" w:color="auto"/>
      </w:divBdr>
    </w:div>
    <w:div w:id="1959798895">
      <w:bodyDiv w:val="1"/>
      <w:marLeft w:val="0"/>
      <w:marRight w:val="0"/>
      <w:marTop w:val="0"/>
      <w:marBottom w:val="0"/>
      <w:divBdr>
        <w:top w:val="none" w:sz="0" w:space="0" w:color="auto"/>
        <w:left w:val="none" w:sz="0" w:space="0" w:color="auto"/>
        <w:bottom w:val="none" w:sz="0" w:space="0" w:color="auto"/>
        <w:right w:val="none" w:sz="0" w:space="0" w:color="auto"/>
      </w:divBdr>
      <w:divsChild>
        <w:div w:id="406272007">
          <w:marLeft w:val="0"/>
          <w:marRight w:val="0"/>
          <w:marTop w:val="0"/>
          <w:marBottom w:val="0"/>
          <w:divBdr>
            <w:top w:val="none" w:sz="0" w:space="0" w:color="auto"/>
            <w:left w:val="none" w:sz="0" w:space="0" w:color="auto"/>
            <w:bottom w:val="none" w:sz="0" w:space="0" w:color="auto"/>
            <w:right w:val="none" w:sz="0" w:space="0" w:color="auto"/>
          </w:divBdr>
          <w:divsChild>
            <w:div w:id="1693913844">
              <w:marLeft w:val="0"/>
              <w:marRight w:val="0"/>
              <w:marTop w:val="0"/>
              <w:marBottom w:val="0"/>
              <w:divBdr>
                <w:top w:val="none" w:sz="0" w:space="0" w:color="auto"/>
                <w:left w:val="none" w:sz="0" w:space="0" w:color="auto"/>
                <w:bottom w:val="none" w:sz="0" w:space="0" w:color="auto"/>
                <w:right w:val="none" w:sz="0" w:space="0" w:color="auto"/>
              </w:divBdr>
              <w:divsChild>
                <w:div w:id="1526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38613">
      <w:bodyDiv w:val="1"/>
      <w:marLeft w:val="0"/>
      <w:marRight w:val="0"/>
      <w:marTop w:val="0"/>
      <w:marBottom w:val="0"/>
      <w:divBdr>
        <w:top w:val="none" w:sz="0" w:space="0" w:color="auto"/>
        <w:left w:val="none" w:sz="0" w:space="0" w:color="auto"/>
        <w:bottom w:val="none" w:sz="0" w:space="0" w:color="auto"/>
        <w:right w:val="none" w:sz="0" w:space="0" w:color="auto"/>
      </w:divBdr>
      <w:divsChild>
        <w:div w:id="1172180846">
          <w:marLeft w:val="0"/>
          <w:marRight w:val="0"/>
          <w:marTop w:val="0"/>
          <w:marBottom w:val="0"/>
          <w:divBdr>
            <w:top w:val="none" w:sz="0" w:space="0" w:color="auto"/>
            <w:left w:val="none" w:sz="0" w:space="0" w:color="auto"/>
            <w:bottom w:val="none" w:sz="0" w:space="0" w:color="auto"/>
            <w:right w:val="none" w:sz="0" w:space="0" w:color="auto"/>
          </w:divBdr>
        </w:div>
        <w:div w:id="1948154924">
          <w:marLeft w:val="0"/>
          <w:marRight w:val="0"/>
          <w:marTop w:val="0"/>
          <w:marBottom w:val="0"/>
          <w:divBdr>
            <w:top w:val="none" w:sz="0" w:space="0" w:color="auto"/>
            <w:left w:val="none" w:sz="0" w:space="0" w:color="auto"/>
            <w:bottom w:val="none" w:sz="0" w:space="0" w:color="auto"/>
            <w:right w:val="none" w:sz="0" w:space="0" w:color="auto"/>
          </w:divBdr>
        </w:div>
      </w:divsChild>
    </w:div>
    <w:div w:id="1998806103">
      <w:bodyDiv w:val="1"/>
      <w:marLeft w:val="0"/>
      <w:marRight w:val="0"/>
      <w:marTop w:val="0"/>
      <w:marBottom w:val="0"/>
      <w:divBdr>
        <w:top w:val="none" w:sz="0" w:space="0" w:color="auto"/>
        <w:left w:val="none" w:sz="0" w:space="0" w:color="auto"/>
        <w:bottom w:val="none" w:sz="0" w:space="0" w:color="auto"/>
        <w:right w:val="none" w:sz="0" w:space="0" w:color="auto"/>
      </w:divBdr>
    </w:div>
    <w:div w:id="2005164437">
      <w:bodyDiv w:val="1"/>
      <w:marLeft w:val="0"/>
      <w:marRight w:val="0"/>
      <w:marTop w:val="0"/>
      <w:marBottom w:val="0"/>
      <w:divBdr>
        <w:top w:val="none" w:sz="0" w:space="0" w:color="auto"/>
        <w:left w:val="none" w:sz="0" w:space="0" w:color="auto"/>
        <w:bottom w:val="none" w:sz="0" w:space="0" w:color="auto"/>
        <w:right w:val="none" w:sz="0" w:space="0" w:color="auto"/>
      </w:divBdr>
    </w:div>
    <w:div w:id="2039238045">
      <w:bodyDiv w:val="1"/>
      <w:marLeft w:val="0"/>
      <w:marRight w:val="0"/>
      <w:marTop w:val="0"/>
      <w:marBottom w:val="0"/>
      <w:divBdr>
        <w:top w:val="none" w:sz="0" w:space="0" w:color="auto"/>
        <w:left w:val="none" w:sz="0" w:space="0" w:color="auto"/>
        <w:bottom w:val="none" w:sz="0" w:space="0" w:color="auto"/>
        <w:right w:val="none" w:sz="0" w:space="0" w:color="auto"/>
      </w:divBdr>
    </w:div>
    <w:div w:id="2042364432">
      <w:bodyDiv w:val="1"/>
      <w:marLeft w:val="0"/>
      <w:marRight w:val="0"/>
      <w:marTop w:val="0"/>
      <w:marBottom w:val="0"/>
      <w:divBdr>
        <w:top w:val="none" w:sz="0" w:space="0" w:color="auto"/>
        <w:left w:val="none" w:sz="0" w:space="0" w:color="auto"/>
        <w:bottom w:val="none" w:sz="0" w:space="0" w:color="auto"/>
        <w:right w:val="none" w:sz="0" w:space="0" w:color="auto"/>
      </w:divBdr>
    </w:div>
    <w:div w:id="2058698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469">
          <w:marLeft w:val="0"/>
          <w:marRight w:val="0"/>
          <w:marTop w:val="0"/>
          <w:marBottom w:val="0"/>
          <w:divBdr>
            <w:top w:val="none" w:sz="0" w:space="0" w:color="auto"/>
            <w:left w:val="none" w:sz="0" w:space="0" w:color="auto"/>
            <w:bottom w:val="none" w:sz="0" w:space="0" w:color="auto"/>
            <w:right w:val="none" w:sz="0" w:space="0" w:color="auto"/>
          </w:divBdr>
          <w:divsChild>
            <w:div w:id="322661680">
              <w:marLeft w:val="0"/>
              <w:marRight w:val="0"/>
              <w:marTop w:val="0"/>
              <w:marBottom w:val="0"/>
              <w:divBdr>
                <w:top w:val="none" w:sz="0" w:space="0" w:color="auto"/>
                <w:left w:val="none" w:sz="0" w:space="0" w:color="auto"/>
                <w:bottom w:val="none" w:sz="0" w:space="0" w:color="auto"/>
                <w:right w:val="none" w:sz="0" w:space="0" w:color="auto"/>
              </w:divBdr>
              <w:divsChild>
                <w:div w:id="13253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561776">
      <w:bodyDiv w:val="1"/>
      <w:marLeft w:val="0"/>
      <w:marRight w:val="0"/>
      <w:marTop w:val="0"/>
      <w:marBottom w:val="0"/>
      <w:divBdr>
        <w:top w:val="none" w:sz="0" w:space="0" w:color="auto"/>
        <w:left w:val="none" w:sz="0" w:space="0" w:color="auto"/>
        <w:bottom w:val="none" w:sz="0" w:space="0" w:color="auto"/>
        <w:right w:val="none" w:sz="0" w:space="0" w:color="auto"/>
      </w:divBdr>
    </w:div>
    <w:div w:id="2122646864">
      <w:bodyDiv w:val="1"/>
      <w:marLeft w:val="0"/>
      <w:marRight w:val="0"/>
      <w:marTop w:val="0"/>
      <w:marBottom w:val="0"/>
      <w:divBdr>
        <w:top w:val="none" w:sz="0" w:space="0" w:color="auto"/>
        <w:left w:val="none" w:sz="0" w:space="0" w:color="auto"/>
        <w:bottom w:val="none" w:sz="0" w:space="0" w:color="auto"/>
        <w:right w:val="none" w:sz="0" w:space="0" w:color="auto"/>
      </w:divBdr>
    </w:div>
    <w:div w:id="2135783772">
      <w:bodyDiv w:val="1"/>
      <w:marLeft w:val="0"/>
      <w:marRight w:val="0"/>
      <w:marTop w:val="0"/>
      <w:marBottom w:val="0"/>
      <w:divBdr>
        <w:top w:val="none" w:sz="0" w:space="0" w:color="auto"/>
        <w:left w:val="none" w:sz="0" w:space="0" w:color="auto"/>
        <w:bottom w:val="none" w:sz="0" w:space="0" w:color="auto"/>
        <w:right w:val="none" w:sz="0" w:space="0" w:color="auto"/>
      </w:divBdr>
    </w:div>
    <w:div w:id="2139107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iwpr.org/wp-content/uploads/2022/02/A-Future-Worth-Building_What-Tradeswomen-Say_FINAL.pdf" TargetMode="External"/><Relationship Id="rId13" Type="http://schemas.openxmlformats.org/officeDocument/2006/relationships/hyperlink" Target="https://www.epi.org/publication/diversity-in-the-nyc-construction-union-and-nonunion-sectors/" TargetMode="External"/><Relationship Id="rId18" Type="http://schemas.openxmlformats.org/officeDocument/2006/relationships/hyperlink" Target="http://www.jeojatc.com/about.html" TargetMode="External"/><Relationship Id="rId26" Type="http://schemas.openxmlformats.org/officeDocument/2006/relationships/hyperlink" Target="https://a801-worksource1.nyc.gov/emp" TargetMode="External"/><Relationship Id="rId3" Type="http://schemas.openxmlformats.org/officeDocument/2006/relationships/hyperlink" Target="https://www.osc.state.ny.us/reports/osdc/construction-industry-new-york-city-recent-trends-and-impact-covid-19" TargetMode="External"/><Relationship Id="rId21" Type="http://schemas.openxmlformats.org/officeDocument/2006/relationships/hyperlink" Target="https://sipa.columbia.edu/sites/default/files/Columbia_SIPA_Construction_Skills_Report_Final_March_2014_0.pdf" TargetMode="External"/><Relationship Id="rId7" Type="http://schemas.openxmlformats.org/officeDocument/2006/relationships/hyperlink" Target="https://www.epi.org/publication/diversity-in-the-nyc-construction-union-and-nonunion-sectors/" TargetMode="External"/><Relationship Id="rId12" Type="http://schemas.openxmlformats.org/officeDocument/2006/relationships/hyperlink" Target="https://iwpr.org/wp-content/uploads/2022/02/A-Future-Worth-Building_What-Tradeswomen-Say_FINAL.pdf.%20%20" TargetMode="External"/><Relationship Id="rId17" Type="http://schemas.openxmlformats.org/officeDocument/2006/relationships/hyperlink" Target="https://sipa.columbia.edu/sites/default/files/Columbia_SIPA_Construction_Skills_Report_Final_March_2014_0.pdf" TargetMode="External"/><Relationship Id="rId25" Type="http://schemas.openxmlformats.org/officeDocument/2006/relationships/hyperlink" Target="https://www1.nyc.gov/office-of-the-mayor/news/760-15/de-blasio-administration-launches-hirenyc-help-new-yorkers-access-jobs-the-city-s" TargetMode="External"/><Relationship Id="rId2" Type="http://schemas.openxmlformats.org/officeDocument/2006/relationships/hyperlink" Target="https://dol.ny.gov/system/files/documents/2021/03/the-skilled-trades-in-new-york-state.pdf" TargetMode="External"/><Relationship Id="rId16" Type="http://schemas.openxmlformats.org/officeDocument/2006/relationships/hyperlink" Target="https://sipa.columbia.edu/sites/default/files/Columbia_SIPA_Construction_Skills_Report_Final_March_2014_0.pdf" TargetMode="External"/><Relationship Id="rId20" Type="http://schemas.openxmlformats.org/officeDocument/2006/relationships/hyperlink" Target="https://www1.nyc.gov/office-of-the-mayor/news/588-20/mayor-de-blasio-community-hiring-economic-justice-plan" TargetMode="External"/><Relationship Id="rId29" Type="http://schemas.openxmlformats.org/officeDocument/2006/relationships/hyperlink" Target="https://www1.nyc.gov/assets/careerpathways/downloads/pdf/hpd_construction.pdf" TargetMode="External"/><Relationship Id="rId1" Type="http://schemas.openxmlformats.org/officeDocument/2006/relationships/hyperlink" Target="https://dol.ny.gov/system/files/documents/2021/03/the-skilled-trades-in-new-york-state.pdf" TargetMode="External"/><Relationship Id="rId6" Type="http://schemas.openxmlformats.org/officeDocument/2006/relationships/hyperlink" Target="https://www.osc.state.ny.us/reports/osdc/construction-industry-new-york-city-recent-trends-and-impact-covid-19" TargetMode="External"/><Relationship Id="rId11" Type="http://schemas.openxmlformats.org/officeDocument/2006/relationships/hyperlink" Target="https://iwpr.org/wp-content/uploads/2022/02/A-Future-Worth-Building_What-Tradeswomen-Say_FINAL.pdf" TargetMode="External"/><Relationship Id="rId24" Type="http://schemas.openxmlformats.org/officeDocument/2006/relationships/hyperlink" Target="https://therealdeal.com/2020/08/13/city-construction-unions-strike-deal-to-hire-low-income-workers/" TargetMode="External"/><Relationship Id="rId32" Type="http://schemas.openxmlformats.org/officeDocument/2006/relationships/hyperlink" Target="https://citylimits.org/2017/11/21/the-data-on-hirenyc/" TargetMode="External"/><Relationship Id="rId5" Type="http://schemas.openxmlformats.org/officeDocument/2006/relationships/hyperlink" Target="https://www.buildingcongress.com/advocacy-and-reports/reports-and-analysis/construction-outlook-update/COU-Workforce-Snapshot-2022.html" TargetMode="External"/><Relationship Id="rId15" Type="http://schemas.openxmlformats.org/officeDocument/2006/relationships/hyperlink" Target="https://commercialobserver.com/2019/03/construction-unions-making-commitment-to-recruit-women/" TargetMode="External"/><Relationship Id="rId23" Type="http://schemas.openxmlformats.org/officeDocument/2006/relationships/hyperlink" Target="https://www1.nyc.gov/assets/mocs/downloads/pdf/pla/2020_New_Construction_PLA_Agency_Solicitation_Version.PDF" TargetMode="External"/><Relationship Id="rId28" Type="http://schemas.openxmlformats.org/officeDocument/2006/relationships/hyperlink" Target="https://www1.nyc.gov/assets/careerpathways/downloads/pdf/edc_construction.pdf" TargetMode="External"/><Relationship Id="rId10" Type="http://schemas.openxmlformats.org/officeDocument/2006/relationships/hyperlink" Target="https://www.nbcnews.com/news/us-news/not-boys-club-anymore-eight-women-take-swing-construction-industry-n1091376" TargetMode="External"/><Relationship Id="rId19" Type="http://schemas.openxmlformats.org/officeDocument/2006/relationships/hyperlink" Target="http://www.nycbuildingtrades.org/arc.aspx" TargetMode="External"/><Relationship Id="rId31" Type="http://schemas.openxmlformats.org/officeDocument/2006/relationships/hyperlink" Target="https://citylimits.org/2017/11/21/the-data-on-hirenyc/" TargetMode="External"/><Relationship Id="rId4" Type="http://schemas.openxmlformats.org/officeDocument/2006/relationships/hyperlink" Target="https://www.osc.state.ny.us/reports/osdc/construction-industry-new-york-city-recent-trends-and-impact-covid-19" TargetMode="External"/><Relationship Id="rId9" Type="http://schemas.openxmlformats.org/officeDocument/2006/relationships/hyperlink" Target="https://iwpr.org/wp-content/uploads/2022/02/A-Future-Worth-Building_What-Tradeswomen-Say_FINAL.pdf" TargetMode="External"/><Relationship Id="rId14" Type="http://schemas.openxmlformats.org/officeDocument/2006/relationships/hyperlink" Target="https://www.constructiondive.com/news/nyc-unions-recruiting-more-women/551326/" TargetMode="External"/><Relationship Id="rId22" Type="http://schemas.openxmlformats.org/officeDocument/2006/relationships/hyperlink" Target="https://www1.nyc.gov/assets/mocs/downloads/pdf/pla/2020_New_Construction_PLA_Agency_Solicitation_Version.PDF" TargetMode="External"/><Relationship Id="rId27" Type="http://schemas.openxmlformats.org/officeDocument/2006/relationships/hyperlink" Target="https://www1.nyc.gov/site/careerpathways/strategy/hireNYC.page" TargetMode="External"/><Relationship Id="rId30" Type="http://schemas.openxmlformats.org/officeDocument/2006/relationships/hyperlink" Target="https://www1.nyc.gov/assets/operations/downloads/pdf/mmr2016/2016_mm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07AFF5C-48D4-4978-8A37-30B15443E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4209</Words>
  <Characters>24300</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Chloe</dc:creator>
  <cp:keywords/>
  <cp:lastModifiedBy>DelFranco, Ruthie</cp:lastModifiedBy>
  <cp:revision>2</cp:revision>
  <cp:lastPrinted>2018-12-11T00:26:00Z</cp:lastPrinted>
  <dcterms:created xsi:type="dcterms:W3CDTF">2022-06-01T01:13:00Z</dcterms:created>
  <dcterms:modified xsi:type="dcterms:W3CDTF">2022-06-01T01:13:00Z</dcterms:modified>
</cp:coreProperties>
</file>