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49BA" w14:textId="60788918" w:rsidR="009D26C4" w:rsidRPr="00FD21D9" w:rsidRDefault="009D26C4" w:rsidP="009D26C4">
      <w:pPr>
        <w:spacing w:after="0"/>
        <w:jc w:val="center"/>
        <w:rPr>
          <w:rFonts w:ascii="Times New Roman" w:hAnsi="Times New Roman" w:cs="Times New Roman"/>
          <w:sz w:val="24"/>
          <w:szCs w:val="24"/>
        </w:rPr>
      </w:pPr>
      <w:r w:rsidRPr="00FD21D9">
        <w:rPr>
          <w:rFonts w:ascii="Times New Roman" w:hAnsi="Times New Roman" w:cs="Times New Roman"/>
          <w:sz w:val="24"/>
          <w:szCs w:val="24"/>
        </w:rPr>
        <w:t>Res. No.</w:t>
      </w:r>
      <w:r w:rsidR="005F3EE0">
        <w:rPr>
          <w:rFonts w:ascii="Times New Roman" w:hAnsi="Times New Roman" w:cs="Times New Roman"/>
          <w:sz w:val="24"/>
          <w:szCs w:val="24"/>
        </w:rPr>
        <w:t xml:space="preserve"> 162</w:t>
      </w:r>
    </w:p>
    <w:p w14:paraId="70894C45" w14:textId="77777777" w:rsidR="009D26C4" w:rsidRPr="00FD21D9" w:rsidRDefault="009D26C4" w:rsidP="009D26C4">
      <w:pPr>
        <w:spacing w:after="0"/>
        <w:rPr>
          <w:rFonts w:ascii="Times New Roman" w:hAnsi="Times New Roman" w:cs="Times New Roman"/>
          <w:sz w:val="24"/>
          <w:szCs w:val="24"/>
        </w:rPr>
      </w:pPr>
    </w:p>
    <w:p w14:paraId="5E3FDBE4" w14:textId="77777777" w:rsidR="009D26C4" w:rsidRPr="00FD21D9" w:rsidRDefault="009D26C4" w:rsidP="009D26C4">
      <w:pPr>
        <w:spacing w:after="0"/>
        <w:jc w:val="both"/>
        <w:rPr>
          <w:rFonts w:ascii="Times New Roman" w:hAnsi="Times New Roman" w:cs="Times New Roman"/>
          <w:vanish/>
          <w:sz w:val="24"/>
          <w:szCs w:val="24"/>
        </w:rPr>
      </w:pPr>
      <w:r w:rsidRPr="00FD21D9">
        <w:rPr>
          <w:rFonts w:ascii="Times New Roman" w:hAnsi="Times New Roman" w:cs="Times New Roman"/>
          <w:vanish/>
          <w:sz w:val="24"/>
          <w:szCs w:val="24"/>
        </w:rPr>
        <w:t>..Title</w:t>
      </w:r>
    </w:p>
    <w:p w14:paraId="52E39829" w14:textId="0E9CD238" w:rsidR="009D26C4" w:rsidRDefault="009D26C4" w:rsidP="009D26C4">
      <w:pPr>
        <w:spacing w:after="0"/>
        <w:jc w:val="both"/>
        <w:rPr>
          <w:rFonts w:ascii="Times New Roman" w:hAnsi="Times New Roman" w:cs="Times New Roman"/>
          <w:sz w:val="24"/>
          <w:szCs w:val="24"/>
        </w:rPr>
      </w:pPr>
      <w:r w:rsidRPr="00FD21D9">
        <w:rPr>
          <w:rFonts w:ascii="Times New Roman" w:hAnsi="Times New Roman" w:cs="Times New Roman"/>
          <w:sz w:val="24"/>
          <w:szCs w:val="24"/>
        </w:rPr>
        <w:t>Resolution calling on the New York State Legislature to pass, and the Governor to sign, amendments to article 4 of the Public Service Law to prevent a utility’s rate case from exceeding a certain percentage each year</w:t>
      </w:r>
      <w:r w:rsidR="00930DCE">
        <w:rPr>
          <w:rFonts w:ascii="Times New Roman" w:hAnsi="Times New Roman" w:cs="Times New Roman"/>
          <w:sz w:val="24"/>
          <w:szCs w:val="24"/>
        </w:rPr>
        <w:t>.</w:t>
      </w:r>
    </w:p>
    <w:p w14:paraId="313975AD" w14:textId="164799EE" w:rsidR="00930DCE" w:rsidRPr="00930DCE" w:rsidRDefault="00930DCE" w:rsidP="009D26C4">
      <w:pPr>
        <w:spacing w:after="0"/>
        <w:jc w:val="both"/>
        <w:rPr>
          <w:rFonts w:ascii="Times New Roman" w:hAnsi="Times New Roman" w:cs="Times New Roman"/>
          <w:vanish/>
          <w:sz w:val="24"/>
          <w:szCs w:val="24"/>
        </w:rPr>
      </w:pPr>
      <w:r w:rsidRPr="00930DCE">
        <w:rPr>
          <w:rFonts w:ascii="Times New Roman" w:hAnsi="Times New Roman" w:cs="Times New Roman"/>
          <w:vanish/>
          <w:sz w:val="24"/>
          <w:szCs w:val="24"/>
        </w:rPr>
        <w:t>Body</w:t>
      </w:r>
    </w:p>
    <w:p w14:paraId="0051510A" w14:textId="77777777" w:rsidR="009D26C4" w:rsidRPr="00FD21D9" w:rsidRDefault="009D26C4" w:rsidP="009D26C4">
      <w:pPr>
        <w:spacing w:after="0"/>
        <w:jc w:val="both"/>
        <w:rPr>
          <w:rFonts w:ascii="Times New Roman" w:hAnsi="Times New Roman" w:cs="Times New Roman"/>
          <w:sz w:val="24"/>
          <w:szCs w:val="24"/>
        </w:rPr>
      </w:pPr>
    </w:p>
    <w:p w14:paraId="56CC9CB0" w14:textId="77777777" w:rsidR="00645D0A" w:rsidRDefault="00645D0A" w:rsidP="00645D0A">
      <w:pPr>
        <w:autoSpaceDE w:val="0"/>
        <w:autoSpaceDN w:val="0"/>
        <w:adjustRightInd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By Council Members Lee, Louis, Nurse, Yeger, Kagan, Menin, Marte, Farías, Williams, Holden, Brooks-Powers, Schulman, Dinowitz, Ossé, Narcisse, Richardson Jordan, Bottcher, Abreu, Restler, Avilés, Hudson, De La Rosa, Cabán, Gennaro, Sanchez, Ariola and Paladino</w:t>
      </w:r>
    </w:p>
    <w:p w14:paraId="3FD0821C" w14:textId="77777777" w:rsidR="00FD21D9" w:rsidRPr="00FD21D9" w:rsidRDefault="00FD21D9" w:rsidP="009D26C4">
      <w:pPr>
        <w:spacing w:after="0"/>
        <w:jc w:val="both"/>
        <w:rPr>
          <w:rFonts w:ascii="Times New Roman" w:hAnsi="Times New Roman" w:cs="Times New Roman"/>
          <w:sz w:val="24"/>
          <w:szCs w:val="24"/>
        </w:rPr>
      </w:pPr>
      <w:bookmarkStart w:id="0" w:name="_GoBack"/>
      <w:bookmarkEnd w:id="0"/>
    </w:p>
    <w:p w14:paraId="3D1C32D4"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Whereas, The New York Public Service Commission (PSC) regulates the State’s electric, gas, steam, telecommunications and water utilities;</w:t>
      </w:r>
      <w:r w:rsidR="00FD21D9" w:rsidRPr="00FD21D9">
        <w:rPr>
          <w:color w:val="000000"/>
        </w:rPr>
        <w:t xml:space="preserve"> and</w:t>
      </w:r>
    </w:p>
    <w:p w14:paraId="7DD6D3DE"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The Commission also oversees the cable industry; and </w:t>
      </w:r>
    </w:p>
    <w:p w14:paraId="358AD838"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The Commission is housed within the Department of Public Service (DPS) and the Chair, designated by the Governor, also serves as the Chief Executive Officer of the Department; and </w:t>
      </w:r>
    </w:p>
    <w:p w14:paraId="2A95BDD4"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A key responsibility of the PSC is approving rate increases, proposed by the various utility companies, and ensuring that New Yorkers are receiving adequate service; and </w:t>
      </w:r>
    </w:p>
    <w:p w14:paraId="4DA02D8E"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In New York City, Consolidated Edison of New York (ConEd) holds a virtual monopoly over the electricity market, serving all parts of New York City (except for Rockaway, Queens), and Westchester County; and </w:t>
      </w:r>
    </w:p>
    <w:p w14:paraId="15007BA0"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Although there are alternative electricity suppliers, all of these Energy Service Companies (ESCOs) still rely on existing utilities’ infrastructure to deliver the electricity; and </w:t>
      </w:r>
    </w:p>
    <w:p w14:paraId="4E937733"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Whereas, Therefore, most New York City residents are at the mercy of ConEd’s billing practices; and</w:t>
      </w:r>
    </w:p>
    <w:p w14:paraId="0A50C3B6"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The PSC exists to offer some protection to consumers – being a check on superfluous rate increases and ensuring a consistent and reliable delivery of utilities; and </w:t>
      </w:r>
    </w:p>
    <w:p w14:paraId="5770CAF9"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lastRenderedPageBreak/>
        <w:t>Whereas, However, over the past few years, the PSC has approved rate case increases for ConEd, and New Yorkers have had their electricity bills soar; and</w:t>
      </w:r>
    </w:p>
    <w:p w14:paraId="1D279298"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Whereas, This is despite the fact that New York City residents have experienced numerous blackouts and decreased services, even during heatwaves; and</w:t>
      </w:r>
    </w:p>
    <w:p w14:paraId="122F866C"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In fact, while investigating ConEd’s preparation for tropical Storm Isaias and its ability to restore power after the storm hit, the DPS threatened to revoke its franchise; and </w:t>
      </w:r>
    </w:p>
    <w:p w14:paraId="44448F5D"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Despite these demonstrated failures in service, the PSC continues to approve rate </w:t>
      </w:r>
      <w:r w:rsidR="00E651D8">
        <w:rPr>
          <w:color w:val="000000"/>
        </w:rPr>
        <w:t xml:space="preserve">case </w:t>
      </w:r>
      <w:r w:rsidRPr="00FD21D9">
        <w:rPr>
          <w:color w:val="000000"/>
        </w:rPr>
        <w:t xml:space="preserve">increases; and </w:t>
      </w:r>
    </w:p>
    <w:p w14:paraId="153CAA1F"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Whereas, According to advocates such as Susan Lerner from Common Cause NY, the PSC Commissioners are typically plucked from private industry and are more concerned with industry profit than consumer wellbeing;</w:t>
      </w:r>
      <w:r w:rsidRPr="00FD21D9">
        <w:rPr>
          <w:rStyle w:val="FootnoteReference"/>
          <w:color w:val="000000"/>
        </w:rPr>
        <w:t xml:space="preserve"> </w:t>
      </w:r>
      <w:r w:rsidRPr="00FD21D9">
        <w:rPr>
          <w:color w:val="000000"/>
        </w:rPr>
        <w:t xml:space="preserve">and </w:t>
      </w:r>
    </w:p>
    <w:p w14:paraId="535717BD" w14:textId="77777777" w:rsidR="009D26C4" w:rsidRPr="00FD21D9" w:rsidRDefault="009D26C4" w:rsidP="00FD21D9">
      <w:pPr>
        <w:pStyle w:val="NormalWeb"/>
        <w:spacing w:before="0" w:beforeAutospacing="0" w:after="0" w:afterAutospacing="0" w:line="480" w:lineRule="auto"/>
        <w:ind w:firstLine="720"/>
        <w:jc w:val="both"/>
        <w:rPr>
          <w:color w:val="000000"/>
        </w:rPr>
      </w:pPr>
      <w:r w:rsidRPr="00FD21D9">
        <w:rPr>
          <w:color w:val="000000"/>
        </w:rPr>
        <w:t xml:space="preserve">Whereas, ConEd is proposing an 11.2 percent increase in electric rates and </w:t>
      </w:r>
      <w:r w:rsidR="00E651D8">
        <w:rPr>
          <w:color w:val="000000"/>
        </w:rPr>
        <w:t xml:space="preserve">an </w:t>
      </w:r>
      <w:r w:rsidRPr="00FD21D9">
        <w:rPr>
          <w:color w:val="000000"/>
        </w:rPr>
        <w:t>18.2 percent increase in gas rates starting in January 2023; and</w:t>
      </w:r>
    </w:p>
    <w:p w14:paraId="4F369B81" w14:textId="77777777" w:rsidR="009D26C4" w:rsidRPr="00FD21D9" w:rsidRDefault="009D26C4" w:rsidP="00FD21D9">
      <w:pPr>
        <w:pStyle w:val="NormalWeb"/>
        <w:spacing w:before="0" w:beforeAutospacing="0" w:after="0" w:afterAutospacing="0" w:line="480" w:lineRule="auto"/>
        <w:ind w:firstLine="720"/>
        <w:jc w:val="both"/>
      </w:pPr>
      <w:r w:rsidRPr="00FD21D9">
        <w:rPr>
          <w:color w:val="000000"/>
        </w:rPr>
        <w:t xml:space="preserve">Whereas, According to ConEd, annual increases in </w:t>
      </w:r>
      <w:r w:rsidR="00E651D8">
        <w:rPr>
          <w:color w:val="000000"/>
        </w:rPr>
        <w:t xml:space="preserve">utility rates are needed </w:t>
      </w:r>
      <w:r w:rsidRPr="00FD21D9">
        <w:rPr>
          <w:color w:val="000000"/>
        </w:rPr>
        <w:t>for ConEd to operate its energy system, i</w:t>
      </w:r>
      <w:r w:rsidRPr="00FD21D9">
        <w:t>nvest in energy efficiency and public improvement projects and advance NYS’s clean energy transition; and</w:t>
      </w:r>
    </w:p>
    <w:p w14:paraId="7CF888A3" w14:textId="77777777" w:rsidR="009D26C4" w:rsidRPr="00FD21D9" w:rsidRDefault="009D26C4" w:rsidP="00FD21D9">
      <w:pPr>
        <w:pStyle w:val="NormalWeb"/>
        <w:spacing w:before="0" w:beforeAutospacing="0" w:after="0" w:afterAutospacing="0" w:line="480" w:lineRule="auto"/>
        <w:ind w:firstLine="720"/>
        <w:jc w:val="both"/>
      </w:pPr>
      <w:r w:rsidRPr="00FD21D9">
        <w:t>Whereas, ConEd also pays $2.5 billion in property taxes annually to municipal and state entities, the majority of which goes to the City of New York; and</w:t>
      </w:r>
    </w:p>
    <w:p w14:paraId="659EE12E" w14:textId="77777777" w:rsidR="009D26C4" w:rsidRPr="00FD21D9" w:rsidRDefault="009D26C4" w:rsidP="00FD21D9">
      <w:pPr>
        <w:pStyle w:val="NormalWeb"/>
        <w:spacing w:before="0" w:beforeAutospacing="0" w:after="0" w:afterAutospacing="0" w:line="480" w:lineRule="auto"/>
        <w:ind w:firstLine="720"/>
        <w:jc w:val="both"/>
      </w:pPr>
      <w:r w:rsidRPr="00FD21D9">
        <w:t>Whereas, According to ConEd, “the costs of taxes are socialized across our customer base”; and</w:t>
      </w:r>
    </w:p>
    <w:p w14:paraId="1B31873E" w14:textId="77777777" w:rsidR="009D26C4" w:rsidRPr="00FD21D9" w:rsidRDefault="009D26C4" w:rsidP="00FD21D9">
      <w:pPr>
        <w:pStyle w:val="NormalWeb"/>
        <w:spacing w:before="0" w:beforeAutospacing="0" w:after="0" w:afterAutospacing="0" w:line="480" w:lineRule="auto"/>
        <w:ind w:firstLine="720"/>
        <w:jc w:val="both"/>
      </w:pPr>
      <w:r w:rsidRPr="00FD21D9">
        <w:t>Whereas, ConEd has therefore acknowledged that part of its annual rate case is for City residents to pay for ConEd’s property taxes; and</w:t>
      </w:r>
    </w:p>
    <w:p w14:paraId="561E0DB8" w14:textId="77777777" w:rsidR="009D26C4" w:rsidRPr="00FD21D9" w:rsidRDefault="009D26C4" w:rsidP="00FD21D9">
      <w:pPr>
        <w:pStyle w:val="NormalWeb"/>
        <w:spacing w:before="0" w:beforeAutospacing="0" w:after="0" w:afterAutospacing="0" w:line="480" w:lineRule="auto"/>
        <w:ind w:firstLine="720"/>
        <w:jc w:val="both"/>
      </w:pPr>
      <w:r w:rsidRPr="00FD21D9">
        <w:lastRenderedPageBreak/>
        <w:t>Whereas, ConEd reported over $11.716 billion in operating revenues in 2021, up from $10.647 billion in 2020; and</w:t>
      </w:r>
    </w:p>
    <w:p w14:paraId="5A012E86" w14:textId="77777777" w:rsidR="009D26C4" w:rsidRPr="00FD21D9" w:rsidRDefault="009D26C4" w:rsidP="00FD21D9">
      <w:pPr>
        <w:pStyle w:val="NormalWeb"/>
        <w:spacing w:before="0" w:beforeAutospacing="0" w:after="0" w:afterAutospacing="0" w:line="480" w:lineRule="auto"/>
        <w:ind w:firstLine="720"/>
        <w:jc w:val="both"/>
      </w:pPr>
      <w:r w:rsidRPr="00FD21D9">
        <w:t>Whereas, City residents have meanwhile struggled to recover from the economic impact of the pandemic; and</w:t>
      </w:r>
    </w:p>
    <w:p w14:paraId="7A62ACFB" w14:textId="77777777" w:rsidR="009D26C4" w:rsidRPr="00FD21D9" w:rsidRDefault="009D26C4" w:rsidP="00E651D8">
      <w:pPr>
        <w:spacing w:after="0" w:line="480" w:lineRule="auto"/>
        <w:ind w:firstLine="720"/>
        <w:jc w:val="both"/>
        <w:rPr>
          <w:rFonts w:ascii="Times New Roman" w:hAnsi="Times New Roman" w:cs="Times New Roman"/>
          <w:sz w:val="24"/>
          <w:szCs w:val="24"/>
        </w:rPr>
      </w:pPr>
      <w:r w:rsidRPr="00FD21D9">
        <w:rPr>
          <w:rFonts w:ascii="Times New Roman" w:hAnsi="Times New Roman" w:cs="Times New Roman"/>
          <w:sz w:val="24"/>
          <w:szCs w:val="24"/>
        </w:rPr>
        <w:t>Whereas, The NYC Independent Budget Office predicts that New York City will not recover all of the jobs lost in 2020 until 2025; and</w:t>
      </w:r>
    </w:p>
    <w:p w14:paraId="36932560" w14:textId="77777777" w:rsidR="009D26C4" w:rsidRPr="00FD21D9" w:rsidRDefault="009D26C4" w:rsidP="00E651D8">
      <w:pPr>
        <w:spacing w:after="0" w:line="480" w:lineRule="auto"/>
        <w:ind w:firstLine="720"/>
        <w:jc w:val="both"/>
        <w:rPr>
          <w:rFonts w:ascii="Times New Roman" w:hAnsi="Times New Roman" w:cs="Times New Roman"/>
          <w:sz w:val="24"/>
          <w:szCs w:val="24"/>
        </w:rPr>
      </w:pPr>
      <w:r w:rsidRPr="00FD21D9">
        <w:rPr>
          <w:rFonts w:ascii="Times New Roman" w:hAnsi="Times New Roman" w:cs="Times New Roman"/>
          <w:sz w:val="24"/>
          <w:szCs w:val="24"/>
        </w:rPr>
        <w:t xml:space="preserve">Whereas, As ConEd proposes another rate </w:t>
      </w:r>
      <w:r w:rsidR="00E651D8">
        <w:rPr>
          <w:rFonts w:ascii="Times New Roman" w:hAnsi="Times New Roman" w:cs="Times New Roman"/>
          <w:sz w:val="24"/>
          <w:szCs w:val="24"/>
        </w:rPr>
        <w:t xml:space="preserve">case </w:t>
      </w:r>
      <w:r w:rsidRPr="00FD21D9">
        <w:rPr>
          <w:rFonts w:ascii="Times New Roman" w:hAnsi="Times New Roman" w:cs="Times New Roman"/>
          <w:sz w:val="24"/>
          <w:szCs w:val="24"/>
        </w:rPr>
        <w:t xml:space="preserve">increase for January 2023, City residents struggling to pay their bills will enter </w:t>
      </w:r>
      <w:r w:rsidR="009D13BC">
        <w:rPr>
          <w:rFonts w:ascii="Times New Roman" w:hAnsi="Times New Roman" w:cs="Times New Roman"/>
          <w:sz w:val="24"/>
          <w:szCs w:val="24"/>
        </w:rPr>
        <w:t xml:space="preserve">even </w:t>
      </w:r>
      <w:r w:rsidRPr="00FD21D9">
        <w:rPr>
          <w:rFonts w:ascii="Times New Roman" w:hAnsi="Times New Roman" w:cs="Times New Roman"/>
          <w:sz w:val="24"/>
          <w:szCs w:val="24"/>
        </w:rPr>
        <w:t>greater debt; and</w:t>
      </w:r>
    </w:p>
    <w:p w14:paraId="460DA805" w14:textId="77777777" w:rsidR="009D26C4" w:rsidRPr="00FD21D9" w:rsidRDefault="009D26C4" w:rsidP="00FD21D9">
      <w:pPr>
        <w:pStyle w:val="NormalWeb"/>
        <w:spacing w:before="0" w:beforeAutospacing="0" w:after="0" w:afterAutospacing="0" w:line="480" w:lineRule="auto"/>
        <w:ind w:firstLine="720"/>
        <w:jc w:val="both"/>
      </w:pPr>
      <w:r w:rsidRPr="00FD21D9">
        <w:t>Whereas, ConEd is a member of the industry group Edison Electric Institute, which spends millions of dollars annually on state and federal lobbying efforts; and</w:t>
      </w:r>
    </w:p>
    <w:p w14:paraId="14F3A0FC" w14:textId="77777777" w:rsidR="009D26C4" w:rsidRPr="00FD21D9" w:rsidRDefault="009D26C4" w:rsidP="00FD21D9">
      <w:pPr>
        <w:pStyle w:val="NormalWeb"/>
        <w:spacing w:before="0" w:beforeAutospacing="0" w:after="0" w:afterAutospacing="0" w:line="480" w:lineRule="auto"/>
        <w:ind w:firstLine="720"/>
        <w:jc w:val="both"/>
      </w:pPr>
      <w:r w:rsidRPr="00FD21D9">
        <w:t>Whereas, Given its near monopoly status as a utility in NYC, ConEd has near assurance that it will continue to generate profits in future years; and</w:t>
      </w:r>
    </w:p>
    <w:p w14:paraId="61739CDE" w14:textId="77777777" w:rsidR="009D26C4" w:rsidRPr="00FD21D9" w:rsidRDefault="009D26C4" w:rsidP="00FD21D9">
      <w:pPr>
        <w:pStyle w:val="NormalWeb"/>
        <w:spacing w:before="0" w:beforeAutospacing="0" w:after="0" w:afterAutospacing="0" w:line="480" w:lineRule="auto"/>
        <w:ind w:firstLine="720"/>
        <w:jc w:val="both"/>
      </w:pPr>
      <w:r w:rsidRPr="00FD21D9">
        <w:t xml:space="preserve">Whereas, Beyond the PSC rejecting a rate case proposal, there are no </w:t>
      </w:r>
      <w:r w:rsidR="008B3C17">
        <w:t xml:space="preserve">mechanisms </w:t>
      </w:r>
      <w:r w:rsidRPr="00FD21D9">
        <w:t xml:space="preserve">to prevent a utility from proposing an exorbitantly high rate case; and </w:t>
      </w:r>
    </w:p>
    <w:p w14:paraId="2B55C8C4" w14:textId="281D47E6" w:rsidR="009D26C4" w:rsidRPr="00FD21D9" w:rsidRDefault="009D26C4" w:rsidP="00FD21D9">
      <w:pPr>
        <w:pStyle w:val="NormalWeb"/>
        <w:spacing w:before="0" w:beforeAutospacing="0" w:after="0" w:afterAutospacing="0" w:line="480" w:lineRule="auto"/>
        <w:ind w:firstLine="720"/>
        <w:jc w:val="both"/>
      </w:pPr>
      <w:r w:rsidRPr="00FD21D9">
        <w:t>Whereas, To enhance consumer protections and hold ConEd and other utilities more accountable, there should be a</w:t>
      </w:r>
      <w:r w:rsidR="008F2ACA">
        <w:t xml:space="preserve"> percentage cap </w:t>
      </w:r>
      <w:r w:rsidRPr="00FD21D9">
        <w:t xml:space="preserve">that </w:t>
      </w:r>
      <w:r w:rsidR="008F2ACA">
        <w:t xml:space="preserve">an annual rate case </w:t>
      </w:r>
      <w:r w:rsidRPr="00FD21D9">
        <w:t>cannot exceed; and</w:t>
      </w:r>
    </w:p>
    <w:p w14:paraId="1503D20F" w14:textId="77777777" w:rsidR="009D26C4" w:rsidRPr="00FD21D9" w:rsidRDefault="009D26C4" w:rsidP="00FD21D9">
      <w:pPr>
        <w:pStyle w:val="NormalWeb"/>
        <w:spacing w:before="0" w:beforeAutospacing="0" w:after="0" w:afterAutospacing="0" w:line="480" w:lineRule="auto"/>
        <w:ind w:firstLine="720"/>
        <w:jc w:val="both"/>
      </w:pPr>
      <w:r w:rsidRPr="00FD21D9">
        <w:t xml:space="preserve">Whereas, This regulation would prevent utilities from proposing excessive rate case increases, therefore requiring utilities to invest more of their own money to pay taxes or public improvement projects instead of passing these costs on to City residents; now, therefore, be it </w:t>
      </w:r>
    </w:p>
    <w:p w14:paraId="4E9E4E88" w14:textId="77777777" w:rsidR="009D26C4" w:rsidRPr="00FD21D9" w:rsidRDefault="009D26C4" w:rsidP="00FD21D9">
      <w:pPr>
        <w:pStyle w:val="NormalWeb"/>
        <w:spacing w:before="0" w:beforeAutospacing="0" w:after="0" w:afterAutospacing="0" w:line="480" w:lineRule="auto"/>
        <w:ind w:firstLine="720"/>
        <w:jc w:val="both"/>
        <w:rPr>
          <w:b/>
        </w:rPr>
      </w:pPr>
      <w:r w:rsidRPr="00FD21D9">
        <w:rPr>
          <w:rFonts w:eastAsiaTheme="minorHAnsi"/>
        </w:rPr>
        <w:t xml:space="preserve">Resolved, That the Council of the City of New York </w:t>
      </w:r>
      <w:r w:rsidRPr="00FD21D9">
        <w:t xml:space="preserve">on the New York State Legislature to </w:t>
      </w:r>
      <w:r w:rsidR="008B3C17">
        <w:t xml:space="preserve">pass, and the Governor to sign, </w:t>
      </w:r>
      <w:r w:rsidRPr="00FD21D9">
        <w:t>amendments to article 4 of the Public Service Law to prevent a utility’s case rate from exceeding a certain percentage each year.</w:t>
      </w:r>
    </w:p>
    <w:p w14:paraId="2A37A361" w14:textId="77777777" w:rsidR="005924D5" w:rsidRPr="00E86C2F" w:rsidRDefault="00FD21D9" w:rsidP="00FD21D9">
      <w:pPr>
        <w:spacing w:after="0" w:line="240" w:lineRule="auto"/>
        <w:jc w:val="both"/>
        <w:rPr>
          <w:rFonts w:ascii="Times New Roman" w:hAnsi="Times New Roman" w:cs="Times New Roman"/>
        </w:rPr>
      </w:pPr>
      <w:r w:rsidRPr="00E86C2F">
        <w:rPr>
          <w:rFonts w:ascii="Times New Roman" w:hAnsi="Times New Roman" w:cs="Times New Roman"/>
        </w:rPr>
        <w:t>NM</w:t>
      </w:r>
    </w:p>
    <w:p w14:paraId="33839043" w14:textId="77777777" w:rsidR="00FD21D9" w:rsidRPr="00E86C2F" w:rsidRDefault="00FD21D9" w:rsidP="00FD21D9">
      <w:pPr>
        <w:spacing w:after="0" w:line="240" w:lineRule="auto"/>
        <w:jc w:val="both"/>
        <w:rPr>
          <w:rFonts w:ascii="Times New Roman" w:hAnsi="Times New Roman" w:cs="Times New Roman"/>
        </w:rPr>
      </w:pPr>
      <w:r w:rsidRPr="00E86C2F">
        <w:rPr>
          <w:rFonts w:ascii="Times New Roman" w:hAnsi="Times New Roman" w:cs="Times New Roman"/>
        </w:rPr>
        <w:t>LS #8424</w:t>
      </w:r>
    </w:p>
    <w:p w14:paraId="594233E1" w14:textId="77777777" w:rsidR="00FD21D9" w:rsidRPr="00E86C2F" w:rsidRDefault="00FD21D9" w:rsidP="00FD21D9">
      <w:pPr>
        <w:spacing w:after="0" w:line="240" w:lineRule="auto"/>
        <w:jc w:val="both"/>
        <w:rPr>
          <w:rFonts w:ascii="Times New Roman" w:hAnsi="Times New Roman" w:cs="Times New Roman"/>
        </w:rPr>
      </w:pPr>
      <w:r w:rsidRPr="00E86C2F">
        <w:rPr>
          <w:rFonts w:ascii="Times New Roman" w:hAnsi="Times New Roman" w:cs="Times New Roman"/>
        </w:rPr>
        <w:t>4/20/2022</w:t>
      </w:r>
    </w:p>
    <w:sectPr w:rsidR="00FD21D9" w:rsidRPr="00E86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014D" w14:textId="77777777" w:rsidR="00D6768A" w:rsidRDefault="00D6768A" w:rsidP="009D26C4">
      <w:pPr>
        <w:spacing w:after="0" w:line="240" w:lineRule="auto"/>
      </w:pPr>
      <w:r>
        <w:separator/>
      </w:r>
    </w:p>
  </w:endnote>
  <w:endnote w:type="continuationSeparator" w:id="0">
    <w:p w14:paraId="2C0D96D8" w14:textId="77777777" w:rsidR="00D6768A" w:rsidRDefault="00D6768A" w:rsidP="009D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53EA" w14:textId="77777777" w:rsidR="00D6768A" w:rsidRDefault="00D6768A" w:rsidP="009D26C4">
      <w:pPr>
        <w:spacing w:after="0" w:line="240" w:lineRule="auto"/>
      </w:pPr>
      <w:r>
        <w:separator/>
      </w:r>
    </w:p>
  </w:footnote>
  <w:footnote w:type="continuationSeparator" w:id="0">
    <w:p w14:paraId="35D6C0A9" w14:textId="77777777" w:rsidR="00D6768A" w:rsidRDefault="00D6768A" w:rsidP="009D2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C4"/>
    <w:rsid w:val="00012398"/>
    <w:rsid w:val="00056868"/>
    <w:rsid w:val="000D3263"/>
    <w:rsid w:val="000F2DEF"/>
    <w:rsid w:val="00124C19"/>
    <w:rsid w:val="00147414"/>
    <w:rsid w:val="001A61CD"/>
    <w:rsid w:val="001E19EA"/>
    <w:rsid w:val="001E2462"/>
    <w:rsid w:val="00210F58"/>
    <w:rsid w:val="00295B9B"/>
    <w:rsid w:val="002B1E47"/>
    <w:rsid w:val="002B7E71"/>
    <w:rsid w:val="002D3540"/>
    <w:rsid w:val="002E1178"/>
    <w:rsid w:val="00301BFF"/>
    <w:rsid w:val="0032408F"/>
    <w:rsid w:val="00380B27"/>
    <w:rsid w:val="003939A3"/>
    <w:rsid w:val="003968B4"/>
    <w:rsid w:val="003B2E19"/>
    <w:rsid w:val="003C70DE"/>
    <w:rsid w:val="003C752D"/>
    <w:rsid w:val="003E2F28"/>
    <w:rsid w:val="003E6F32"/>
    <w:rsid w:val="0043367D"/>
    <w:rsid w:val="00456123"/>
    <w:rsid w:val="00457C05"/>
    <w:rsid w:val="005924D5"/>
    <w:rsid w:val="005A2E02"/>
    <w:rsid w:val="005D24B1"/>
    <w:rsid w:val="005F3EE0"/>
    <w:rsid w:val="00645D0A"/>
    <w:rsid w:val="006544D0"/>
    <w:rsid w:val="006A1EB2"/>
    <w:rsid w:val="007359F0"/>
    <w:rsid w:val="00764F97"/>
    <w:rsid w:val="007A24D8"/>
    <w:rsid w:val="007F75AD"/>
    <w:rsid w:val="00821BE5"/>
    <w:rsid w:val="008502A6"/>
    <w:rsid w:val="008948E4"/>
    <w:rsid w:val="00895379"/>
    <w:rsid w:val="008B15A7"/>
    <w:rsid w:val="008B3C17"/>
    <w:rsid w:val="008F2ACA"/>
    <w:rsid w:val="008F2AF8"/>
    <w:rsid w:val="008F3E58"/>
    <w:rsid w:val="00930DCE"/>
    <w:rsid w:val="009C0CE4"/>
    <w:rsid w:val="009D13BC"/>
    <w:rsid w:val="009D26C4"/>
    <w:rsid w:val="00A5422B"/>
    <w:rsid w:val="00A82858"/>
    <w:rsid w:val="00A83DC3"/>
    <w:rsid w:val="00AB255B"/>
    <w:rsid w:val="00B94AAE"/>
    <w:rsid w:val="00BC1F47"/>
    <w:rsid w:val="00BD6152"/>
    <w:rsid w:val="00C07435"/>
    <w:rsid w:val="00C83361"/>
    <w:rsid w:val="00C9218A"/>
    <w:rsid w:val="00CF351B"/>
    <w:rsid w:val="00D0052E"/>
    <w:rsid w:val="00D6768A"/>
    <w:rsid w:val="00DE0644"/>
    <w:rsid w:val="00E651D8"/>
    <w:rsid w:val="00E70A9F"/>
    <w:rsid w:val="00E844B1"/>
    <w:rsid w:val="00E86C2F"/>
    <w:rsid w:val="00EC0572"/>
    <w:rsid w:val="00ED7E55"/>
    <w:rsid w:val="00EF6945"/>
    <w:rsid w:val="00F82FE7"/>
    <w:rsid w:val="00F96427"/>
    <w:rsid w:val="00FD21D9"/>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D92F"/>
  <w15:chartTrackingRefBased/>
  <w15:docId w15:val="{A5306CFB-6BB7-4426-9EF5-EF13F9CF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6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2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6C4"/>
    <w:rPr>
      <w:sz w:val="20"/>
      <w:szCs w:val="20"/>
    </w:rPr>
  </w:style>
  <w:style w:type="character" w:styleId="FootnoteReference">
    <w:name w:val="footnote reference"/>
    <w:basedOn w:val="DefaultParagraphFont"/>
    <w:uiPriority w:val="99"/>
    <w:semiHidden/>
    <w:unhideWhenUsed/>
    <w:rsid w:val="009D26C4"/>
    <w:rPr>
      <w:vertAlign w:val="superscript"/>
    </w:rPr>
  </w:style>
  <w:style w:type="character" w:styleId="Hyperlink">
    <w:name w:val="Hyperlink"/>
    <w:basedOn w:val="DefaultParagraphFont"/>
    <w:uiPriority w:val="99"/>
    <w:unhideWhenUsed/>
    <w:rsid w:val="009D26C4"/>
    <w:rPr>
      <w:color w:val="0000FF"/>
      <w:u w:val="single"/>
    </w:rPr>
  </w:style>
  <w:style w:type="character" w:styleId="CommentReference">
    <w:name w:val="annotation reference"/>
    <w:basedOn w:val="DefaultParagraphFont"/>
    <w:uiPriority w:val="99"/>
    <w:semiHidden/>
    <w:unhideWhenUsed/>
    <w:rsid w:val="001A61CD"/>
    <w:rPr>
      <w:sz w:val="16"/>
      <w:szCs w:val="16"/>
    </w:rPr>
  </w:style>
  <w:style w:type="paragraph" w:styleId="CommentText">
    <w:name w:val="annotation text"/>
    <w:basedOn w:val="Normal"/>
    <w:link w:val="CommentTextChar"/>
    <w:uiPriority w:val="99"/>
    <w:semiHidden/>
    <w:unhideWhenUsed/>
    <w:rsid w:val="001A61CD"/>
    <w:pPr>
      <w:spacing w:line="240" w:lineRule="auto"/>
    </w:pPr>
    <w:rPr>
      <w:sz w:val="20"/>
      <w:szCs w:val="20"/>
    </w:rPr>
  </w:style>
  <w:style w:type="character" w:customStyle="1" w:styleId="CommentTextChar">
    <w:name w:val="Comment Text Char"/>
    <w:basedOn w:val="DefaultParagraphFont"/>
    <w:link w:val="CommentText"/>
    <w:uiPriority w:val="99"/>
    <w:semiHidden/>
    <w:rsid w:val="001A61CD"/>
    <w:rPr>
      <w:sz w:val="20"/>
      <w:szCs w:val="20"/>
    </w:rPr>
  </w:style>
  <w:style w:type="paragraph" w:styleId="CommentSubject">
    <w:name w:val="annotation subject"/>
    <w:basedOn w:val="CommentText"/>
    <w:next w:val="CommentText"/>
    <w:link w:val="CommentSubjectChar"/>
    <w:uiPriority w:val="99"/>
    <w:semiHidden/>
    <w:unhideWhenUsed/>
    <w:rsid w:val="001A61CD"/>
    <w:rPr>
      <w:b/>
      <w:bCs/>
    </w:rPr>
  </w:style>
  <w:style w:type="character" w:customStyle="1" w:styleId="CommentSubjectChar">
    <w:name w:val="Comment Subject Char"/>
    <w:basedOn w:val="CommentTextChar"/>
    <w:link w:val="CommentSubject"/>
    <w:uiPriority w:val="99"/>
    <w:semiHidden/>
    <w:rsid w:val="001A61CD"/>
    <w:rPr>
      <w:b/>
      <w:bCs/>
      <w:sz w:val="20"/>
      <w:szCs w:val="20"/>
    </w:rPr>
  </w:style>
  <w:style w:type="paragraph" w:styleId="BalloonText">
    <w:name w:val="Balloon Text"/>
    <w:basedOn w:val="Normal"/>
    <w:link w:val="BalloonTextChar"/>
    <w:uiPriority w:val="99"/>
    <w:semiHidden/>
    <w:unhideWhenUsed/>
    <w:rsid w:val="001A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1A87-5C0D-41EC-80C9-243A8119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Martin, William</cp:lastModifiedBy>
  <cp:revision>55</cp:revision>
  <dcterms:created xsi:type="dcterms:W3CDTF">2022-05-16T17:58:00Z</dcterms:created>
  <dcterms:modified xsi:type="dcterms:W3CDTF">2022-09-27T00:10:00Z</dcterms:modified>
</cp:coreProperties>
</file>