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0358" w14:textId="65625306" w:rsidR="00C43D6D" w:rsidRDefault="00C43D6D" w:rsidP="00C43D6D">
      <w:pPr>
        <w:ind w:firstLine="0"/>
        <w:jc w:val="center"/>
      </w:pPr>
      <w:r>
        <w:t>Int. No.</w:t>
      </w:r>
      <w:r w:rsidR="005D56CC">
        <w:t xml:space="preserve"> 186</w:t>
      </w:r>
    </w:p>
    <w:p w14:paraId="0AE232C2" w14:textId="77777777" w:rsidR="00C43D6D" w:rsidRDefault="00C43D6D" w:rsidP="00C43D6D">
      <w:pPr>
        <w:ind w:firstLine="0"/>
        <w:jc w:val="center"/>
      </w:pPr>
    </w:p>
    <w:p w14:paraId="60B3F73F" w14:textId="77777777" w:rsidR="0070087A" w:rsidRDefault="0070087A" w:rsidP="0070087A">
      <w:pPr>
        <w:autoSpaceDE w:val="0"/>
        <w:autoSpaceDN w:val="0"/>
        <w:adjustRightInd w:val="0"/>
        <w:ind w:firstLine="0"/>
        <w:jc w:val="both"/>
        <w:rPr>
          <w:rFonts w:eastAsia="Calibri"/>
        </w:rPr>
      </w:pPr>
      <w:r>
        <w:rPr>
          <w:rFonts w:eastAsia="Calibri"/>
        </w:rPr>
        <w:t>By the Public Advocate (Mr. Williams) and Council Members Cabán, Hanif, Won, Restler, Krishnan and Nurse</w:t>
      </w:r>
    </w:p>
    <w:p w14:paraId="03EE8306" w14:textId="24F5C9D5" w:rsidR="004E1CF2" w:rsidRPr="00A50A7F" w:rsidRDefault="0070087A" w:rsidP="007101A2">
      <w:pPr>
        <w:pStyle w:val="BodyText"/>
        <w:spacing w:line="240" w:lineRule="auto"/>
        <w:ind w:firstLine="0"/>
        <w:rPr>
          <w:sz w:val="18"/>
          <w:szCs w:val="18"/>
        </w:rPr>
      </w:pPr>
      <w:r>
        <w:rPr>
          <w:sz w:val="18"/>
          <w:szCs w:val="18"/>
        </w:rPr>
        <w:t xml:space="preserve"> </w:t>
      </w:r>
      <w:bookmarkStart w:id="0" w:name="_GoBack"/>
      <w:bookmarkEnd w:id="0"/>
    </w:p>
    <w:p w14:paraId="70253F0A" w14:textId="77777777" w:rsidR="00BE3EBD" w:rsidRPr="00BE3EBD" w:rsidRDefault="00BE3EBD" w:rsidP="007101A2">
      <w:pPr>
        <w:pStyle w:val="BodyText"/>
        <w:spacing w:line="240" w:lineRule="auto"/>
        <w:ind w:firstLine="0"/>
        <w:rPr>
          <w:vanish/>
        </w:rPr>
      </w:pPr>
      <w:r w:rsidRPr="00BE3EBD">
        <w:rPr>
          <w:vanish/>
        </w:rPr>
        <w:t>..Title</w:t>
      </w:r>
    </w:p>
    <w:p w14:paraId="5FF055DF" w14:textId="77777777" w:rsidR="004E1CF2" w:rsidRDefault="00BE3EBD" w:rsidP="007101A2">
      <w:pPr>
        <w:pStyle w:val="BodyText"/>
        <w:spacing w:line="240" w:lineRule="auto"/>
        <w:ind w:firstLine="0"/>
      </w:pPr>
      <w:r>
        <w:t>A Local Law t</w:t>
      </w:r>
      <w:r w:rsidR="004E1CF2">
        <w:t xml:space="preserve">o </w:t>
      </w:r>
      <w:r w:rsidR="00E310B4">
        <w:t>amend the</w:t>
      </w:r>
      <w:r w:rsidR="00FC547E">
        <w:t xml:space="preserve"> </w:t>
      </w:r>
      <w:r w:rsidR="00A9498C">
        <w:t>administrative code of the city of New York</w:t>
      </w:r>
      <w:r w:rsidR="004E1CF2">
        <w:t>, in relation to</w:t>
      </w:r>
      <w:r w:rsidR="00A9498C">
        <w:t xml:space="preserve"> prohibiting discrimination in the issuance of </w:t>
      </w:r>
      <w:r w:rsidR="005D5BF3">
        <w:t>credit</w:t>
      </w:r>
      <w:r w:rsidR="00A9498C">
        <w:t xml:space="preserve"> and requir</w:t>
      </w:r>
      <w:r w:rsidR="003C7A42">
        <w:t>ing</w:t>
      </w:r>
      <w:r w:rsidR="00A9498C">
        <w:t xml:space="preserve"> creditors to disclose to potential borrowers how their rate is calculated</w:t>
      </w:r>
    </w:p>
    <w:p w14:paraId="221B33F0" w14:textId="77777777" w:rsidR="00BE3EBD" w:rsidRPr="00BE3EBD" w:rsidRDefault="00BE3EBD" w:rsidP="007101A2">
      <w:pPr>
        <w:pStyle w:val="BodyText"/>
        <w:spacing w:line="240" w:lineRule="auto"/>
        <w:ind w:firstLine="0"/>
        <w:rPr>
          <w:vanish/>
        </w:rPr>
      </w:pPr>
      <w:r w:rsidRPr="00BE3EBD">
        <w:rPr>
          <w:vanish/>
        </w:rPr>
        <w:t>..Body</w:t>
      </w:r>
    </w:p>
    <w:p w14:paraId="08A4558F" w14:textId="77777777" w:rsidR="00A9498C" w:rsidRPr="00A50A7F" w:rsidRDefault="00A9498C" w:rsidP="007101A2">
      <w:pPr>
        <w:pStyle w:val="BodyText"/>
        <w:spacing w:line="240" w:lineRule="auto"/>
        <w:ind w:firstLine="0"/>
        <w:rPr>
          <w:sz w:val="18"/>
          <w:szCs w:val="18"/>
          <w:u w:val="single"/>
        </w:rPr>
      </w:pPr>
    </w:p>
    <w:p w14:paraId="2372FA7C" w14:textId="77777777"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0D002EFB" w14:textId="77777777" w:rsidR="004E1CF2" w:rsidRDefault="004E1CF2" w:rsidP="006662DF">
      <w:pPr>
        <w:jc w:val="both"/>
      </w:pPr>
    </w:p>
    <w:p w14:paraId="5B17150B"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1F8F3A3D" w14:textId="77777777" w:rsidR="00A9498C" w:rsidRDefault="007101A2" w:rsidP="00A9498C">
      <w:pPr>
        <w:spacing w:line="480" w:lineRule="auto"/>
        <w:jc w:val="both"/>
      </w:pPr>
      <w:r w:rsidRPr="00BE5E3E">
        <w:t>S</w:t>
      </w:r>
      <w:r w:rsidR="004E1CF2" w:rsidRPr="00BE5E3E">
        <w:t>ection 1.</w:t>
      </w:r>
      <w:r w:rsidR="007E79D5" w:rsidRPr="00BE5E3E">
        <w:t xml:space="preserve"> </w:t>
      </w:r>
      <w:r w:rsidR="00A9498C" w:rsidRPr="00BE5E3E">
        <w:t>Section 8-107 of the administrativ</w:t>
      </w:r>
      <w:r w:rsidR="00BE5E3E">
        <w:t>e code of the city of New York</w:t>
      </w:r>
      <w:r w:rsidR="0015246D">
        <w:t>, as amended by local law number 32 for the year 2022,</w:t>
      </w:r>
      <w:r w:rsidR="00BE5E3E">
        <w:t xml:space="preserve"> </w:t>
      </w:r>
      <w:proofErr w:type="gramStart"/>
      <w:r w:rsidR="00A909EF" w:rsidRPr="00BE5E3E">
        <w:t>is amended</w:t>
      </w:r>
      <w:proofErr w:type="gramEnd"/>
      <w:r w:rsidR="00A909EF" w:rsidRPr="00BE5E3E">
        <w:t xml:space="preserve"> by adding a new subdivision </w:t>
      </w:r>
      <w:r w:rsidR="00816E1A">
        <w:t>3</w:t>
      </w:r>
      <w:r w:rsidR="0015246D">
        <w:t>3</w:t>
      </w:r>
      <w:r w:rsidR="00A909EF" w:rsidRPr="00BE5E3E">
        <w:t xml:space="preserve"> to read as follows:</w:t>
      </w:r>
    </w:p>
    <w:p w14:paraId="54B9F792" w14:textId="77777777" w:rsidR="00A909EF" w:rsidRPr="00A909EF" w:rsidRDefault="00816E1A" w:rsidP="00A9498C">
      <w:pPr>
        <w:spacing w:line="480" w:lineRule="auto"/>
        <w:jc w:val="both"/>
        <w:rPr>
          <w:u w:val="single"/>
        </w:rPr>
      </w:pPr>
      <w:r>
        <w:rPr>
          <w:u w:val="single"/>
        </w:rPr>
        <w:t>3</w:t>
      </w:r>
      <w:r w:rsidR="0015246D">
        <w:rPr>
          <w:u w:val="single"/>
        </w:rPr>
        <w:t>3</w:t>
      </w:r>
      <w:r w:rsidR="008B7804" w:rsidRPr="002E0401">
        <w:rPr>
          <w:u w:val="single"/>
        </w:rPr>
        <w:t>. Credit</w:t>
      </w:r>
      <w:r w:rsidR="00A909EF" w:rsidRPr="002E0401">
        <w:rPr>
          <w:u w:val="single"/>
        </w:rPr>
        <w:t xml:space="preserve">. </w:t>
      </w:r>
      <w:proofErr w:type="gramStart"/>
      <w:r w:rsidR="00A909EF" w:rsidRPr="002E0401">
        <w:rPr>
          <w:u w:val="single"/>
        </w:rPr>
        <w:t xml:space="preserve">(a) </w:t>
      </w:r>
      <w:r w:rsidR="00A9498C" w:rsidRPr="002E0401">
        <w:rPr>
          <w:u w:val="single"/>
        </w:rPr>
        <w:t xml:space="preserve">It shall be an unlawful discriminatory practice for any creditor or any officer, agent or employee thereof to discriminate </w:t>
      </w:r>
      <w:r w:rsidR="00A909EF" w:rsidRPr="002E0401">
        <w:rPr>
          <w:u w:val="single"/>
        </w:rPr>
        <w:t xml:space="preserve">in the granting, withholding, extending or renewing, or in the fixing of the rates, terms or conditions of, any form of credit </w:t>
      </w:r>
      <w:r w:rsidR="00A9498C" w:rsidRPr="002E0401">
        <w:rPr>
          <w:u w:val="single"/>
        </w:rPr>
        <w:t xml:space="preserve">on the basis of </w:t>
      </w:r>
      <w:r w:rsidR="00A909EF" w:rsidRPr="002E0401">
        <w:rPr>
          <w:u w:val="single"/>
        </w:rPr>
        <w:t>an applicant’s</w:t>
      </w:r>
      <w:r w:rsidR="00A9498C" w:rsidRPr="002E0401">
        <w:rPr>
          <w:u w:val="single"/>
        </w:rPr>
        <w:t xml:space="preserve"> race, creed, </w:t>
      </w:r>
      <w:r w:rsidR="00F83474" w:rsidRPr="002E0401">
        <w:rPr>
          <w:u w:val="single"/>
        </w:rPr>
        <w:t xml:space="preserve">religion, </w:t>
      </w:r>
      <w:r w:rsidR="00A9498C" w:rsidRPr="002E0401">
        <w:rPr>
          <w:u w:val="single"/>
        </w:rPr>
        <w:t xml:space="preserve">color, national origin, </w:t>
      </w:r>
      <w:r w:rsidR="002E71D2" w:rsidRPr="002E0401">
        <w:rPr>
          <w:u w:val="single"/>
        </w:rPr>
        <w:t xml:space="preserve">sexual orientation, age, </w:t>
      </w:r>
      <w:r w:rsidR="00A9498C" w:rsidRPr="002E0401">
        <w:rPr>
          <w:u w:val="single"/>
        </w:rPr>
        <w:t xml:space="preserve">gender, </w:t>
      </w:r>
      <w:r w:rsidR="002E71D2" w:rsidRPr="002E0401">
        <w:rPr>
          <w:u w:val="single"/>
        </w:rPr>
        <w:t xml:space="preserve">marital status, </w:t>
      </w:r>
      <w:r w:rsidR="00A9498C" w:rsidRPr="002E0401">
        <w:rPr>
          <w:u w:val="single"/>
        </w:rPr>
        <w:t>disability, partnership status</w:t>
      </w:r>
      <w:r w:rsidR="002E71D2" w:rsidRPr="002E0401">
        <w:rPr>
          <w:u w:val="single"/>
        </w:rPr>
        <w:t>,</w:t>
      </w:r>
      <w:r w:rsidR="00A9498C" w:rsidRPr="002E0401">
        <w:rPr>
          <w:u w:val="single"/>
        </w:rPr>
        <w:t xml:space="preserve"> </w:t>
      </w:r>
      <w:r w:rsidR="002E0401" w:rsidRPr="002E0401">
        <w:rPr>
          <w:u w:val="single"/>
        </w:rPr>
        <w:t xml:space="preserve">caregiver status, uniformed service or </w:t>
      </w:r>
      <w:r w:rsidR="00A9498C" w:rsidRPr="002E0401">
        <w:rPr>
          <w:u w:val="single"/>
        </w:rPr>
        <w:t xml:space="preserve">alienage or citizenship status of </w:t>
      </w:r>
      <w:r w:rsidR="00A909EF" w:rsidRPr="002E0401">
        <w:rPr>
          <w:u w:val="single"/>
        </w:rPr>
        <w:t>such</w:t>
      </w:r>
      <w:r w:rsidR="00A9498C" w:rsidRPr="002E0401">
        <w:rPr>
          <w:u w:val="single"/>
        </w:rPr>
        <w:t xml:space="preserve"> </w:t>
      </w:r>
      <w:r w:rsidR="00A909EF" w:rsidRPr="002E0401">
        <w:rPr>
          <w:u w:val="single"/>
        </w:rPr>
        <w:t>applicant</w:t>
      </w:r>
      <w:r w:rsidR="00A9498C" w:rsidRPr="002E0401">
        <w:rPr>
          <w:u w:val="single"/>
        </w:rPr>
        <w:t xml:space="preserve"> or </w:t>
      </w:r>
      <w:r w:rsidR="00A909EF" w:rsidRPr="002E0401">
        <w:rPr>
          <w:u w:val="single"/>
        </w:rPr>
        <w:t>applicants</w:t>
      </w:r>
      <w:r w:rsidR="00A9498C" w:rsidRPr="002E0401">
        <w:rPr>
          <w:u w:val="single"/>
        </w:rPr>
        <w:t>, or because of a</w:t>
      </w:r>
      <w:r w:rsidR="00A909EF" w:rsidRPr="002E0401">
        <w:rPr>
          <w:u w:val="single"/>
        </w:rPr>
        <w:t xml:space="preserve">ny lawful source of income of such applicant </w:t>
      </w:r>
      <w:r w:rsidR="00A9498C" w:rsidRPr="002E0401">
        <w:rPr>
          <w:u w:val="single"/>
        </w:rPr>
        <w:t xml:space="preserve">or </w:t>
      </w:r>
      <w:r w:rsidR="00A909EF" w:rsidRPr="002E0401">
        <w:rPr>
          <w:u w:val="single"/>
        </w:rPr>
        <w:t>applicants</w:t>
      </w:r>
      <w:r w:rsidR="00A9498C" w:rsidRPr="002E0401">
        <w:rPr>
          <w:u w:val="single"/>
        </w:rPr>
        <w:t>, or because children are, may</w:t>
      </w:r>
      <w:r w:rsidR="00A909EF" w:rsidRPr="002E0401">
        <w:rPr>
          <w:u w:val="single"/>
        </w:rPr>
        <w:t xml:space="preserve"> be or would be residing with such applicant </w:t>
      </w:r>
      <w:r w:rsidR="00A9498C" w:rsidRPr="002E0401">
        <w:rPr>
          <w:u w:val="single"/>
        </w:rPr>
        <w:t xml:space="preserve">or </w:t>
      </w:r>
      <w:r w:rsidR="00A909EF" w:rsidRPr="002E0401">
        <w:rPr>
          <w:u w:val="single"/>
        </w:rPr>
        <w:t>applicants</w:t>
      </w:r>
      <w:r w:rsidR="00A7682D" w:rsidRPr="002E0401">
        <w:rPr>
          <w:u w:val="single"/>
        </w:rPr>
        <w:t>.</w:t>
      </w:r>
      <w:proofErr w:type="gramEnd"/>
    </w:p>
    <w:p w14:paraId="7D5B8BD4" w14:textId="77777777" w:rsidR="0076162B" w:rsidRDefault="00A7682D" w:rsidP="0076162B">
      <w:pPr>
        <w:spacing w:line="480" w:lineRule="auto"/>
        <w:jc w:val="both"/>
        <w:rPr>
          <w:u w:val="single"/>
        </w:rPr>
      </w:pPr>
      <w:proofErr w:type="gramStart"/>
      <w:r w:rsidRPr="002E0401">
        <w:rPr>
          <w:u w:val="single"/>
        </w:rPr>
        <w:t xml:space="preserve">(b) </w:t>
      </w:r>
      <w:r w:rsidR="0076162B" w:rsidRPr="002E0401">
        <w:rPr>
          <w:u w:val="single"/>
        </w:rPr>
        <w:t xml:space="preserve">Notwithstanding paragraph a of this subdivision, it  shall  not  be  considered  discriminatory  if  credit differentiations or decisions are based upon factually supportable, objective differences in applicants' overall credit worthiness, which may include reference to such factors as current income, assets and prior credit history of such applicants, as well as reference to any other relevant factually supportable data; provided, however, that no creditor shall consider, in evaluating the credit worthiness of an applicant, aggregate statistics or assumptions relating to </w:t>
      </w:r>
      <w:r w:rsidR="002E0401" w:rsidRPr="002E0401">
        <w:rPr>
          <w:u w:val="single"/>
        </w:rPr>
        <w:t>race, creed, religion, color, national origin, sexual orientation, age, gender, marital status, disability, partnership status, caregiver status, uniformed service or alienage or citizenship status</w:t>
      </w:r>
      <w:r w:rsidR="0076162B" w:rsidRPr="002E0401">
        <w:rPr>
          <w:u w:val="single"/>
        </w:rPr>
        <w:t xml:space="preserve"> </w:t>
      </w:r>
      <w:r w:rsidR="0076162B" w:rsidRPr="002E0401">
        <w:rPr>
          <w:u w:val="single"/>
        </w:rPr>
        <w:lastRenderedPageBreak/>
        <w:t xml:space="preserve">of such applicant or applicants, or any lawful source of income of such applicant or applicants, or </w:t>
      </w:r>
      <w:r w:rsidR="001F04E7" w:rsidRPr="002E0401">
        <w:rPr>
          <w:u w:val="single"/>
        </w:rPr>
        <w:t>whether</w:t>
      </w:r>
      <w:r w:rsidR="0076162B" w:rsidRPr="002E0401">
        <w:rPr>
          <w:u w:val="single"/>
        </w:rPr>
        <w:t xml:space="preserve"> children are, may be or would be residing with such applicant or applicants.</w:t>
      </w:r>
      <w:proofErr w:type="gramEnd"/>
    </w:p>
    <w:p w14:paraId="3C104485" w14:textId="77777777" w:rsidR="00FE7F32" w:rsidRDefault="0076162B" w:rsidP="001065F2">
      <w:pPr>
        <w:spacing w:line="480" w:lineRule="auto"/>
        <w:jc w:val="both"/>
        <w:rPr>
          <w:u w:val="single"/>
        </w:rPr>
      </w:pPr>
      <w:r>
        <w:rPr>
          <w:u w:val="single"/>
        </w:rPr>
        <w:t xml:space="preserve">(c) </w:t>
      </w:r>
      <w:r w:rsidR="00A7682D">
        <w:rPr>
          <w:u w:val="single"/>
        </w:rPr>
        <w:t xml:space="preserve">Notwithstanding paragraph </w:t>
      </w:r>
      <w:r w:rsidR="001065F2">
        <w:rPr>
          <w:u w:val="single"/>
        </w:rPr>
        <w:t>a of this subdivision</w:t>
      </w:r>
      <w:r w:rsidR="00FE7F32">
        <w:rPr>
          <w:u w:val="single"/>
        </w:rPr>
        <w:t>,</w:t>
      </w:r>
      <w:r w:rsidR="001065F2">
        <w:rPr>
          <w:u w:val="single"/>
        </w:rPr>
        <w:t xml:space="preserve"> it shall not be an unlawful discriminatory practice to consider age in determining credit worthiness when age has a demonstrable and statistically sound relationship to a determ</w:t>
      </w:r>
      <w:r w:rsidR="00FE7F32">
        <w:rPr>
          <w:u w:val="single"/>
        </w:rPr>
        <w:t>ination of credit worthiness</w:t>
      </w:r>
      <w:r w:rsidR="00A7682D">
        <w:rPr>
          <w:u w:val="single"/>
        </w:rPr>
        <w:t>.</w:t>
      </w:r>
    </w:p>
    <w:p w14:paraId="57216992" w14:textId="77777777" w:rsidR="001065F2" w:rsidRDefault="0076162B" w:rsidP="001065F2">
      <w:pPr>
        <w:spacing w:line="480" w:lineRule="auto"/>
        <w:jc w:val="both"/>
        <w:rPr>
          <w:u w:val="single"/>
        </w:rPr>
      </w:pPr>
      <w:r>
        <w:rPr>
          <w:u w:val="single"/>
        </w:rPr>
        <w:t>(d</w:t>
      </w:r>
      <w:r w:rsidR="00A7682D">
        <w:rPr>
          <w:u w:val="single"/>
        </w:rPr>
        <w:t xml:space="preserve">) Notwithstanding paragraph </w:t>
      </w:r>
      <w:proofErr w:type="gramStart"/>
      <w:r w:rsidR="00FE7F32">
        <w:rPr>
          <w:u w:val="single"/>
        </w:rPr>
        <w:t>a of</w:t>
      </w:r>
      <w:proofErr w:type="gramEnd"/>
      <w:r w:rsidR="00FE7F32">
        <w:rPr>
          <w:u w:val="single"/>
        </w:rPr>
        <w:t xml:space="preserve"> this subdivision</w:t>
      </w:r>
      <w:r>
        <w:rPr>
          <w:u w:val="single"/>
        </w:rPr>
        <w:t xml:space="preserve">, </w:t>
      </w:r>
      <w:r w:rsidR="001065F2">
        <w:rPr>
          <w:u w:val="single"/>
        </w:rPr>
        <w:t xml:space="preserve">the provisions in this </w:t>
      </w:r>
      <w:r w:rsidR="00BF2393">
        <w:rPr>
          <w:u w:val="single"/>
        </w:rPr>
        <w:t>subdivision</w:t>
      </w:r>
      <w:r w:rsidR="001065F2">
        <w:rPr>
          <w:u w:val="single"/>
        </w:rPr>
        <w:t xml:space="preserve">, as they relate to age, shall not apply to persons </w:t>
      </w:r>
      <w:r w:rsidR="00A7682D">
        <w:rPr>
          <w:u w:val="single"/>
        </w:rPr>
        <w:t>under the age of eighteen years.</w:t>
      </w:r>
    </w:p>
    <w:p w14:paraId="37DBFC47" w14:textId="77777777" w:rsidR="001065F2" w:rsidRDefault="001065F2" w:rsidP="001065F2">
      <w:pPr>
        <w:spacing w:line="480" w:lineRule="auto"/>
        <w:jc w:val="both"/>
        <w:rPr>
          <w:u w:val="single"/>
        </w:rPr>
      </w:pPr>
      <w:r>
        <w:rPr>
          <w:u w:val="single"/>
        </w:rPr>
        <w:t>(</w:t>
      </w:r>
      <w:r w:rsidR="0076162B">
        <w:rPr>
          <w:u w:val="single"/>
        </w:rPr>
        <w:t>e</w:t>
      </w:r>
      <w:r w:rsidR="00A7682D">
        <w:rPr>
          <w:u w:val="single"/>
        </w:rPr>
        <w:t xml:space="preserve">) Notwithstanding paragraph </w:t>
      </w:r>
      <w:r>
        <w:rPr>
          <w:u w:val="single"/>
        </w:rPr>
        <w:t xml:space="preserve">a of this subdivision, </w:t>
      </w:r>
      <w:r w:rsidR="00BF2393" w:rsidRPr="00BF2393">
        <w:rPr>
          <w:u w:val="single"/>
        </w:rPr>
        <w:t xml:space="preserve">it shall not be an unlawful discriminatory practice </w:t>
      </w:r>
      <w:r w:rsidR="00BF2393">
        <w:rPr>
          <w:u w:val="single"/>
        </w:rPr>
        <w:t>for a creditor or any officer, agent or employee thereof to make i</w:t>
      </w:r>
      <w:r w:rsidR="00BF2393" w:rsidRPr="00BF2393">
        <w:rPr>
          <w:u w:val="single"/>
        </w:rPr>
        <w:t xml:space="preserve">nquiries concerning marital history, </w:t>
      </w:r>
      <w:r w:rsidR="00BF2393">
        <w:rPr>
          <w:u w:val="single"/>
        </w:rPr>
        <w:t>status and number of dependents</w:t>
      </w:r>
      <w:r w:rsidR="001F04E7">
        <w:rPr>
          <w:u w:val="single"/>
        </w:rPr>
        <w:t>.</w:t>
      </w:r>
    </w:p>
    <w:p w14:paraId="0D69FB66" w14:textId="77777777" w:rsidR="0095206B" w:rsidRDefault="00A909EF" w:rsidP="001065F2">
      <w:pPr>
        <w:spacing w:line="480" w:lineRule="auto"/>
        <w:jc w:val="both"/>
        <w:rPr>
          <w:u w:val="single"/>
        </w:rPr>
      </w:pPr>
      <w:r w:rsidRPr="00A909EF">
        <w:rPr>
          <w:u w:val="single"/>
        </w:rPr>
        <w:t>(</w:t>
      </w:r>
      <w:r w:rsidR="0076162B">
        <w:rPr>
          <w:u w:val="single"/>
        </w:rPr>
        <w:t>f</w:t>
      </w:r>
      <w:r w:rsidRPr="00A909EF">
        <w:rPr>
          <w:u w:val="single"/>
        </w:rPr>
        <w:t xml:space="preserve">) A creditor granting, withholding, extending or renewing, or fixing the rates, terms or conditions of, any form of credit shall, </w:t>
      </w:r>
      <w:r w:rsidR="001065F2" w:rsidRPr="00BF2393">
        <w:rPr>
          <w:u w:val="single"/>
        </w:rPr>
        <w:t>if</w:t>
      </w:r>
      <w:r w:rsidRPr="00BF2393">
        <w:rPr>
          <w:u w:val="single"/>
        </w:rPr>
        <w:t xml:space="preserve"> request</w:t>
      </w:r>
      <w:r w:rsidR="001065F2" w:rsidRPr="00BF2393">
        <w:rPr>
          <w:u w:val="single"/>
        </w:rPr>
        <w:t>ed</w:t>
      </w:r>
      <w:r w:rsidRPr="00BF2393">
        <w:rPr>
          <w:u w:val="single"/>
        </w:rPr>
        <w:t xml:space="preserve"> by </w:t>
      </w:r>
      <w:r w:rsidR="0076162B">
        <w:rPr>
          <w:u w:val="single"/>
        </w:rPr>
        <w:t>an</w:t>
      </w:r>
      <w:r w:rsidRPr="00BF2393">
        <w:rPr>
          <w:u w:val="single"/>
        </w:rPr>
        <w:t xml:space="preserve"> applicant or applicants</w:t>
      </w:r>
      <w:r w:rsidR="001065F2" w:rsidRPr="00BF2393">
        <w:rPr>
          <w:u w:val="single"/>
        </w:rPr>
        <w:t xml:space="preserve"> in writing</w:t>
      </w:r>
      <w:r w:rsidRPr="00BF2393">
        <w:rPr>
          <w:u w:val="single"/>
        </w:rPr>
        <w:t>,</w:t>
      </w:r>
      <w:r w:rsidR="001065F2" w:rsidRPr="00BF2393">
        <w:rPr>
          <w:u w:val="single"/>
        </w:rPr>
        <w:t xml:space="preserve"> </w:t>
      </w:r>
      <w:r w:rsidR="00FE7F32" w:rsidRPr="00BF2393">
        <w:rPr>
          <w:u w:val="single"/>
        </w:rPr>
        <w:t>disclose the method by which such determinations, rates, term</w:t>
      </w:r>
      <w:r w:rsidR="00A7682D">
        <w:rPr>
          <w:u w:val="single"/>
        </w:rPr>
        <w:t>s or conditions were calculated.</w:t>
      </w:r>
    </w:p>
    <w:p w14:paraId="35DE3619" w14:textId="77777777" w:rsidR="00285D10" w:rsidRDefault="002E71D2" w:rsidP="00285D10">
      <w:pPr>
        <w:spacing w:line="480" w:lineRule="auto"/>
        <w:jc w:val="both"/>
        <w:rPr>
          <w:color w:val="000000"/>
        </w:rPr>
      </w:pPr>
      <w:r w:rsidRPr="002E71D2">
        <w:rPr>
          <w:color w:val="000000"/>
        </w:rPr>
        <w:t xml:space="preserve">§ </w:t>
      </w:r>
      <w:r>
        <w:rPr>
          <w:color w:val="000000"/>
        </w:rPr>
        <w:t>2</w:t>
      </w:r>
      <w:r w:rsidRPr="002E71D2">
        <w:rPr>
          <w:color w:val="000000"/>
        </w:rPr>
        <w:t xml:space="preserve">. The commission on human rights shall engage in outreach and education efforts regarding the rights of </w:t>
      </w:r>
      <w:r w:rsidR="0095206B">
        <w:rPr>
          <w:color w:val="000000"/>
        </w:rPr>
        <w:t>borrowers</w:t>
      </w:r>
      <w:r w:rsidRPr="002E71D2">
        <w:rPr>
          <w:color w:val="000000"/>
        </w:rPr>
        <w:t xml:space="preserve">, and the responsibilities of </w:t>
      </w:r>
      <w:r w:rsidR="0095206B">
        <w:rPr>
          <w:color w:val="000000"/>
        </w:rPr>
        <w:t>creditors</w:t>
      </w:r>
      <w:r w:rsidRPr="002E71D2">
        <w:rPr>
          <w:color w:val="000000"/>
        </w:rPr>
        <w:t xml:space="preserve">, established by this local law. Such outreach and education shall be directed at </w:t>
      </w:r>
      <w:r w:rsidR="0095206B">
        <w:rPr>
          <w:color w:val="000000"/>
        </w:rPr>
        <w:t>such creditors</w:t>
      </w:r>
      <w:r w:rsidRPr="002E71D2">
        <w:rPr>
          <w:color w:val="000000"/>
        </w:rPr>
        <w:t xml:space="preserve"> and the </w:t>
      </w:r>
      <w:proofErr w:type="gramStart"/>
      <w:r w:rsidRPr="002E71D2">
        <w:rPr>
          <w:color w:val="000000"/>
        </w:rPr>
        <w:t>general public</w:t>
      </w:r>
      <w:proofErr w:type="gramEnd"/>
      <w:r w:rsidRPr="002E71D2">
        <w:rPr>
          <w:color w:val="000000"/>
        </w:rPr>
        <w:t>.</w:t>
      </w:r>
    </w:p>
    <w:p w14:paraId="28CE1FD8" w14:textId="77777777" w:rsidR="00285D10" w:rsidRDefault="00285D10" w:rsidP="00285D10">
      <w:pPr>
        <w:spacing w:line="480" w:lineRule="auto"/>
        <w:jc w:val="both"/>
        <w:rPr>
          <w:color w:val="000000"/>
        </w:rPr>
      </w:pPr>
      <w:r w:rsidRPr="002E0401">
        <w:rPr>
          <w:color w:val="000000"/>
        </w:rPr>
        <w:t xml:space="preserve">§ 3.  a. For a period of one year, the commission on human rights shall organize and conduct no fewer than five investigations of discrimination in the granting, withholding, extending or renewing, or in the fixing of the rates, terms or conditions of, any form of credit, during which the commission shall use pairs of testers to investigate creditors. </w:t>
      </w:r>
      <w:proofErr w:type="gramStart"/>
      <w:r w:rsidRPr="002E0401">
        <w:rPr>
          <w:color w:val="000000"/>
        </w:rPr>
        <w:t xml:space="preserve">Such investigations shall include but not be limited to using matched pairs of testers who shall apply for, inquire about or express interest in the same </w:t>
      </w:r>
      <w:r w:rsidR="00831D11" w:rsidRPr="002E0401">
        <w:rPr>
          <w:color w:val="000000"/>
        </w:rPr>
        <w:t>extension</w:t>
      </w:r>
      <w:r w:rsidRPr="002E0401">
        <w:rPr>
          <w:color w:val="000000"/>
        </w:rPr>
        <w:t xml:space="preserve"> of credit and who shall be assigned similar credentials but who shall differ in one of the following characteristics: actual or perceived </w:t>
      </w:r>
      <w:r w:rsidR="002E0401" w:rsidRPr="00191B8C">
        <w:t xml:space="preserve">race, creed, religion, color, </w:t>
      </w:r>
      <w:r w:rsidR="002E0401" w:rsidRPr="00191B8C">
        <w:lastRenderedPageBreak/>
        <w:t>national origin, sexual orientation, age, gender, marital status, disability, partnership status, caregiver status, uniformed service or alienage or citizenship status</w:t>
      </w:r>
      <w:r w:rsidRPr="002E0401">
        <w:rPr>
          <w:color w:val="000000"/>
        </w:rPr>
        <w:t xml:space="preserve"> of such applicant or applicants, lawful source of income, number of children who are, may be or would be residing with such applicant or applicants.</w:t>
      </w:r>
      <w:proofErr w:type="gramEnd"/>
      <w:r w:rsidRPr="002E0401">
        <w:rPr>
          <w:color w:val="000000"/>
        </w:rPr>
        <w:t xml:space="preserve"> The first of the investigations shall commence on or before January 1, </w:t>
      </w:r>
      <w:r w:rsidR="00D10318" w:rsidRPr="002E0401">
        <w:rPr>
          <w:color w:val="000000"/>
        </w:rPr>
        <w:t>20</w:t>
      </w:r>
      <w:r w:rsidR="00191B8C">
        <w:rPr>
          <w:color w:val="000000"/>
        </w:rPr>
        <w:t>23</w:t>
      </w:r>
      <w:r w:rsidRPr="002E0401">
        <w:rPr>
          <w:color w:val="000000"/>
        </w:rPr>
        <w:t>.</w:t>
      </w:r>
    </w:p>
    <w:p w14:paraId="06A8753E" w14:textId="77777777" w:rsidR="00191B8C" w:rsidRDefault="00285D10" w:rsidP="00285D10">
      <w:pPr>
        <w:spacing w:line="480" w:lineRule="auto"/>
        <w:jc w:val="both"/>
        <w:rPr>
          <w:color w:val="000000"/>
        </w:rPr>
      </w:pPr>
      <w:r w:rsidRPr="00285D10">
        <w:rPr>
          <w:color w:val="000000"/>
        </w:rPr>
        <w:t xml:space="preserve">b. On or before </w:t>
      </w:r>
      <w:r>
        <w:rPr>
          <w:color w:val="000000"/>
        </w:rPr>
        <w:t xml:space="preserve">January 1, </w:t>
      </w:r>
      <w:r w:rsidR="00D10318">
        <w:rPr>
          <w:color w:val="000000"/>
        </w:rPr>
        <w:t>202</w:t>
      </w:r>
      <w:r w:rsidR="00191B8C">
        <w:rPr>
          <w:color w:val="000000"/>
        </w:rPr>
        <w:t>4</w:t>
      </w:r>
      <w:r w:rsidRPr="00285D10">
        <w:rPr>
          <w:color w:val="000000"/>
        </w:rPr>
        <w:t xml:space="preserve">, the commission shall submit to the speaker of the Council a report related to such investigations conducted during the </w:t>
      </w:r>
      <w:proofErr w:type="gramStart"/>
      <w:r w:rsidRPr="00285D10">
        <w:rPr>
          <w:color w:val="000000"/>
        </w:rPr>
        <w:t>12 month</w:t>
      </w:r>
      <w:proofErr w:type="gramEnd"/>
      <w:r w:rsidRPr="00285D10">
        <w:rPr>
          <w:color w:val="000000"/>
        </w:rPr>
        <w:t xml:space="preserve"> period commencing on January 1, </w:t>
      </w:r>
      <w:r w:rsidR="00D10318">
        <w:rPr>
          <w:color w:val="000000"/>
        </w:rPr>
        <w:t>20</w:t>
      </w:r>
      <w:r w:rsidR="00191B8C">
        <w:rPr>
          <w:color w:val="000000"/>
        </w:rPr>
        <w:t>23</w:t>
      </w:r>
      <w:r w:rsidRPr="00285D10">
        <w:rPr>
          <w:color w:val="000000"/>
        </w:rPr>
        <w:t xml:space="preserve">. Such report shall include, but not be limited to: </w:t>
      </w:r>
    </w:p>
    <w:p w14:paraId="07A681DA" w14:textId="77777777" w:rsidR="00191B8C" w:rsidRDefault="00285D10" w:rsidP="00285D10">
      <w:pPr>
        <w:spacing w:line="480" w:lineRule="auto"/>
        <w:jc w:val="both"/>
        <w:rPr>
          <w:color w:val="000000"/>
        </w:rPr>
      </w:pPr>
      <w:r w:rsidRPr="00285D10">
        <w:rPr>
          <w:color w:val="000000"/>
        </w:rPr>
        <w:t xml:space="preserve">(i) </w:t>
      </w:r>
      <w:proofErr w:type="gramStart"/>
      <w:r w:rsidRPr="00285D10">
        <w:rPr>
          <w:color w:val="000000"/>
        </w:rPr>
        <w:t>the</w:t>
      </w:r>
      <w:proofErr w:type="gramEnd"/>
      <w:r w:rsidRPr="00285D10">
        <w:rPr>
          <w:color w:val="000000"/>
        </w:rPr>
        <w:t xml:space="preserve"> number of matched pair tests completed; </w:t>
      </w:r>
    </w:p>
    <w:p w14:paraId="19D02FC3" w14:textId="77777777" w:rsidR="00191B8C" w:rsidRDefault="00285D10" w:rsidP="00285D10">
      <w:pPr>
        <w:spacing w:line="480" w:lineRule="auto"/>
        <w:jc w:val="both"/>
        <w:rPr>
          <w:color w:val="000000"/>
        </w:rPr>
      </w:pPr>
      <w:r w:rsidRPr="00285D10">
        <w:rPr>
          <w:color w:val="000000"/>
        </w:rPr>
        <w:t xml:space="preserve">(ii) </w:t>
      </w:r>
      <w:proofErr w:type="gramStart"/>
      <w:r w:rsidRPr="00285D10">
        <w:rPr>
          <w:color w:val="000000"/>
        </w:rPr>
        <w:t>the</w:t>
      </w:r>
      <w:proofErr w:type="gramEnd"/>
      <w:r w:rsidRPr="00285D10">
        <w:rPr>
          <w:color w:val="000000"/>
        </w:rPr>
        <w:t xml:space="preserve"> protected class variable used in each matched pair test; and </w:t>
      </w:r>
    </w:p>
    <w:p w14:paraId="62C4FBB8" w14:textId="77777777" w:rsidR="00285D10" w:rsidRDefault="00285D10" w:rsidP="00285D10">
      <w:pPr>
        <w:spacing w:line="480" w:lineRule="auto"/>
        <w:jc w:val="both"/>
        <w:rPr>
          <w:color w:val="000000"/>
        </w:rPr>
      </w:pPr>
      <w:r w:rsidRPr="00285D10">
        <w:rPr>
          <w:color w:val="000000"/>
        </w:rPr>
        <w:t xml:space="preserve">(iii) </w:t>
      </w:r>
      <w:proofErr w:type="gramStart"/>
      <w:r w:rsidRPr="00285D10">
        <w:rPr>
          <w:color w:val="000000"/>
        </w:rPr>
        <w:t>the</w:t>
      </w:r>
      <w:proofErr w:type="gramEnd"/>
      <w:r w:rsidRPr="00285D10">
        <w:rPr>
          <w:color w:val="000000"/>
        </w:rPr>
        <w:t xml:space="preserve"> number of incidents of actual or perceived discrimination on each protected class, including a description of any incidents of discrimination detected in the course of such investigations, provided that the commission shall not be required to report information that would compromise any ongoing or prospective investigation or prosecution.</w:t>
      </w:r>
    </w:p>
    <w:p w14:paraId="39F99E4E" w14:textId="77777777" w:rsidR="00285D10" w:rsidRDefault="00285D10" w:rsidP="00285D10">
      <w:pPr>
        <w:spacing w:line="480" w:lineRule="auto"/>
        <w:jc w:val="both"/>
        <w:rPr>
          <w:color w:val="000000"/>
        </w:rPr>
      </w:pPr>
      <w:r w:rsidRPr="00285D10">
        <w:rPr>
          <w:color w:val="000000"/>
        </w:rPr>
        <w:t xml:space="preserve">c. Any incidents of actual or perceived discrimination that occur during such investigations </w:t>
      </w:r>
      <w:proofErr w:type="gramStart"/>
      <w:r w:rsidRPr="00285D10">
        <w:rPr>
          <w:color w:val="000000"/>
        </w:rPr>
        <w:t>shall be referred</w:t>
      </w:r>
      <w:proofErr w:type="gramEnd"/>
      <w:r w:rsidRPr="00285D10">
        <w:rPr>
          <w:color w:val="000000"/>
        </w:rPr>
        <w:t xml:space="preserve"> to the commission's law enforcement bureau.</w:t>
      </w:r>
    </w:p>
    <w:p w14:paraId="383AF5B8" w14:textId="01919784" w:rsidR="00285D10" w:rsidRPr="00285D10" w:rsidRDefault="00285D10" w:rsidP="00285D10">
      <w:pPr>
        <w:spacing w:line="480" w:lineRule="auto"/>
        <w:jc w:val="both"/>
        <w:rPr>
          <w:color w:val="000000"/>
          <w:sz w:val="27"/>
          <w:szCs w:val="27"/>
        </w:rPr>
      </w:pPr>
      <w:r w:rsidRPr="00285D10">
        <w:rPr>
          <w:color w:val="000000"/>
        </w:rPr>
        <w:t>d. Nothing herein shall preclude the commission from conducting other such discrimination testing programs or investigations pursuant to the commissioner's authority under th</w:t>
      </w:r>
      <w:r w:rsidR="00AA40C3">
        <w:rPr>
          <w:color w:val="000000"/>
        </w:rPr>
        <w:t xml:space="preserve">e Administrative </w:t>
      </w:r>
      <w:r w:rsidRPr="00285D10">
        <w:rPr>
          <w:color w:val="000000"/>
        </w:rPr>
        <w:t xml:space="preserve">Code and the New York </w:t>
      </w:r>
      <w:r w:rsidR="00AA40C3">
        <w:rPr>
          <w:color w:val="000000"/>
        </w:rPr>
        <w:t>C</w:t>
      </w:r>
      <w:r w:rsidR="00AA40C3" w:rsidRPr="00285D10">
        <w:rPr>
          <w:color w:val="000000"/>
        </w:rPr>
        <w:t xml:space="preserve">ity </w:t>
      </w:r>
      <w:r w:rsidR="00AA40C3">
        <w:rPr>
          <w:color w:val="000000"/>
        </w:rPr>
        <w:t>C</w:t>
      </w:r>
      <w:r w:rsidR="00AA40C3" w:rsidRPr="00285D10">
        <w:rPr>
          <w:color w:val="000000"/>
        </w:rPr>
        <w:t>harter</w:t>
      </w:r>
      <w:r w:rsidRPr="00285D10">
        <w:rPr>
          <w:color w:val="000000"/>
        </w:rPr>
        <w:t>.</w:t>
      </w:r>
    </w:p>
    <w:p w14:paraId="48F17673" w14:textId="573E36BB" w:rsidR="002E71D2" w:rsidRDefault="002E71D2" w:rsidP="00FA11F6">
      <w:pPr>
        <w:spacing w:line="360" w:lineRule="auto"/>
        <w:jc w:val="both"/>
        <w:rPr>
          <w:color w:val="000000"/>
        </w:rPr>
      </w:pPr>
      <w:r w:rsidRPr="002E71D2">
        <w:rPr>
          <w:color w:val="000000"/>
        </w:rPr>
        <w:t>§</w:t>
      </w:r>
      <w:r w:rsidR="00285D10">
        <w:rPr>
          <w:color w:val="000000"/>
        </w:rPr>
        <w:t xml:space="preserve"> 4</w:t>
      </w:r>
      <w:r w:rsidRPr="002E71D2">
        <w:rPr>
          <w:color w:val="000000"/>
        </w:rPr>
        <w:t xml:space="preserve">. This local law shall take effect 120 days after </w:t>
      </w:r>
      <w:r w:rsidR="003612DE">
        <w:rPr>
          <w:color w:val="000000"/>
        </w:rPr>
        <w:t>it becomes law</w:t>
      </w:r>
      <w:r w:rsidRPr="002E71D2">
        <w:rPr>
          <w:color w:val="000000"/>
        </w:rPr>
        <w:t>.</w:t>
      </w:r>
    </w:p>
    <w:p w14:paraId="7259F51D" w14:textId="77777777" w:rsidR="00A17E7A" w:rsidRPr="0095206B" w:rsidRDefault="00A17E7A" w:rsidP="00FA11F6">
      <w:pPr>
        <w:spacing w:line="360" w:lineRule="auto"/>
        <w:jc w:val="both"/>
        <w:rPr>
          <w:color w:val="000000"/>
          <w:sz w:val="27"/>
          <w:szCs w:val="27"/>
        </w:rPr>
        <w:sectPr w:rsidR="00A17E7A" w:rsidRPr="0095206B" w:rsidSect="00AF39A5">
          <w:headerReference w:type="default" r:id="rId11"/>
          <w:type w:val="continuous"/>
          <w:pgSz w:w="12240" w:h="15840"/>
          <w:pgMar w:top="1440" w:right="1440" w:bottom="1440" w:left="1440" w:header="720" w:footer="720" w:gutter="0"/>
          <w:lnNumType w:countBy="1"/>
          <w:cols w:space="720"/>
          <w:titlePg/>
          <w:docGrid w:linePitch="360"/>
        </w:sectPr>
      </w:pPr>
    </w:p>
    <w:p w14:paraId="67D799EE" w14:textId="77777777" w:rsidR="00246B25" w:rsidRDefault="00246B25" w:rsidP="007101A2">
      <w:pPr>
        <w:ind w:firstLine="0"/>
        <w:jc w:val="both"/>
        <w:rPr>
          <w:sz w:val="18"/>
          <w:szCs w:val="18"/>
          <w:u w:val="single"/>
        </w:rPr>
      </w:pPr>
    </w:p>
    <w:p w14:paraId="799AB3B6" w14:textId="77777777" w:rsidR="00246B25" w:rsidRDefault="00246B25" w:rsidP="007101A2">
      <w:pPr>
        <w:ind w:firstLine="0"/>
        <w:jc w:val="both"/>
        <w:rPr>
          <w:sz w:val="18"/>
          <w:szCs w:val="18"/>
          <w:u w:val="single"/>
        </w:rPr>
      </w:pPr>
    </w:p>
    <w:p w14:paraId="5474BC75" w14:textId="77777777" w:rsidR="00246B25" w:rsidRDefault="00246B25" w:rsidP="007101A2">
      <w:pPr>
        <w:ind w:firstLine="0"/>
        <w:jc w:val="both"/>
        <w:rPr>
          <w:sz w:val="18"/>
          <w:szCs w:val="18"/>
          <w:u w:val="single"/>
        </w:rPr>
      </w:pPr>
    </w:p>
    <w:p w14:paraId="2DAC47FC" w14:textId="63D744BC" w:rsidR="00191B8C" w:rsidRDefault="00191B8C" w:rsidP="007101A2">
      <w:pPr>
        <w:ind w:firstLine="0"/>
        <w:jc w:val="both"/>
        <w:rPr>
          <w:sz w:val="18"/>
          <w:szCs w:val="18"/>
        </w:rPr>
      </w:pPr>
      <w:r>
        <w:rPr>
          <w:sz w:val="18"/>
          <w:szCs w:val="18"/>
          <w:u w:val="single"/>
        </w:rPr>
        <w:t>Session 12</w:t>
      </w:r>
    </w:p>
    <w:p w14:paraId="45524F82" w14:textId="77777777" w:rsidR="00191B8C" w:rsidRDefault="00191B8C" w:rsidP="007101A2">
      <w:pPr>
        <w:ind w:firstLine="0"/>
        <w:jc w:val="both"/>
        <w:rPr>
          <w:sz w:val="18"/>
          <w:szCs w:val="18"/>
        </w:rPr>
      </w:pPr>
      <w:r>
        <w:rPr>
          <w:sz w:val="18"/>
          <w:szCs w:val="18"/>
        </w:rPr>
        <w:t>JG</w:t>
      </w:r>
    </w:p>
    <w:p w14:paraId="01C11A94" w14:textId="77777777" w:rsidR="00191B8C" w:rsidRDefault="00191B8C" w:rsidP="007101A2">
      <w:pPr>
        <w:ind w:firstLine="0"/>
        <w:jc w:val="both"/>
        <w:rPr>
          <w:sz w:val="18"/>
          <w:szCs w:val="18"/>
        </w:rPr>
      </w:pPr>
      <w:r>
        <w:rPr>
          <w:sz w:val="18"/>
          <w:szCs w:val="18"/>
        </w:rPr>
        <w:t>LS# 84</w:t>
      </w:r>
    </w:p>
    <w:p w14:paraId="682545E7" w14:textId="5463782B" w:rsidR="00191B8C" w:rsidRDefault="00191B8C" w:rsidP="00FA11F6">
      <w:pPr>
        <w:spacing w:after="120"/>
        <w:ind w:firstLine="0"/>
        <w:jc w:val="both"/>
        <w:rPr>
          <w:sz w:val="18"/>
          <w:szCs w:val="18"/>
        </w:rPr>
      </w:pPr>
      <w:r>
        <w:rPr>
          <w:sz w:val="18"/>
          <w:szCs w:val="18"/>
        </w:rPr>
        <w:t>4/</w:t>
      </w:r>
      <w:r w:rsidR="00AE76D4">
        <w:rPr>
          <w:sz w:val="18"/>
          <w:szCs w:val="18"/>
        </w:rPr>
        <w:t>5</w:t>
      </w:r>
      <w:r>
        <w:rPr>
          <w:sz w:val="18"/>
          <w:szCs w:val="18"/>
        </w:rPr>
        <w:t xml:space="preserve">/22 </w:t>
      </w:r>
      <w:r w:rsidR="00AE76D4">
        <w:rPr>
          <w:sz w:val="18"/>
          <w:szCs w:val="18"/>
        </w:rPr>
        <w:t>5</w:t>
      </w:r>
      <w:r>
        <w:rPr>
          <w:sz w:val="18"/>
          <w:szCs w:val="18"/>
        </w:rPr>
        <w:t>:</w:t>
      </w:r>
      <w:r w:rsidR="00AE76D4">
        <w:rPr>
          <w:sz w:val="18"/>
          <w:szCs w:val="18"/>
        </w:rPr>
        <w:t xml:space="preserve">38 </w:t>
      </w:r>
      <w:r>
        <w:rPr>
          <w:sz w:val="18"/>
          <w:szCs w:val="18"/>
        </w:rPr>
        <w:t>PM</w:t>
      </w:r>
    </w:p>
    <w:p w14:paraId="4DE42505" w14:textId="77777777" w:rsidR="00191B8C" w:rsidRPr="00191B8C" w:rsidRDefault="00191B8C" w:rsidP="007101A2">
      <w:pPr>
        <w:ind w:firstLine="0"/>
        <w:jc w:val="both"/>
        <w:rPr>
          <w:sz w:val="18"/>
          <w:szCs w:val="18"/>
          <w:u w:val="single"/>
        </w:rPr>
      </w:pPr>
      <w:r w:rsidRPr="00191B8C">
        <w:rPr>
          <w:sz w:val="18"/>
          <w:szCs w:val="18"/>
          <w:u w:val="single"/>
        </w:rPr>
        <w:t>Session 11</w:t>
      </w:r>
    </w:p>
    <w:p w14:paraId="446D002A" w14:textId="77777777" w:rsidR="00EB262D" w:rsidRDefault="00A9498C" w:rsidP="007101A2">
      <w:pPr>
        <w:ind w:firstLine="0"/>
        <w:jc w:val="both"/>
        <w:rPr>
          <w:sz w:val="18"/>
          <w:szCs w:val="18"/>
        </w:rPr>
      </w:pPr>
      <w:r>
        <w:rPr>
          <w:sz w:val="18"/>
          <w:szCs w:val="18"/>
        </w:rPr>
        <w:t>SMD</w:t>
      </w:r>
    </w:p>
    <w:p w14:paraId="24AC32D0" w14:textId="77777777" w:rsidR="00285D10" w:rsidRDefault="004E1CF2" w:rsidP="001F04E7">
      <w:pPr>
        <w:ind w:firstLine="0"/>
        <w:jc w:val="both"/>
        <w:rPr>
          <w:sz w:val="18"/>
          <w:szCs w:val="18"/>
        </w:rPr>
      </w:pPr>
      <w:r>
        <w:rPr>
          <w:sz w:val="18"/>
          <w:szCs w:val="18"/>
        </w:rPr>
        <w:lastRenderedPageBreak/>
        <w:t xml:space="preserve">LS </w:t>
      </w:r>
      <w:r w:rsidR="00B47730">
        <w:rPr>
          <w:sz w:val="18"/>
          <w:szCs w:val="18"/>
        </w:rPr>
        <w:t>#</w:t>
      </w:r>
      <w:r w:rsidR="00A9498C">
        <w:rPr>
          <w:sz w:val="18"/>
          <w:szCs w:val="18"/>
        </w:rPr>
        <w:t>5861</w:t>
      </w:r>
      <w:r w:rsidR="000E1A42">
        <w:rPr>
          <w:sz w:val="18"/>
          <w:szCs w:val="18"/>
        </w:rPr>
        <w:t>/Int. 1306-2016</w:t>
      </w:r>
    </w:p>
    <w:p w14:paraId="7D260A15" w14:textId="77777777" w:rsidR="000E1A42" w:rsidRDefault="000E1A42" w:rsidP="001F04E7">
      <w:pPr>
        <w:ind w:firstLine="0"/>
        <w:jc w:val="both"/>
        <w:rPr>
          <w:sz w:val="18"/>
          <w:szCs w:val="18"/>
        </w:rPr>
      </w:pPr>
      <w:r>
        <w:rPr>
          <w:sz w:val="18"/>
          <w:szCs w:val="18"/>
        </w:rPr>
        <w:t>LS</w:t>
      </w:r>
      <w:r w:rsidR="00191B8C">
        <w:rPr>
          <w:sz w:val="18"/>
          <w:szCs w:val="18"/>
        </w:rPr>
        <w:t>#</w:t>
      </w:r>
      <w:r>
        <w:rPr>
          <w:sz w:val="18"/>
          <w:szCs w:val="18"/>
        </w:rPr>
        <w:t xml:space="preserve"> 384</w:t>
      </w:r>
      <w:r w:rsidR="00191B8C">
        <w:rPr>
          <w:sz w:val="18"/>
          <w:szCs w:val="18"/>
        </w:rPr>
        <w:t>/Int. 798-2018</w:t>
      </w:r>
    </w:p>
    <w:p w14:paraId="18659BA3" w14:textId="276E4CB0" w:rsidR="00285D10" w:rsidRDefault="002E0401" w:rsidP="001F04E7">
      <w:pPr>
        <w:ind w:firstLine="0"/>
        <w:jc w:val="both"/>
        <w:rPr>
          <w:sz w:val="18"/>
          <w:szCs w:val="18"/>
        </w:rPr>
      </w:pPr>
      <w:r>
        <w:rPr>
          <w:sz w:val="18"/>
          <w:szCs w:val="18"/>
        </w:rPr>
        <w:t>12/15/17</w:t>
      </w:r>
    </w:p>
    <w:sectPr w:rsidR="00285D10"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C2B9" w14:textId="77777777" w:rsidR="00E87477" w:rsidRDefault="00E87477">
      <w:r>
        <w:separator/>
      </w:r>
    </w:p>
    <w:p w14:paraId="5849EB1A" w14:textId="77777777" w:rsidR="00E87477" w:rsidRDefault="00E87477"/>
  </w:endnote>
  <w:endnote w:type="continuationSeparator" w:id="0">
    <w:p w14:paraId="28F546D4" w14:textId="77777777" w:rsidR="00E87477" w:rsidRDefault="00E87477">
      <w:r>
        <w:continuationSeparator/>
      </w:r>
    </w:p>
    <w:p w14:paraId="64AAF0FB" w14:textId="77777777" w:rsidR="00E87477" w:rsidRDefault="00E87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5059" w14:textId="7EB6447A" w:rsidR="0076162B" w:rsidRDefault="0076162B" w:rsidP="00C43D6D">
    <w:pPr>
      <w:pStyle w:val="Footer"/>
      <w:ind w:firstLine="0"/>
      <w:jc w:val="center"/>
    </w:pPr>
    <w:r>
      <w:fldChar w:fldCharType="begin"/>
    </w:r>
    <w:r>
      <w:instrText xml:space="preserve"> PAGE   \* MERGEFORMAT </w:instrText>
    </w:r>
    <w:r>
      <w:fldChar w:fldCharType="separate"/>
    </w:r>
    <w:r w:rsidR="0070087A">
      <w:rPr>
        <w:noProof/>
      </w:rPr>
      <w:t>1</w:t>
    </w:r>
    <w:r>
      <w:rPr>
        <w:noProof/>
      </w:rPr>
      <w:fldChar w:fldCharType="end"/>
    </w:r>
  </w:p>
  <w:p w14:paraId="2A6115EA" w14:textId="77777777" w:rsidR="0076162B" w:rsidRDefault="007616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2116" w14:textId="77777777" w:rsidR="0076162B" w:rsidRDefault="0076162B">
    <w:pPr>
      <w:pStyle w:val="Footer"/>
      <w:jc w:val="center"/>
    </w:pPr>
    <w:r>
      <w:fldChar w:fldCharType="begin"/>
    </w:r>
    <w:r>
      <w:instrText xml:space="preserve"> PAGE   \* MERGEFORMAT </w:instrText>
    </w:r>
    <w:r>
      <w:fldChar w:fldCharType="separate"/>
    </w:r>
    <w:r w:rsidR="00285D10">
      <w:rPr>
        <w:noProof/>
      </w:rPr>
      <w:t>4</w:t>
    </w:r>
    <w:r>
      <w:rPr>
        <w:noProof/>
      </w:rPr>
      <w:fldChar w:fldCharType="end"/>
    </w:r>
  </w:p>
  <w:p w14:paraId="54592A19" w14:textId="77777777" w:rsidR="0076162B" w:rsidRDefault="0076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6676" w14:textId="77777777" w:rsidR="00E87477" w:rsidRDefault="00E87477">
      <w:r>
        <w:separator/>
      </w:r>
    </w:p>
    <w:p w14:paraId="2631B37B" w14:textId="77777777" w:rsidR="00E87477" w:rsidRDefault="00E87477"/>
  </w:footnote>
  <w:footnote w:type="continuationSeparator" w:id="0">
    <w:p w14:paraId="52B15800" w14:textId="77777777" w:rsidR="00E87477" w:rsidRDefault="00E87477">
      <w:r>
        <w:continuationSeparator/>
      </w:r>
    </w:p>
    <w:p w14:paraId="7889E2FF" w14:textId="77777777" w:rsidR="00E87477" w:rsidRDefault="00E874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4682" w14:textId="77777777" w:rsidR="00C43D6D" w:rsidRPr="00C43D6D" w:rsidRDefault="00C43D6D" w:rsidP="00C4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C"/>
    <w:rsid w:val="000135A3"/>
    <w:rsid w:val="00035181"/>
    <w:rsid w:val="000502BC"/>
    <w:rsid w:val="00056BB0"/>
    <w:rsid w:val="00064AFB"/>
    <w:rsid w:val="0009173E"/>
    <w:rsid w:val="00094A70"/>
    <w:rsid w:val="000D4A7F"/>
    <w:rsid w:val="000E1A42"/>
    <w:rsid w:val="001065F2"/>
    <w:rsid w:val="001073BD"/>
    <w:rsid w:val="00114EF3"/>
    <w:rsid w:val="00115B31"/>
    <w:rsid w:val="001456EC"/>
    <w:rsid w:val="001509BF"/>
    <w:rsid w:val="00150A27"/>
    <w:rsid w:val="0015246D"/>
    <w:rsid w:val="00165627"/>
    <w:rsid w:val="00167107"/>
    <w:rsid w:val="00180BD2"/>
    <w:rsid w:val="00191B8C"/>
    <w:rsid w:val="00195A80"/>
    <w:rsid w:val="001A6D55"/>
    <w:rsid w:val="001B54D2"/>
    <w:rsid w:val="001D4249"/>
    <w:rsid w:val="001F04E7"/>
    <w:rsid w:val="001F2A89"/>
    <w:rsid w:val="00205741"/>
    <w:rsid w:val="00207323"/>
    <w:rsid w:val="002128B8"/>
    <w:rsid w:val="0021642E"/>
    <w:rsid w:val="0022099D"/>
    <w:rsid w:val="00241F94"/>
    <w:rsid w:val="00246B25"/>
    <w:rsid w:val="00270162"/>
    <w:rsid w:val="00280955"/>
    <w:rsid w:val="00285D10"/>
    <w:rsid w:val="00292C42"/>
    <w:rsid w:val="002C4435"/>
    <w:rsid w:val="002D5F4F"/>
    <w:rsid w:val="002E0401"/>
    <w:rsid w:val="002E71D2"/>
    <w:rsid w:val="002F196D"/>
    <w:rsid w:val="002F269C"/>
    <w:rsid w:val="00301E5D"/>
    <w:rsid w:val="00320D3B"/>
    <w:rsid w:val="00324881"/>
    <w:rsid w:val="0033027F"/>
    <w:rsid w:val="003447CD"/>
    <w:rsid w:val="00352CA7"/>
    <w:rsid w:val="003612DE"/>
    <w:rsid w:val="003720CF"/>
    <w:rsid w:val="0037660B"/>
    <w:rsid w:val="003874A1"/>
    <w:rsid w:val="00387754"/>
    <w:rsid w:val="003A29EF"/>
    <w:rsid w:val="003A75C2"/>
    <w:rsid w:val="003C4C40"/>
    <w:rsid w:val="003C7A42"/>
    <w:rsid w:val="003F26F9"/>
    <w:rsid w:val="003F3109"/>
    <w:rsid w:val="00432688"/>
    <w:rsid w:val="00444642"/>
    <w:rsid w:val="00447A01"/>
    <w:rsid w:val="004948B5"/>
    <w:rsid w:val="004B097C"/>
    <w:rsid w:val="004E1CF2"/>
    <w:rsid w:val="004F3343"/>
    <w:rsid w:val="005020E8"/>
    <w:rsid w:val="0054333F"/>
    <w:rsid w:val="00550E96"/>
    <w:rsid w:val="00554C35"/>
    <w:rsid w:val="00586366"/>
    <w:rsid w:val="005A1EBD"/>
    <w:rsid w:val="005B2A40"/>
    <w:rsid w:val="005B5DE4"/>
    <w:rsid w:val="005C6980"/>
    <w:rsid w:val="005D4A03"/>
    <w:rsid w:val="005D56CC"/>
    <w:rsid w:val="005D5BF3"/>
    <w:rsid w:val="005E655A"/>
    <w:rsid w:val="005E7681"/>
    <w:rsid w:val="005F3AA6"/>
    <w:rsid w:val="00630AB3"/>
    <w:rsid w:val="00654CAD"/>
    <w:rsid w:val="006662DF"/>
    <w:rsid w:val="00681A93"/>
    <w:rsid w:val="00687344"/>
    <w:rsid w:val="006A691C"/>
    <w:rsid w:val="006B26AF"/>
    <w:rsid w:val="006B590A"/>
    <w:rsid w:val="006B5AB9"/>
    <w:rsid w:val="006D3E3C"/>
    <w:rsid w:val="006D562C"/>
    <w:rsid w:val="006F5CC7"/>
    <w:rsid w:val="0070087A"/>
    <w:rsid w:val="007101A2"/>
    <w:rsid w:val="007218EB"/>
    <w:rsid w:val="0072551E"/>
    <w:rsid w:val="00727F04"/>
    <w:rsid w:val="007321D0"/>
    <w:rsid w:val="00750030"/>
    <w:rsid w:val="00750775"/>
    <w:rsid w:val="0076162B"/>
    <w:rsid w:val="00767CD4"/>
    <w:rsid w:val="00770B9A"/>
    <w:rsid w:val="007A1A40"/>
    <w:rsid w:val="007A6D86"/>
    <w:rsid w:val="007B293E"/>
    <w:rsid w:val="007B6497"/>
    <w:rsid w:val="007B6DB7"/>
    <w:rsid w:val="007C1D9D"/>
    <w:rsid w:val="007C36B2"/>
    <w:rsid w:val="007C4C98"/>
    <w:rsid w:val="007C6893"/>
    <w:rsid w:val="007E73C5"/>
    <w:rsid w:val="007E79D5"/>
    <w:rsid w:val="007F4087"/>
    <w:rsid w:val="00806569"/>
    <w:rsid w:val="008167F4"/>
    <w:rsid w:val="00816E1A"/>
    <w:rsid w:val="00831D11"/>
    <w:rsid w:val="0083646C"/>
    <w:rsid w:val="00836ABE"/>
    <w:rsid w:val="00847333"/>
    <w:rsid w:val="0085260B"/>
    <w:rsid w:val="00853E42"/>
    <w:rsid w:val="00872BFD"/>
    <w:rsid w:val="00880099"/>
    <w:rsid w:val="008A7A17"/>
    <w:rsid w:val="008B7804"/>
    <w:rsid w:val="008C3245"/>
    <w:rsid w:val="008E28FA"/>
    <w:rsid w:val="008F0B17"/>
    <w:rsid w:val="00900ACB"/>
    <w:rsid w:val="00913AE4"/>
    <w:rsid w:val="00925D71"/>
    <w:rsid w:val="009279D7"/>
    <w:rsid w:val="009310DA"/>
    <w:rsid w:val="0095206B"/>
    <w:rsid w:val="009822E5"/>
    <w:rsid w:val="00990ECE"/>
    <w:rsid w:val="009E2D1C"/>
    <w:rsid w:val="009E2D9C"/>
    <w:rsid w:val="00A03635"/>
    <w:rsid w:val="00A10451"/>
    <w:rsid w:val="00A17E7A"/>
    <w:rsid w:val="00A269C2"/>
    <w:rsid w:val="00A46ACE"/>
    <w:rsid w:val="00A50A7F"/>
    <w:rsid w:val="00A531EC"/>
    <w:rsid w:val="00A654D0"/>
    <w:rsid w:val="00A666A8"/>
    <w:rsid w:val="00A7334C"/>
    <w:rsid w:val="00A7682D"/>
    <w:rsid w:val="00A909EF"/>
    <w:rsid w:val="00A9498C"/>
    <w:rsid w:val="00AA12DE"/>
    <w:rsid w:val="00AA40C3"/>
    <w:rsid w:val="00AD1881"/>
    <w:rsid w:val="00AE212E"/>
    <w:rsid w:val="00AE6E59"/>
    <w:rsid w:val="00AE76D4"/>
    <w:rsid w:val="00AF39A5"/>
    <w:rsid w:val="00B15D83"/>
    <w:rsid w:val="00B1635A"/>
    <w:rsid w:val="00B30100"/>
    <w:rsid w:val="00B43E4E"/>
    <w:rsid w:val="00B47730"/>
    <w:rsid w:val="00B56F6B"/>
    <w:rsid w:val="00BA4408"/>
    <w:rsid w:val="00BA599A"/>
    <w:rsid w:val="00BB1EF3"/>
    <w:rsid w:val="00BB6434"/>
    <w:rsid w:val="00BC1806"/>
    <w:rsid w:val="00BD4E49"/>
    <w:rsid w:val="00BE3EBD"/>
    <w:rsid w:val="00BE5E3E"/>
    <w:rsid w:val="00BF2393"/>
    <w:rsid w:val="00BF76F0"/>
    <w:rsid w:val="00C05D33"/>
    <w:rsid w:val="00C43D6D"/>
    <w:rsid w:val="00C7317D"/>
    <w:rsid w:val="00C92A35"/>
    <w:rsid w:val="00C93F56"/>
    <w:rsid w:val="00C96CEE"/>
    <w:rsid w:val="00CA09E2"/>
    <w:rsid w:val="00CA2899"/>
    <w:rsid w:val="00CA30A1"/>
    <w:rsid w:val="00CA6B5C"/>
    <w:rsid w:val="00CC4ED3"/>
    <w:rsid w:val="00CE602C"/>
    <w:rsid w:val="00CF17D2"/>
    <w:rsid w:val="00D10318"/>
    <w:rsid w:val="00D30A34"/>
    <w:rsid w:val="00D418C8"/>
    <w:rsid w:val="00D52CE9"/>
    <w:rsid w:val="00D67B92"/>
    <w:rsid w:val="00D94395"/>
    <w:rsid w:val="00D975BE"/>
    <w:rsid w:val="00DB24BF"/>
    <w:rsid w:val="00DB6BFB"/>
    <w:rsid w:val="00DC57C0"/>
    <w:rsid w:val="00DC5A33"/>
    <w:rsid w:val="00DE6E46"/>
    <w:rsid w:val="00DF7976"/>
    <w:rsid w:val="00E0423E"/>
    <w:rsid w:val="00E06550"/>
    <w:rsid w:val="00E13406"/>
    <w:rsid w:val="00E310B4"/>
    <w:rsid w:val="00E34500"/>
    <w:rsid w:val="00E37C8F"/>
    <w:rsid w:val="00E42EF6"/>
    <w:rsid w:val="00E44B03"/>
    <w:rsid w:val="00E611AD"/>
    <w:rsid w:val="00E611DE"/>
    <w:rsid w:val="00E662C5"/>
    <w:rsid w:val="00E84A4E"/>
    <w:rsid w:val="00E87477"/>
    <w:rsid w:val="00E96AB4"/>
    <w:rsid w:val="00E97376"/>
    <w:rsid w:val="00EB262D"/>
    <w:rsid w:val="00EB4F54"/>
    <w:rsid w:val="00EB5A95"/>
    <w:rsid w:val="00ED266D"/>
    <w:rsid w:val="00ED2846"/>
    <w:rsid w:val="00ED6ADF"/>
    <w:rsid w:val="00EF1E62"/>
    <w:rsid w:val="00F0418B"/>
    <w:rsid w:val="00F23C44"/>
    <w:rsid w:val="00F24F61"/>
    <w:rsid w:val="00F33321"/>
    <w:rsid w:val="00F34140"/>
    <w:rsid w:val="00F5455F"/>
    <w:rsid w:val="00F83474"/>
    <w:rsid w:val="00F87DBE"/>
    <w:rsid w:val="00F9782F"/>
    <w:rsid w:val="00FA11F6"/>
    <w:rsid w:val="00FA5BBD"/>
    <w:rsid w:val="00FA63F7"/>
    <w:rsid w:val="00FB2FD6"/>
    <w:rsid w:val="00FC547E"/>
    <w:rsid w:val="00FE7F3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F828"/>
  <w15:docId w15:val="{9C5FC1E3-E66B-41EC-9388-3B530000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2E71D2"/>
    <w:rPr>
      <w:sz w:val="16"/>
      <w:szCs w:val="16"/>
    </w:rPr>
  </w:style>
  <w:style w:type="paragraph" w:styleId="CommentText">
    <w:name w:val="annotation text"/>
    <w:basedOn w:val="Normal"/>
    <w:link w:val="CommentTextChar"/>
    <w:uiPriority w:val="99"/>
    <w:semiHidden/>
    <w:unhideWhenUsed/>
    <w:rsid w:val="002E71D2"/>
    <w:rPr>
      <w:sz w:val="20"/>
      <w:szCs w:val="20"/>
    </w:rPr>
  </w:style>
  <w:style w:type="character" w:customStyle="1" w:styleId="CommentTextChar">
    <w:name w:val="Comment Text Char"/>
    <w:link w:val="CommentText"/>
    <w:uiPriority w:val="99"/>
    <w:semiHidden/>
    <w:rsid w:val="002E71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E71D2"/>
    <w:rPr>
      <w:b/>
      <w:bCs/>
    </w:rPr>
  </w:style>
  <w:style w:type="character" w:customStyle="1" w:styleId="CommentSubjectChar">
    <w:name w:val="Comment Subject Char"/>
    <w:link w:val="CommentSubject"/>
    <w:uiPriority w:val="99"/>
    <w:semiHidden/>
    <w:rsid w:val="002E71D2"/>
    <w:rPr>
      <w:rFonts w:ascii="Times New Roman" w:eastAsia="Times New Roman" w:hAnsi="Times New Roman"/>
      <w:b/>
      <w:bCs/>
    </w:rPr>
  </w:style>
  <w:style w:type="character" w:customStyle="1" w:styleId="st1">
    <w:name w:val="st1"/>
    <w:basedOn w:val="DefaultParagraphFont"/>
    <w:rsid w:val="0028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5193">
      <w:bodyDiv w:val="1"/>
      <w:marLeft w:val="0"/>
      <w:marRight w:val="0"/>
      <w:marTop w:val="0"/>
      <w:marBottom w:val="0"/>
      <w:divBdr>
        <w:top w:val="none" w:sz="0" w:space="0" w:color="auto"/>
        <w:left w:val="none" w:sz="0" w:space="0" w:color="auto"/>
        <w:bottom w:val="none" w:sz="0" w:space="0" w:color="auto"/>
        <w:right w:val="none" w:sz="0" w:space="0" w:color="auto"/>
      </w:divBdr>
      <w:divsChild>
        <w:div w:id="60176362">
          <w:marLeft w:val="0"/>
          <w:marRight w:val="0"/>
          <w:marTop w:val="0"/>
          <w:marBottom w:val="0"/>
          <w:divBdr>
            <w:top w:val="none" w:sz="0" w:space="0" w:color="auto"/>
            <w:left w:val="none" w:sz="0" w:space="0" w:color="auto"/>
            <w:bottom w:val="none" w:sz="0" w:space="0" w:color="auto"/>
            <w:right w:val="none" w:sz="0" w:space="0" w:color="auto"/>
          </w:divBdr>
        </w:div>
        <w:div w:id="1002851866">
          <w:marLeft w:val="0"/>
          <w:marRight w:val="0"/>
          <w:marTop w:val="0"/>
          <w:marBottom w:val="0"/>
          <w:divBdr>
            <w:top w:val="none" w:sz="0" w:space="0" w:color="auto"/>
            <w:left w:val="none" w:sz="0" w:space="0" w:color="auto"/>
            <w:bottom w:val="none" w:sz="0" w:space="0" w:color="auto"/>
            <w:right w:val="none" w:sz="0" w:space="0" w:color="auto"/>
          </w:divBdr>
        </w:div>
        <w:div w:id="1334989246">
          <w:marLeft w:val="0"/>
          <w:marRight w:val="0"/>
          <w:marTop w:val="0"/>
          <w:marBottom w:val="0"/>
          <w:divBdr>
            <w:top w:val="none" w:sz="0" w:space="0" w:color="auto"/>
            <w:left w:val="none" w:sz="0" w:space="0" w:color="auto"/>
            <w:bottom w:val="none" w:sz="0" w:space="0" w:color="auto"/>
            <w:right w:val="none" w:sz="0" w:space="0" w:color="auto"/>
          </w:divBdr>
        </w:div>
        <w:div w:id="2080859366">
          <w:marLeft w:val="0"/>
          <w:marRight w:val="0"/>
          <w:marTop w:val="0"/>
          <w:marBottom w:val="0"/>
          <w:divBdr>
            <w:top w:val="none" w:sz="0" w:space="0" w:color="auto"/>
            <w:left w:val="none" w:sz="0" w:space="0" w:color="auto"/>
            <w:bottom w:val="none" w:sz="0" w:space="0" w:color="auto"/>
            <w:right w:val="none" w:sz="0" w:space="0" w:color="auto"/>
          </w:divBdr>
        </w:div>
      </w:divsChild>
    </w:div>
    <w:div w:id="643047707">
      <w:bodyDiv w:val="1"/>
      <w:marLeft w:val="0"/>
      <w:marRight w:val="0"/>
      <w:marTop w:val="0"/>
      <w:marBottom w:val="0"/>
      <w:divBdr>
        <w:top w:val="none" w:sz="0" w:space="0" w:color="auto"/>
        <w:left w:val="none" w:sz="0" w:space="0" w:color="auto"/>
        <w:bottom w:val="none" w:sz="0" w:space="0" w:color="auto"/>
        <w:right w:val="none" w:sz="0" w:space="0" w:color="auto"/>
      </w:divBdr>
      <w:divsChild>
        <w:div w:id="1033768933">
          <w:marLeft w:val="0"/>
          <w:marRight w:val="0"/>
          <w:marTop w:val="0"/>
          <w:marBottom w:val="0"/>
          <w:divBdr>
            <w:top w:val="none" w:sz="0" w:space="0" w:color="auto"/>
            <w:left w:val="none" w:sz="0" w:space="0" w:color="auto"/>
            <w:bottom w:val="none" w:sz="0" w:space="0" w:color="auto"/>
            <w:right w:val="none" w:sz="0" w:space="0" w:color="auto"/>
          </w:divBdr>
        </w:div>
        <w:div w:id="1129128187">
          <w:marLeft w:val="0"/>
          <w:marRight w:val="0"/>
          <w:marTop w:val="0"/>
          <w:marBottom w:val="0"/>
          <w:divBdr>
            <w:top w:val="none" w:sz="0" w:space="0" w:color="auto"/>
            <w:left w:val="none" w:sz="0" w:space="0" w:color="auto"/>
            <w:bottom w:val="none" w:sz="0" w:space="0" w:color="auto"/>
            <w:right w:val="none" w:sz="0" w:space="0" w:color="auto"/>
          </w:divBdr>
        </w:div>
        <w:div w:id="1549688519">
          <w:marLeft w:val="0"/>
          <w:marRight w:val="0"/>
          <w:marTop w:val="0"/>
          <w:marBottom w:val="0"/>
          <w:divBdr>
            <w:top w:val="none" w:sz="0" w:space="0" w:color="auto"/>
            <w:left w:val="none" w:sz="0" w:space="0" w:color="auto"/>
            <w:bottom w:val="none" w:sz="0" w:space="0" w:color="auto"/>
            <w:right w:val="none" w:sz="0" w:space="0" w:color="auto"/>
          </w:divBdr>
        </w:div>
        <w:div w:id="1970668576">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09598433">
      <w:bodyDiv w:val="1"/>
      <w:marLeft w:val="0"/>
      <w:marRight w:val="0"/>
      <w:marTop w:val="0"/>
      <w:marBottom w:val="0"/>
      <w:divBdr>
        <w:top w:val="none" w:sz="0" w:space="0" w:color="auto"/>
        <w:left w:val="none" w:sz="0" w:space="0" w:color="auto"/>
        <w:bottom w:val="none" w:sz="0" w:space="0" w:color="auto"/>
        <w:right w:val="none" w:sz="0" w:space="0" w:color="auto"/>
      </w:divBdr>
    </w:div>
    <w:div w:id="21423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6BD8-F1FC-4E52-A02C-49450BDF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Deshmukh, Smita</dc:creator>
  <cp:keywords/>
  <cp:lastModifiedBy>Martin, William</cp:lastModifiedBy>
  <cp:revision>15</cp:revision>
  <cp:lastPrinted>2015-11-06T19:12:00Z</cp:lastPrinted>
  <dcterms:created xsi:type="dcterms:W3CDTF">2022-04-06T20:13:00Z</dcterms:created>
  <dcterms:modified xsi:type="dcterms:W3CDTF">2022-04-25T16:53:00Z</dcterms:modified>
</cp:coreProperties>
</file>