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AE64" w14:textId="6AE6B645" w:rsidR="00EC7531" w:rsidRPr="00A46DB0" w:rsidRDefault="00EC7531" w:rsidP="00A46DB0">
      <w:pPr>
        <w:jc w:val="center"/>
        <w:rPr>
          <w:sz w:val="24"/>
          <w:szCs w:val="24"/>
        </w:rPr>
      </w:pPr>
      <w:bookmarkStart w:id="0" w:name="_GoBack"/>
      <w:bookmarkEnd w:id="0"/>
      <w:r w:rsidRPr="00A46DB0">
        <w:rPr>
          <w:sz w:val="24"/>
          <w:szCs w:val="24"/>
        </w:rPr>
        <w:t xml:space="preserve">Int. No. </w:t>
      </w:r>
      <w:r w:rsidR="0015670A">
        <w:rPr>
          <w:sz w:val="24"/>
          <w:szCs w:val="24"/>
        </w:rPr>
        <w:t>2443</w:t>
      </w:r>
      <w:r w:rsidR="00305221">
        <w:rPr>
          <w:sz w:val="24"/>
          <w:szCs w:val="24"/>
        </w:rPr>
        <w:t>-A</w:t>
      </w:r>
    </w:p>
    <w:p w14:paraId="1EB3317C" w14:textId="77777777" w:rsidR="00EC7531" w:rsidRPr="00A46DB0" w:rsidRDefault="00EC7531" w:rsidP="00A46DB0">
      <w:pPr>
        <w:jc w:val="center"/>
        <w:rPr>
          <w:sz w:val="24"/>
          <w:szCs w:val="24"/>
        </w:rPr>
      </w:pPr>
    </w:p>
    <w:p w14:paraId="5B7E1EF6" w14:textId="77777777" w:rsidR="00EC7531" w:rsidRPr="00A46DB0" w:rsidRDefault="00EC7531" w:rsidP="00A46DB0">
      <w:pPr>
        <w:jc w:val="both"/>
        <w:rPr>
          <w:sz w:val="24"/>
          <w:szCs w:val="24"/>
        </w:rPr>
      </w:pPr>
      <w:r w:rsidRPr="00A46DB0">
        <w:rPr>
          <w:sz w:val="24"/>
          <w:szCs w:val="24"/>
        </w:rPr>
        <w:t>By Council Member Chin</w:t>
      </w:r>
    </w:p>
    <w:p w14:paraId="1076B70F" w14:textId="77777777" w:rsidR="00EC7531" w:rsidRPr="00A46DB0" w:rsidRDefault="00EC7531" w:rsidP="00A46DB0">
      <w:pPr>
        <w:pStyle w:val="BodyText"/>
      </w:pPr>
    </w:p>
    <w:p w14:paraId="35597F4F" w14:textId="77777777" w:rsidR="00EC7531" w:rsidRPr="00A46DB0" w:rsidRDefault="00EC7531" w:rsidP="00A46DB0">
      <w:pPr>
        <w:pStyle w:val="BodyText"/>
        <w:rPr>
          <w:vanish/>
        </w:rPr>
      </w:pPr>
      <w:r w:rsidRPr="00A46DB0">
        <w:rPr>
          <w:vanish/>
        </w:rPr>
        <w:t>..Title</w:t>
      </w:r>
    </w:p>
    <w:p w14:paraId="4575D0C4" w14:textId="60B13951" w:rsidR="00EC7531" w:rsidRPr="00A46DB0" w:rsidRDefault="00EC7531" w:rsidP="00A46DB0">
      <w:pPr>
        <w:pStyle w:val="BodyText"/>
        <w:rPr>
          <w:spacing w:val="-5"/>
        </w:rPr>
      </w:pPr>
      <w:r w:rsidRPr="00A46DB0">
        <w:t>A Local Law to amend the</w:t>
      </w:r>
      <w:r w:rsidRPr="00A46DB0">
        <w:rPr>
          <w:spacing w:val="-4"/>
        </w:rPr>
        <w:t xml:space="preserve"> </w:t>
      </w:r>
      <w:r w:rsidRPr="00A46DB0">
        <w:t>administrative</w:t>
      </w:r>
      <w:r w:rsidRPr="00A46DB0">
        <w:rPr>
          <w:spacing w:val="-4"/>
        </w:rPr>
        <w:t xml:space="preserve"> </w:t>
      </w:r>
      <w:r w:rsidRPr="00A46DB0">
        <w:t>code</w:t>
      </w:r>
      <w:r w:rsidRPr="00A46DB0">
        <w:rPr>
          <w:spacing w:val="-4"/>
        </w:rPr>
        <w:t xml:space="preserve"> </w:t>
      </w:r>
      <w:r w:rsidRPr="00A46DB0">
        <w:t>of</w:t>
      </w:r>
      <w:r w:rsidRPr="00A46DB0">
        <w:rPr>
          <w:spacing w:val="-4"/>
        </w:rPr>
        <w:t xml:space="preserve"> </w:t>
      </w:r>
      <w:r w:rsidRPr="00A46DB0">
        <w:t>the</w:t>
      </w:r>
      <w:r w:rsidRPr="00A46DB0">
        <w:rPr>
          <w:spacing w:val="-4"/>
        </w:rPr>
        <w:t xml:space="preserve"> </w:t>
      </w:r>
      <w:r w:rsidRPr="00A46DB0">
        <w:t>city</w:t>
      </w:r>
      <w:r w:rsidRPr="00A46DB0">
        <w:rPr>
          <w:spacing w:val="-4"/>
        </w:rPr>
        <w:t xml:space="preserve"> </w:t>
      </w:r>
      <w:r w:rsidRPr="00A46DB0">
        <w:t>of</w:t>
      </w:r>
      <w:r w:rsidRPr="00A46DB0">
        <w:rPr>
          <w:spacing w:val="-3"/>
        </w:rPr>
        <w:t xml:space="preserve"> </w:t>
      </w:r>
      <w:r w:rsidRPr="00A46DB0">
        <w:t>New</w:t>
      </w:r>
      <w:r w:rsidRPr="00A46DB0">
        <w:rPr>
          <w:spacing w:val="-4"/>
        </w:rPr>
        <w:t xml:space="preserve"> </w:t>
      </w:r>
      <w:r w:rsidRPr="00A46DB0">
        <w:t>York,</w:t>
      </w:r>
      <w:r w:rsidRPr="00A46DB0">
        <w:rPr>
          <w:spacing w:val="-4"/>
        </w:rPr>
        <w:t xml:space="preserve"> </w:t>
      </w:r>
      <w:r w:rsidRPr="00A46DB0">
        <w:t>in</w:t>
      </w:r>
      <w:r w:rsidRPr="00A46DB0">
        <w:rPr>
          <w:spacing w:val="-4"/>
        </w:rPr>
        <w:t xml:space="preserve"> </w:t>
      </w:r>
      <w:r w:rsidRPr="00A46DB0">
        <w:t>relation</w:t>
      </w:r>
      <w:r w:rsidRPr="00A46DB0">
        <w:rPr>
          <w:spacing w:val="-3"/>
        </w:rPr>
        <w:t xml:space="preserve"> </w:t>
      </w:r>
      <w:r w:rsidRPr="00A46DB0">
        <w:t>to</w:t>
      </w:r>
      <w:r w:rsidRPr="00A46DB0">
        <w:rPr>
          <w:spacing w:val="-5"/>
        </w:rPr>
        <w:t xml:space="preserve"> increasing </w:t>
      </w:r>
      <w:bookmarkStart w:id="1" w:name="_Hlk86833554"/>
      <w:r w:rsidRPr="00A46DB0">
        <w:rPr>
          <w:spacing w:val="-5"/>
        </w:rPr>
        <w:t xml:space="preserve">penalties related to using joint living work quarters for artists contrary to zoning </w:t>
      </w:r>
    </w:p>
    <w:p w14:paraId="53D6CB97" w14:textId="77777777" w:rsidR="00EC7531" w:rsidRPr="00A46DB0" w:rsidRDefault="00EC7531" w:rsidP="00A46DB0">
      <w:pPr>
        <w:pStyle w:val="BodyText"/>
        <w:rPr>
          <w:vanish/>
        </w:rPr>
      </w:pPr>
      <w:r w:rsidRPr="00A46DB0">
        <w:rPr>
          <w:vanish/>
          <w:spacing w:val="-5"/>
        </w:rPr>
        <w:t>..Boy</w:t>
      </w:r>
    </w:p>
    <w:p w14:paraId="724D3845" w14:textId="77777777" w:rsidR="00EC7531" w:rsidRPr="00A46DB0" w:rsidRDefault="00EC7531" w:rsidP="00A46DB0">
      <w:pPr>
        <w:pStyle w:val="BodyText"/>
      </w:pPr>
    </w:p>
    <w:bookmarkEnd w:id="1"/>
    <w:p w14:paraId="177495CC" w14:textId="77777777" w:rsidR="00EC7531" w:rsidRPr="00A46DB0" w:rsidRDefault="00EC7531" w:rsidP="00A46DB0">
      <w:pPr>
        <w:pStyle w:val="BodyText"/>
        <w:rPr>
          <w:u w:val="single"/>
        </w:rPr>
      </w:pPr>
      <w:r w:rsidRPr="00A46DB0">
        <w:rPr>
          <w:u w:val="single"/>
        </w:rPr>
        <w:t>Be</w:t>
      </w:r>
      <w:r w:rsidRPr="00A46DB0">
        <w:rPr>
          <w:spacing w:val="-4"/>
          <w:u w:val="single"/>
        </w:rPr>
        <w:t xml:space="preserve"> </w:t>
      </w:r>
      <w:r w:rsidRPr="00A46DB0">
        <w:rPr>
          <w:u w:val="single"/>
        </w:rPr>
        <w:t>it</w:t>
      </w:r>
      <w:r w:rsidRPr="00A46DB0">
        <w:rPr>
          <w:spacing w:val="-3"/>
          <w:u w:val="single"/>
        </w:rPr>
        <w:t xml:space="preserve"> </w:t>
      </w:r>
      <w:r w:rsidRPr="00A46DB0">
        <w:rPr>
          <w:u w:val="single"/>
        </w:rPr>
        <w:t>enacted</w:t>
      </w:r>
      <w:r w:rsidRPr="00A46DB0">
        <w:rPr>
          <w:spacing w:val="-3"/>
          <w:u w:val="single"/>
        </w:rPr>
        <w:t xml:space="preserve"> </w:t>
      </w:r>
      <w:r w:rsidRPr="00A46DB0">
        <w:rPr>
          <w:u w:val="single"/>
        </w:rPr>
        <w:t>by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the</w:t>
      </w:r>
      <w:r w:rsidRPr="00A46DB0">
        <w:rPr>
          <w:spacing w:val="-3"/>
          <w:u w:val="single"/>
        </w:rPr>
        <w:t xml:space="preserve"> </w:t>
      </w:r>
      <w:r w:rsidRPr="00A46DB0">
        <w:rPr>
          <w:u w:val="single"/>
        </w:rPr>
        <w:t>Council</w:t>
      </w:r>
      <w:r w:rsidRPr="00A46DB0">
        <w:rPr>
          <w:spacing w:val="-3"/>
          <w:u w:val="single"/>
        </w:rPr>
        <w:t xml:space="preserve"> </w:t>
      </w:r>
      <w:r w:rsidRPr="00A46DB0">
        <w:rPr>
          <w:u w:val="single"/>
        </w:rPr>
        <w:t>as</w:t>
      </w:r>
      <w:r w:rsidRPr="00A46DB0">
        <w:rPr>
          <w:spacing w:val="-3"/>
          <w:u w:val="single"/>
        </w:rPr>
        <w:t xml:space="preserve"> </w:t>
      </w:r>
      <w:r w:rsidRPr="00A46DB0">
        <w:rPr>
          <w:u w:val="single"/>
        </w:rPr>
        <w:t>follows:</w:t>
      </w:r>
    </w:p>
    <w:p w14:paraId="6EA367C8" w14:textId="77777777" w:rsidR="00EC7531" w:rsidRPr="00A46DB0" w:rsidRDefault="00EC7531" w:rsidP="00A46DB0">
      <w:pPr>
        <w:pStyle w:val="BodyText"/>
      </w:pPr>
    </w:p>
    <w:p w14:paraId="4E3AA3B7" w14:textId="553A7474" w:rsidR="008831CD" w:rsidRDefault="00EC7531" w:rsidP="00A46DB0">
      <w:pPr>
        <w:pStyle w:val="BodyText"/>
        <w:spacing w:before="90" w:line="480" w:lineRule="auto"/>
        <w:ind w:firstLine="720"/>
        <w:rPr>
          <w:spacing w:val="3"/>
        </w:rPr>
      </w:pPr>
      <w:r w:rsidRPr="00A46DB0">
        <w:t>Section</w:t>
      </w:r>
      <w:r w:rsidRPr="00A46DB0">
        <w:rPr>
          <w:spacing w:val="3"/>
        </w:rPr>
        <w:t xml:space="preserve"> </w:t>
      </w:r>
      <w:r w:rsidRPr="00A46DB0">
        <w:t>1.</w:t>
      </w:r>
      <w:r w:rsidRPr="00A46DB0">
        <w:rPr>
          <w:spacing w:val="3"/>
        </w:rPr>
        <w:t xml:space="preserve"> </w:t>
      </w:r>
      <w:r w:rsidR="008831CD">
        <w:rPr>
          <w:spacing w:val="3"/>
        </w:rPr>
        <w:t>Chapter 6 of title 7 of the administrative code of the city of New York is amended by adding a new section 7-629 to read as follows:</w:t>
      </w:r>
    </w:p>
    <w:p w14:paraId="54EEB19E" w14:textId="4E373676" w:rsidR="00C900DE" w:rsidRDefault="008831CD">
      <w:pPr>
        <w:pStyle w:val="BodyText"/>
        <w:spacing w:before="90" w:line="480" w:lineRule="auto"/>
        <w:ind w:firstLine="720"/>
        <w:jc w:val="both"/>
        <w:rPr>
          <w:spacing w:val="3"/>
          <w:u w:val="single"/>
        </w:rPr>
      </w:pPr>
      <w:r w:rsidRPr="00E97B08">
        <w:rPr>
          <w:u w:val="single"/>
        </w:rPr>
        <w:t xml:space="preserve">§ </w:t>
      </w:r>
      <w:r w:rsidRPr="00E97B08">
        <w:rPr>
          <w:spacing w:val="3"/>
          <w:u w:val="single"/>
        </w:rPr>
        <w:t xml:space="preserve">7-629 </w:t>
      </w:r>
      <w:r w:rsidR="0043078A">
        <w:rPr>
          <w:spacing w:val="3"/>
          <w:u w:val="single"/>
        </w:rPr>
        <w:t>J</w:t>
      </w:r>
      <w:r w:rsidRPr="007E097A">
        <w:rPr>
          <w:spacing w:val="3"/>
          <w:u w:val="single"/>
        </w:rPr>
        <w:t>oint liv</w:t>
      </w:r>
      <w:r w:rsidR="00A543C2" w:rsidRPr="007E097A">
        <w:rPr>
          <w:spacing w:val="3"/>
          <w:u w:val="single"/>
        </w:rPr>
        <w:t>ing</w:t>
      </w:r>
      <w:r w:rsidRPr="007E097A">
        <w:rPr>
          <w:spacing w:val="3"/>
          <w:u w:val="single"/>
        </w:rPr>
        <w:t>-work quarter</w:t>
      </w:r>
      <w:r w:rsidR="00A543C2" w:rsidRPr="007E097A">
        <w:rPr>
          <w:spacing w:val="3"/>
          <w:u w:val="single"/>
        </w:rPr>
        <w:t>s</w:t>
      </w:r>
      <w:r w:rsidRPr="007E097A">
        <w:rPr>
          <w:spacing w:val="3"/>
          <w:u w:val="single"/>
        </w:rPr>
        <w:t xml:space="preserve"> for artists.</w:t>
      </w:r>
      <w:r w:rsidR="00BF532B" w:rsidRPr="007E097A">
        <w:rPr>
          <w:spacing w:val="3"/>
          <w:u w:val="single"/>
        </w:rPr>
        <w:t xml:space="preserve"> a. </w:t>
      </w:r>
      <w:r w:rsidR="002E1EAC" w:rsidRPr="007E097A">
        <w:rPr>
          <w:spacing w:val="3"/>
          <w:u w:val="single"/>
        </w:rPr>
        <w:t>Definition. For the purposes of this section, the</w:t>
      </w:r>
      <w:r w:rsidR="00C900DE">
        <w:rPr>
          <w:spacing w:val="3"/>
          <w:u w:val="single"/>
        </w:rPr>
        <w:t xml:space="preserve"> following</w:t>
      </w:r>
      <w:r w:rsidR="002E1EAC" w:rsidRPr="00E97B08">
        <w:rPr>
          <w:spacing w:val="3"/>
          <w:u w:val="single"/>
        </w:rPr>
        <w:t xml:space="preserve"> </w:t>
      </w:r>
      <w:r w:rsidR="00C900DE">
        <w:rPr>
          <w:spacing w:val="3"/>
          <w:u w:val="single"/>
        </w:rPr>
        <w:t xml:space="preserve">terms have the following meanings: </w:t>
      </w:r>
    </w:p>
    <w:p w14:paraId="5DE1F2A5" w14:textId="30A57360" w:rsidR="00C900DE" w:rsidRDefault="00C900DE">
      <w:pPr>
        <w:pStyle w:val="BodyText"/>
        <w:spacing w:before="90" w:line="480" w:lineRule="auto"/>
        <w:ind w:firstLine="720"/>
        <w:jc w:val="both"/>
        <w:rPr>
          <w:spacing w:val="3"/>
          <w:u w:val="single"/>
        </w:rPr>
      </w:pPr>
      <w:r>
        <w:rPr>
          <w:spacing w:val="3"/>
          <w:u w:val="single"/>
        </w:rPr>
        <w:t xml:space="preserve">City register. The term “city register” means the office of the register of the city of New York. </w:t>
      </w:r>
    </w:p>
    <w:p w14:paraId="5C2B504D" w14:textId="315A42CF" w:rsidR="002E1EAC" w:rsidRPr="007E097A" w:rsidRDefault="00C900DE" w:rsidP="00E97B08">
      <w:pPr>
        <w:pStyle w:val="BodyText"/>
        <w:spacing w:before="90" w:line="480" w:lineRule="auto"/>
        <w:ind w:firstLine="720"/>
        <w:jc w:val="both"/>
        <w:rPr>
          <w:spacing w:val="3"/>
          <w:u w:val="single"/>
        </w:rPr>
      </w:pPr>
      <w:r>
        <w:rPr>
          <w:spacing w:val="3"/>
          <w:u w:val="single"/>
        </w:rPr>
        <w:t xml:space="preserve">Joint living-work quarters for artists. The term </w:t>
      </w:r>
      <w:r w:rsidR="00A543C2" w:rsidRPr="007E097A">
        <w:rPr>
          <w:spacing w:val="3"/>
          <w:u w:val="single"/>
        </w:rPr>
        <w:t>“joint living-work quarters for artists” has the same meaning as such term is defined in section 12-10 of the zoning resolution</w:t>
      </w:r>
      <w:r w:rsidR="00635F78" w:rsidRPr="007E097A">
        <w:rPr>
          <w:spacing w:val="3"/>
          <w:u w:val="single"/>
        </w:rPr>
        <w:t xml:space="preserve">. </w:t>
      </w:r>
    </w:p>
    <w:p w14:paraId="36E56549" w14:textId="348C92E8" w:rsidR="00F42628" w:rsidRPr="00E97B08" w:rsidRDefault="20B2BF35" w:rsidP="00A16C69">
      <w:pPr>
        <w:pStyle w:val="BodyText"/>
        <w:spacing w:before="90" w:line="480" w:lineRule="auto"/>
        <w:ind w:firstLine="720"/>
        <w:jc w:val="both"/>
        <w:rPr>
          <w:u w:val="single"/>
        </w:rPr>
      </w:pPr>
      <w:r w:rsidRPr="007E097A">
        <w:rPr>
          <w:u w:val="single"/>
        </w:rPr>
        <w:t xml:space="preserve">b. </w:t>
      </w:r>
      <w:r w:rsidR="00E53F2F">
        <w:rPr>
          <w:u w:val="single"/>
        </w:rPr>
        <w:t>Recording</w:t>
      </w:r>
      <w:r w:rsidR="0043078A">
        <w:rPr>
          <w:u w:val="single"/>
        </w:rPr>
        <w:t xml:space="preserve"> requirement for owners of joint living-work quarters for artists. </w:t>
      </w:r>
      <w:r w:rsidR="006321F8">
        <w:rPr>
          <w:u w:val="single"/>
        </w:rPr>
        <w:t xml:space="preserve">Within 90 days of acquiring ownership of </w:t>
      </w:r>
      <w:r w:rsidR="00A543C2" w:rsidRPr="00E97B08">
        <w:rPr>
          <w:u w:val="single"/>
        </w:rPr>
        <w:t>a property that is a joint living-work quarter for artists</w:t>
      </w:r>
      <w:r w:rsidR="006321F8">
        <w:rPr>
          <w:u w:val="single"/>
        </w:rPr>
        <w:t xml:space="preserve">, </w:t>
      </w:r>
      <w:r w:rsidR="003F6BDD">
        <w:rPr>
          <w:u w:val="single"/>
        </w:rPr>
        <w:t>the owner of such property</w:t>
      </w:r>
      <w:r w:rsidR="00A543C2" w:rsidRPr="00E97B08">
        <w:rPr>
          <w:u w:val="single"/>
        </w:rPr>
        <w:t xml:space="preserve"> </w:t>
      </w:r>
      <w:r w:rsidR="000E3842" w:rsidRPr="00E97B08">
        <w:rPr>
          <w:u w:val="single"/>
        </w:rPr>
        <w:t>must</w:t>
      </w:r>
      <w:r w:rsidR="00A543C2" w:rsidRPr="00E97B08">
        <w:rPr>
          <w:u w:val="single"/>
        </w:rPr>
        <w:t xml:space="preserve"> </w:t>
      </w:r>
      <w:r w:rsidR="00E53F2F">
        <w:rPr>
          <w:u w:val="single"/>
        </w:rPr>
        <w:t>record</w:t>
      </w:r>
      <w:r w:rsidR="00A543C2" w:rsidRPr="00E97B08">
        <w:rPr>
          <w:u w:val="single"/>
        </w:rPr>
        <w:t xml:space="preserve"> </w:t>
      </w:r>
      <w:r w:rsidR="009F5B12">
        <w:rPr>
          <w:u w:val="single"/>
        </w:rPr>
        <w:t>in</w:t>
      </w:r>
      <w:r w:rsidR="00A543C2" w:rsidRPr="00E97B08">
        <w:rPr>
          <w:u w:val="single"/>
        </w:rPr>
        <w:t xml:space="preserve"> the </w:t>
      </w:r>
      <w:r w:rsidR="00E53F2F">
        <w:rPr>
          <w:u w:val="single"/>
        </w:rPr>
        <w:t>city register</w:t>
      </w:r>
      <w:r w:rsidR="009F5B12">
        <w:rPr>
          <w:u w:val="single"/>
        </w:rPr>
        <w:t xml:space="preserve">, </w:t>
      </w:r>
      <w:r w:rsidR="009F5B12">
        <w:rPr>
          <w:color w:val="000000"/>
          <w:u w:val="single"/>
          <w:shd w:val="clear" w:color="auto" w:fill="FFFFFF"/>
        </w:rPr>
        <w:t>or in the case of property within the county of Richmond, in the office of the clerk of such county,</w:t>
      </w:r>
      <w:r w:rsidRPr="00E97B08">
        <w:rPr>
          <w:u w:val="single"/>
        </w:rPr>
        <w:t xml:space="preserve"> </w:t>
      </w:r>
      <w:r w:rsidRPr="007E097A">
        <w:rPr>
          <w:u w:val="single"/>
        </w:rPr>
        <w:t xml:space="preserve">a statement that </w:t>
      </w:r>
      <w:r w:rsidR="00A543C2" w:rsidRPr="007E097A">
        <w:rPr>
          <w:u w:val="single"/>
        </w:rPr>
        <w:t xml:space="preserve">such property is a joint living-work quarter for artists, and that such property is therefore subject to </w:t>
      </w:r>
      <w:r w:rsidR="00E01FDF" w:rsidRPr="007E097A">
        <w:rPr>
          <w:u w:val="single"/>
        </w:rPr>
        <w:t>regulations governing</w:t>
      </w:r>
      <w:r w:rsidRPr="007E097A">
        <w:rPr>
          <w:u w:val="single"/>
        </w:rPr>
        <w:t xml:space="preserve"> joint living-work quarter</w:t>
      </w:r>
      <w:r w:rsidR="00E01FDF" w:rsidRPr="007E097A">
        <w:rPr>
          <w:u w:val="single"/>
        </w:rPr>
        <w:t>s for artists</w:t>
      </w:r>
      <w:r w:rsidRPr="007E097A">
        <w:rPr>
          <w:u w:val="single"/>
        </w:rPr>
        <w:t xml:space="preserve"> pursuant to</w:t>
      </w:r>
      <w:r w:rsidR="00E01FDF" w:rsidRPr="007E097A">
        <w:rPr>
          <w:u w:val="single"/>
        </w:rPr>
        <w:t xml:space="preserve"> the zoning resolution</w:t>
      </w:r>
      <w:r w:rsidRPr="007E097A">
        <w:rPr>
          <w:u w:val="single"/>
        </w:rPr>
        <w:t>.</w:t>
      </w:r>
      <w:r w:rsidR="006B721F" w:rsidRPr="007E097A">
        <w:rPr>
          <w:u w:val="single"/>
        </w:rPr>
        <w:t xml:space="preserve"> </w:t>
      </w:r>
      <w:r w:rsidR="00727A2B">
        <w:rPr>
          <w:u w:val="single"/>
        </w:rPr>
        <w:t xml:space="preserve">Such requirement shall not apply to an owner </w:t>
      </w:r>
      <w:r w:rsidR="00ED557D">
        <w:rPr>
          <w:u w:val="single"/>
        </w:rPr>
        <w:t xml:space="preserve">of </w:t>
      </w:r>
      <w:r w:rsidR="00727A2B">
        <w:rPr>
          <w:u w:val="single"/>
        </w:rPr>
        <w:t xml:space="preserve">such property who acquired ownership of such property prior to the effective date of the local law that added this section. </w:t>
      </w:r>
    </w:p>
    <w:p w14:paraId="3F668474" w14:textId="7CD248B7" w:rsidR="00C900DE" w:rsidRDefault="00AD0477">
      <w:pPr>
        <w:pStyle w:val="BodyText"/>
        <w:spacing w:before="90" w:line="480" w:lineRule="auto"/>
        <w:ind w:firstLine="720"/>
        <w:jc w:val="both"/>
        <w:rPr>
          <w:u w:val="single"/>
        </w:rPr>
      </w:pPr>
      <w:r w:rsidRPr="00E97B08">
        <w:rPr>
          <w:u w:val="single"/>
        </w:rPr>
        <w:t xml:space="preserve">c. </w:t>
      </w:r>
      <w:r w:rsidR="00C900DE">
        <w:rPr>
          <w:u w:val="single"/>
        </w:rPr>
        <w:t>Notice</w:t>
      </w:r>
      <w:r w:rsidR="0031561E">
        <w:rPr>
          <w:u w:val="single"/>
        </w:rPr>
        <w:t xml:space="preserve"> recorded by city agencies</w:t>
      </w:r>
      <w:r w:rsidR="00C900DE">
        <w:rPr>
          <w:u w:val="single"/>
        </w:rPr>
        <w:t xml:space="preserve">. </w:t>
      </w:r>
      <w:r w:rsidR="00A959B8">
        <w:rPr>
          <w:u w:val="single"/>
        </w:rPr>
        <w:t xml:space="preserve">In addition to any statement required to be </w:t>
      </w:r>
      <w:r w:rsidR="00E53F2F">
        <w:rPr>
          <w:u w:val="single"/>
        </w:rPr>
        <w:t>recorded</w:t>
      </w:r>
      <w:r w:rsidR="00A959B8">
        <w:rPr>
          <w:u w:val="single"/>
        </w:rPr>
        <w:t xml:space="preserve"> by the owner of a property </w:t>
      </w:r>
      <w:r w:rsidR="00727A2B">
        <w:rPr>
          <w:u w:val="single"/>
        </w:rPr>
        <w:t xml:space="preserve">that is a joint living-work quarter for artists </w:t>
      </w:r>
      <w:r w:rsidR="00A959B8">
        <w:rPr>
          <w:u w:val="single"/>
        </w:rPr>
        <w:t xml:space="preserve">pursuant to subdivision b </w:t>
      </w:r>
      <w:r w:rsidR="00A959B8">
        <w:rPr>
          <w:u w:val="single"/>
        </w:rPr>
        <w:lastRenderedPageBreak/>
        <w:t>of this section, f</w:t>
      </w:r>
      <w:r w:rsidR="00265B63" w:rsidRPr="00E97B08">
        <w:rPr>
          <w:u w:val="single"/>
        </w:rPr>
        <w:t xml:space="preserve">or any property in the city of New York that is a joint living-work quarter for artists, </w:t>
      </w:r>
      <w:r w:rsidR="008F6190" w:rsidRPr="00806179">
        <w:rPr>
          <w:u w:val="single"/>
        </w:rPr>
        <w:t>an</w:t>
      </w:r>
      <w:r w:rsidR="008F6190" w:rsidRPr="007E097A">
        <w:rPr>
          <w:u w:val="single"/>
        </w:rPr>
        <w:t xml:space="preserve"> office</w:t>
      </w:r>
      <w:r w:rsidR="008F6190" w:rsidRPr="00806179">
        <w:rPr>
          <w:u w:val="single"/>
        </w:rPr>
        <w:t xml:space="preserve"> </w:t>
      </w:r>
      <w:r w:rsidR="008F6190" w:rsidRPr="007E097A">
        <w:rPr>
          <w:u w:val="single"/>
        </w:rPr>
        <w:t xml:space="preserve">or </w:t>
      </w:r>
      <w:r w:rsidR="008F6190" w:rsidRPr="00806179">
        <w:rPr>
          <w:u w:val="single"/>
        </w:rPr>
        <w:t>agency designated by the mayor</w:t>
      </w:r>
      <w:r w:rsidR="00C35437">
        <w:rPr>
          <w:u w:val="single"/>
        </w:rPr>
        <w:t xml:space="preserve"> may</w:t>
      </w:r>
      <w:r w:rsidR="00C900DE" w:rsidRPr="00806179">
        <w:rPr>
          <w:u w:val="single"/>
        </w:rPr>
        <w:t xml:space="preserve">, where </w:t>
      </w:r>
      <w:r w:rsidR="00ED557D" w:rsidRPr="00806179">
        <w:rPr>
          <w:u w:val="single"/>
        </w:rPr>
        <w:t xml:space="preserve">such </w:t>
      </w:r>
      <w:r w:rsidR="008F6190" w:rsidRPr="00806179">
        <w:rPr>
          <w:u w:val="single"/>
        </w:rPr>
        <w:t>office or</w:t>
      </w:r>
      <w:r w:rsidR="008F6190">
        <w:rPr>
          <w:u w:val="single"/>
        </w:rPr>
        <w:t xml:space="preserve"> </w:t>
      </w:r>
      <w:r w:rsidR="00ED557D">
        <w:rPr>
          <w:u w:val="single"/>
        </w:rPr>
        <w:t>agency</w:t>
      </w:r>
      <w:r w:rsidR="00C900DE">
        <w:rPr>
          <w:u w:val="single"/>
        </w:rPr>
        <w:t xml:space="preserve"> determine</w:t>
      </w:r>
      <w:r w:rsidR="00ED557D">
        <w:rPr>
          <w:u w:val="single"/>
        </w:rPr>
        <w:t>s</w:t>
      </w:r>
      <w:r w:rsidR="00C900DE">
        <w:rPr>
          <w:u w:val="single"/>
        </w:rPr>
        <w:t xml:space="preserve"> it to be in the public interest,</w:t>
      </w:r>
      <w:r w:rsidR="00265B63" w:rsidRPr="00E97B08">
        <w:rPr>
          <w:u w:val="single"/>
        </w:rPr>
        <w:t xml:space="preserve"> </w:t>
      </w:r>
      <w:r w:rsidR="00C900DE">
        <w:rPr>
          <w:u w:val="single"/>
        </w:rPr>
        <w:t>timely record in the city register</w:t>
      </w:r>
      <w:r w:rsidR="009F5B12">
        <w:rPr>
          <w:u w:val="single"/>
        </w:rPr>
        <w:t xml:space="preserve">, </w:t>
      </w:r>
      <w:r w:rsidR="009F5B12">
        <w:rPr>
          <w:color w:val="000000"/>
          <w:u w:val="single"/>
          <w:shd w:val="clear" w:color="auto" w:fill="FFFFFF"/>
        </w:rPr>
        <w:t>or in the case of property within the county of Richmond, in the office of the clerk of such county,</w:t>
      </w:r>
      <w:r w:rsidR="00C900DE">
        <w:rPr>
          <w:u w:val="single"/>
        </w:rPr>
        <w:t xml:space="preserve"> </w:t>
      </w:r>
      <w:r w:rsidR="00ED557D">
        <w:rPr>
          <w:u w:val="single"/>
        </w:rPr>
        <w:t xml:space="preserve">notice </w:t>
      </w:r>
      <w:r w:rsidR="00C900DE">
        <w:rPr>
          <w:u w:val="single"/>
        </w:rPr>
        <w:t xml:space="preserve">that </w:t>
      </w:r>
      <w:r w:rsidR="00C900DE" w:rsidRPr="00C8609D">
        <w:rPr>
          <w:u w:val="single"/>
        </w:rPr>
        <w:t>such property is a joint living-work quarter for artists, and that such property is therefore subject to regulations governing joint living-work quarters for artists pursuant to the zoning resolution.</w:t>
      </w:r>
      <w:r w:rsidR="00C900DE">
        <w:rPr>
          <w:u w:val="single"/>
        </w:rPr>
        <w:t xml:space="preserve"> Each </w:t>
      </w:r>
      <w:r w:rsidR="00ED557D">
        <w:rPr>
          <w:u w:val="single"/>
        </w:rPr>
        <w:t xml:space="preserve">such notice </w:t>
      </w:r>
      <w:r w:rsidR="00C900DE">
        <w:rPr>
          <w:u w:val="single"/>
        </w:rPr>
        <w:t xml:space="preserve">shall include the borough, block and lot number of such property as set forth on the tax map. </w:t>
      </w:r>
    </w:p>
    <w:p w14:paraId="0DD15819" w14:textId="54968E7C" w:rsidR="00EC7531" w:rsidRPr="00A46DB0" w:rsidRDefault="008831CD" w:rsidP="00A46DB0">
      <w:pPr>
        <w:pStyle w:val="BodyText"/>
        <w:spacing w:before="90" w:line="480" w:lineRule="auto"/>
        <w:ind w:firstLine="720"/>
      </w:pPr>
      <w:r w:rsidRPr="00A46DB0">
        <w:t>§ 2</w:t>
      </w:r>
      <w:r>
        <w:t xml:space="preserve">. </w:t>
      </w:r>
      <w:r w:rsidR="00EC7531" w:rsidRPr="00A46DB0">
        <w:t xml:space="preserve">Section 28-201.2.2 of the administrative code </w:t>
      </w:r>
      <w:r>
        <w:t xml:space="preserve">of the city of New York </w:t>
      </w:r>
      <w:r w:rsidR="00EC7531" w:rsidRPr="00A46DB0">
        <w:t>is amended by adding a new item 8 to read as</w:t>
      </w:r>
      <w:r w:rsidR="00EC7531" w:rsidRPr="00A46DB0">
        <w:rPr>
          <w:spacing w:val="1"/>
        </w:rPr>
        <w:t xml:space="preserve"> </w:t>
      </w:r>
      <w:r w:rsidR="00EC7531" w:rsidRPr="00A46DB0">
        <w:t xml:space="preserve">follows: </w:t>
      </w:r>
    </w:p>
    <w:p w14:paraId="715E2A8E" w14:textId="23C840D4" w:rsidR="00DB4F2B" w:rsidRPr="00A46DB0" w:rsidRDefault="00EC7531" w:rsidP="00724D2D">
      <w:pPr>
        <w:pStyle w:val="BodyText"/>
        <w:spacing w:line="480" w:lineRule="auto"/>
        <w:ind w:firstLine="720"/>
        <w:jc w:val="both"/>
        <w:rPr>
          <w:u w:val="single"/>
        </w:rPr>
      </w:pPr>
      <w:r w:rsidRPr="00A46DB0">
        <w:rPr>
          <w:u w:val="single"/>
        </w:rPr>
        <w:t>8. A violation of a requirement, established pursuant to the zoning resolution,</w:t>
      </w:r>
      <w:r w:rsidRPr="00A46DB0">
        <w:rPr>
          <w:spacing w:val="1"/>
          <w:u w:val="single"/>
        </w:rPr>
        <w:t xml:space="preserve"> </w:t>
      </w:r>
      <w:r w:rsidRPr="00A46DB0">
        <w:rPr>
          <w:u w:val="single"/>
        </w:rPr>
        <w:t>related to a use contrary to the definition of joint living</w:t>
      </w:r>
      <w:r w:rsidR="00F36998">
        <w:rPr>
          <w:u w:val="single"/>
        </w:rPr>
        <w:t>-</w:t>
      </w:r>
      <w:r w:rsidRPr="00A46DB0">
        <w:rPr>
          <w:u w:val="single"/>
        </w:rPr>
        <w:t>work quarters for artists, as defined by section 12-10 of the zoning resolution.</w:t>
      </w:r>
    </w:p>
    <w:p w14:paraId="71F02F83" w14:textId="41613397" w:rsidR="00EC7531" w:rsidRPr="00A46DB0" w:rsidRDefault="00EC7531" w:rsidP="00A46DB0">
      <w:pPr>
        <w:pStyle w:val="BodyText"/>
        <w:spacing w:line="480" w:lineRule="auto"/>
        <w:ind w:firstLine="720"/>
        <w:jc w:val="both"/>
      </w:pPr>
      <w:r w:rsidRPr="00A46DB0">
        <w:t xml:space="preserve">§ </w:t>
      </w:r>
      <w:r w:rsidR="0087321B">
        <w:t>3</w:t>
      </w:r>
      <w:r w:rsidRPr="00A46DB0">
        <w:t>.</w:t>
      </w:r>
      <w:r w:rsidRPr="00A46DB0">
        <w:rPr>
          <w:spacing w:val="1"/>
        </w:rPr>
        <w:t xml:space="preserve"> </w:t>
      </w:r>
      <w:r w:rsidRPr="00A46DB0">
        <w:t>Section 28-202.1 of the administrative code of the city of New York is amended by adding a new</w:t>
      </w:r>
      <w:r w:rsidRPr="00A46DB0">
        <w:rPr>
          <w:spacing w:val="1"/>
        </w:rPr>
        <w:t xml:space="preserve"> </w:t>
      </w:r>
      <w:r w:rsidRPr="00A46DB0">
        <w:t>exception</w:t>
      </w:r>
      <w:r w:rsidRPr="00A46DB0">
        <w:rPr>
          <w:spacing w:val="-2"/>
        </w:rPr>
        <w:t xml:space="preserve"> 1</w:t>
      </w:r>
      <w:r w:rsidR="00E75630">
        <w:rPr>
          <w:spacing w:val="-2"/>
        </w:rPr>
        <w:t>3</w:t>
      </w:r>
      <w:r w:rsidRPr="00A46DB0">
        <w:t xml:space="preserve"> to</w:t>
      </w:r>
      <w:r w:rsidRPr="00A46DB0">
        <w:rPr>
          <w:spacing w:val="-1"/>
        </w:rPr>
        <w:t xml:space="preserve"> </w:t>
      </w:r>
      <w:r w:rsidRPr="00A46DB0">
        <w:t>read as</w:t>
      </w:r>
      <w:r w:rsidRPr="00A46DB0">
        <w:rPr>
          <w:spacing w:val="-1"/>
        </w:rPr>
        <w:t xml:space="preserve"> </w:t>
      </w:r>
      <w:r w:rsidRPr="00A46DB0">
        <w:t>follows:</w:t>
      </w:r>
    </w:p>
    <w:p w14:paraId="26E8E4DB" w14:textId="1A55C2E2" w:rsidR="00EC7531" w:rsidRDefault="00EC7531" w:rsidP="00724D2D">
      <w:pPr>
        <w:pStyle w:val="BodyText"/>
        <w:spacing w:line="480" w:lineRule="auto"/>
        <w:ind w:firstLine="720"/>
        <w:jc w:val="both"/>
        <w:rPr>
          <w:u w:val="single"/>
        </w:rPr>
      </w:pPr>
      <w:r w:rsidRPr="00A46DB0">
        <w:rPr>
          <w:u w:val="single"/>
        </w:rPr>
        <w:t>1</w:t>
      </w:r>
      <w:r w:rsidR="00E75630">
        <w:rPr>
          <w:u w:val="single"/>
        </w:rPr>
        <w:t>3</w:t>
      </w:r>
      <w:r w:rsidRPr="00A46DB0">
        <w:rPr>
          <w:u w:val="single"/>
        </w:rPr>
        <w:t>.</w:t>
      </w:r>
      <w:r w:rsidRPr="00A46DB0">
        <w:rPr>
          <w:spacing w:val="1"/>
          <w:u w:val="single"/>
        </w:rPr>
        <w:t xml:space="preserve"> </w:t>
      </w:r>
      <w:r w:rsidRPr="00A46DB0">
        <w:rPr>
          <w:u w:val="single"/>
        </w:rPr>
        <w:t>A violation of a requirement, established pursuant to the zoning resolution, related to a use contrary to the definition of joint living</w:t>
      </w:r>
      <w:r w:rsidR="00F36998">
        <w:rPr>
          <w:u w:val="single"/>
        </w:rPr>
        <w:t>-</w:t>
      </w:r>
      <w:r w:rsidRPr="00A46DB0">
        <w:rPr>
          <w:u w:val="single"/>
        </w:rPr>
        <w:t>work quarters for artists, as defined by section 12-10 of the zoning resolution, shall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be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subject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to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a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civil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penalty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of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not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less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than $15,000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for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the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first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offense</w:t>
      </w:r>
      <w:r w:rsidRPr="00A46DB0">
        <w:rPr>
          <w:spacing w:val="-2"/>
          <w:u w:val="single"/>
        </w:rPr>
        <w:t xml:space="preserve"> </w:t>
      </w:r>
      <w:r w:rsidRPr="00A46DB0">
        <w:rPr>
          <w:u w:val="single"/>
        </w:rPr>
        <w:t>and</w:t>
      </w:r>
      <w:r w:rsidRPr="00A46DB0">
        <w:rPr>
          <w:spacing w:val="-1"/>
          <w:u w:val="single"/>
        </w:rPr>
        <w:t xml:space="preserve"> </w:t>
      </w:r>
      <w:r w:rsidRPr="00A46DB0">
        <w:rPr>
          <w:u w:val="single"/>
        </w:rPr>
        <w:t>$25,000 for each subsequent offense. In addition to such civil penalties, a separate monthly penalty may be imposed of $1,000 for each month that the violation is not corrected.</w:t>
      </w:r>
    </w:p>
    <w:p w14:paraId="0FFA8351" w14:textId="0E92D1E4" w:rsidR="00A959B8" w:rsidRPr="00A46DB0" w:rsidRDefault="00EC7531">
      <w:pPr>
        <w:pStyle w:val="BodyText"/>
        <w:spacing w:before="90"/>
        <w:ind w:firstLine="720"/>
      </w:pPr>
      <w:r w:rsidRPr="00A46DB0">
        <w:t>§</w:t>
      </w:r>
      <w:r w:rsidRPr="00A46DB0">
        <w:rPr>
          <w:spacing w:val="-4"/>
        </w:rPr>
        <w:t xml:space="preserve"> </w:t>
      </w:r>
      <w:r w:rsidR="0087321B">
        <w:t>4</w:t>
      </w:r>
      <w:r w:rsidRPr="00A46DB0">
        <w:t>.</w:t>
      </w:r>
      <w:r w:rsidRPr="00A46DB0">
        <w:rPr>
          <w:spacing w:val="54"/>
        </w:rPr>
        <w:t xml:space="preserve"> </w:t>
      </w:r>
      <w:r w:rsidRPr="00A46DB0">
        <w:t>This</w:t>
      </w:r>
      <w:r w:rsidRPr="00A46DB0">
        <w:rPr>
          <w:spacing w:val="-4"/>
        </w:rPr>
        <w:t xml:space="preserve"> </w:t>
      </w:r>
      <w:r w:rsidRPr="00A46DB0">
        <w:t>local</w:t>
      </w:r>
      <w:r w:rsidRPr="00A46DB0">
        <w:rPr>
          <w:spacing w:val="-5"/>
        </w:rPr>
        <w:t xml:space="preserve"> </w:t>
      </w:r>
      <w:r w:rsidRPr="00A46DB0">
        <w:t>law</w:t>
      </w:r>
      <w:r w:rsidRPr="00A46DB0">
        <w:rPr>
          <w:spacing w:val="-4"/>
        </w:rPr>
        <w:t xml:space="preserve"> </w:t>
      </w:r>
      <w:r w:rsidRPr="00A46DB0">
        <w:t>takes</w:t>
      </w:r>
      <w:r w:rsidRPr="00A46DB0">
        <w:rPr>
          <w:spacing w:val="-4"/>
        </w:rPr>
        <w:t xml:space="preserve"> </w:t>
      </w:r>
      <w:r w:rsidRPr="00A46DB0">
        <w:t>effect</w:t>
      </w:r>
      <w:r w:rsidRPr="00A46DB0">
        <w:rPr>
          <w:spacing w:val="-4"/>
        </w:rPr>
        <w:t xml:space="preserve"> </w:t>
      </w:r>
      <w:r w:rsidR="00E75630">
        <w:t>180 days after it becomes law</w:t>
      </w:r>
      <w:r w:rsidR="0087321B">
        <w:t>.</w:t>
      </w:r>
    </w:p>
    <w:p w14:paraId="5B0DA02F" w14:textId="77777777" w:rsidR="00EC7531" w:rsidRPr="00A46DB0" w:rsidRDefault="00EC7531" w:rsidP="00A46DB0">
      <w:pPr>
        <w:pStyle w:val="BodyText"/>
        <w:spacing w:before="3"/>
      </w:pPr>
    </w:p>
    <w:p w14:paraId="523F74BD" w14:textId="77777777" w:rsidR="00EC7531" w:rsidRPr="00A46DB0" w:rsidRDefault="00EC7531" w:rsidP="00A46DB0">
      <w:pPr>
        <w:pStyle w:val="BodyText"/>
      </w:pPr>
    </w:p>
    <w:p w14:paraId="676E5EF5" w14:textId="77777777" w:rsidR="00EC7531" w:rsidRPr="00A46DB0" w:rsidRDefault="00EC7531" w:rsidP="00A46DB0">
      <w:pPr>
        <w:pStyle w:val="BodyText"/>
        <w:spacing w:before="3"/>
      </w:pPr>
    </w:p>
    <w:p w14:paraId="103DD737" w14:textId="77777777" w:rsidR="00EC7531" w:rsidRPr="00AE304E" w:rsidRDefault="00EC7531" w:rsidP="00A46DB0">
      <w:pPr>
        <w:rPr>
          <w:sz w:val="20"/>
          <w:szCs w:val="20"/>
        </w:rPr>
      </w:pPr>
      <w:r w:rsidRPr="00AE304E">
        <w:rPr>
          <w:sz w:val="20"/>
          <w:szCs w:val="20"/>
        </w:rPr>
        <w:t>AMR</w:t>
      </w:r>
    </w:p>
    <w:p w14:paraId="2F761646" w14:textId="77777777" w:rsidR="00EC7531" w:rsidRPr="00AE304E" w:rsidRDefault="00EC7531" w:rsidP="00A46DB0">
      <w:pPr>
        <w:rPr>
          <w:spacing w:val="-42"/>
          <w:sz w:val="20"/>
          <w:szCs w:val="20"/>
        </w:rPr>
      </w:pPr>
      <w:r w:rsidRPr="00AE304E">
        <w:rPr>
          <w:spacing w:val="-1"/>
          <w:sz w:val="20"/>
          <w:szCs w:val="20"/>
        </w:rPr>
        <w:t>LS #17889</w:t>
      </w:r>
      <w:r w:rsidRPr="00AE304E">
        <w:rPr>
          <w:spacing w:val="-42"/>
          <w:sz w:val="20"/>
          <w:szCs w:val="20"/>
        </w:rPr>
        <w:t xml:space="preserve">  </w:t>
      </w:r>
    </w:p>
    <w:p w14:paraId="6041453B" w14:textId="4C1AFA8C" w:rsidR="00EC7531" w:rsidRDefault="00A46DB0" w:rsidP="00A46DB0">
      <w:pPr>
        <w:rPr>
          <w:sz w:val="20"/>
          <w:szCs w:val="20"/>
        </w:rPr>
      </w:pPr>
      <w:r w:rsidRPr="00AE304E">
        <w:rPr>
          <w:spacing w:val="-42"/>
          <w:sz w:val="20"/>
          <w:szCs w:val="20"/>
        </w:rPr>
        <w:t>1</w:t>
      </w:r>
      <w:r w:rsidR="00AE304E" w:rsidRPr="00AE304E">
        <w:rPr>
          <w:spacing w:val="-42"/>
          <w:sz w:val="20"/>
          <w:szCs w:val="20"/>
        </w:rPr>
        <w:t>2</w:t>
      </w:r>
      <w:r w:rsidR="00AE304E" w:rsidRPr="00AE304E">
        <w:rPr>
          <w:sz w:val="20"/>
          <w:szCs w:val="20"/>
        </w:rPr>
        <w:t>/7</w:t>
      </w:r>
      <w:r w:rsidR="00EC7531" w:rsidRPr="00AE304E">
        <w:rPr>
          <w:sz w:val="20"/>
          <w:szCs w:val="20"/>
        </w:rPr>
        <w:t>/2021</w:t>
      </w:r>
    </w:p>
    <w:p w14:paraId="420A9BD6" w14:textId="5E60FB5A" w:rsidR="00AE304E" w:rsidRPr="00AE304E" w:rsidRDefault="00AE304E" w:rsidP="00A46DB0">
      <w:pPr>
        <w:rPr>
          <w:sz w:val="20"/>
          <w:szCs w:val="20"/>
        </w:rPr>
      </w:pPr>
      <w:r>
        <w:rPr>
          <w:sz w:val="20"/>
          <w:szCs w:val="20"/>
        </w:rPr>
        <w:t>11:23 pm</w:t>
      </w:r>
    </w:p>
    <w:p w14:paraId="20F0AC9E" w14:textId="77777777" w:rsidR="00AE304E" w:rsidRPr="00A46DB0" w:rsidRDefault="00AE304E" w:rsidP="00A46DB0">
      <w:pPr>
        <w:rPr>
          <w:sz w:val="24"/>
          <w:szCs w:val="24"/>
        </w:rPr>
      </w:pPr>
    </w:p>
    <w:sectPr w:rsidR="00AE304E" w:rsidRPr="00A46DB0" w:rsidSect="00A46DB0">
      <w:footerReference w:type="default" r:id="rId8"/>
      <w:type w:val="continuous"/>
      <w:pgSz w:w="12240" w:h="15840"/>
      <w:pgMar w:top="1440" w:right="1440" w:bottom="1440" w:left="1440" w:header="805" w:footer="78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2153" w14:textId="77777777" w:rsidR="00C04793" w:rsidRDefault="00C04793">
      <w:r>
        <w:separator/>
      </w:r>
    </w:p>
  </w:endnote>
  <w:endnote w:type="continuationSeparator" w:id="0">
    <w:p w14:paraId="52B2CB7F" w14:textId="77777777" w:rsidR="00C04793" w:rsidRDefault="00C0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8772" w14:textId="77777777" w:rsidR="00ED7C7C" w:rsidRDefault="00EC75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BBEDE" wp14:editId="7F47849B">
              <wp:simplePos x="0" y="0"/>
              <wp:positionH relativeFrom="page">
                <wp:posOffset>457200</wp:posOffset>
              </wp:positionH>
              <wp:positionV relativeFrom="page">
                <wp:posOffset>9384030</wp:posOffset>
              </wp:positionV>
              <wp:extent cx="68580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="http://schemas.openxmlformats.org/drawingml/2006/main">
          <w:pict>
            <v:line id="Line 4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36pt,738.9pt" to="8in,738.9pt" w14:anchorId="4A80D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y/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6A5EA5" wp14:editId="1FBD9811">
              <wp:simplePos x="0" y="0"/>
              <wp:positionH relativeFrom="page">
                <wp:posOffset>457200</wp:posOffset>
              </wp:positionH>
              <wp:positionV relativeFrom="page">
                <wp:posOffset>9441180</wp:posOffset>
              </wp:positionV>
              <wp:extent cx="1237615" cy="13906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E45A6" w14:textId="77777777" w:rsidR="00ED7C7C" w:rsidRDefault="00EB5E5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6A5EA5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6pt;margin-top:743.4pt;width:97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" filled="f" stroked="f">
              <v:textbox inset="0,0,0,0">
                <w:txbxContent>
                  <w:p w14:paraId="5E9E45A6" w14:textId="77777777" w:rsidR="00ED7C7C" w:rsidRDefault="009F5B12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7F7986" wp14:editId="0065F01C">
              <wp:simplePos x="0" y="0"/>
              <wp:positionH relativeFrom="page">
                <wp:posOffset>3613785</wp:posOffset>
              </wp:positionH>
              <wp:positionV relativeFrom="page">
                <wp:posOffset>9441180</wp:posOffset>
              </wp:positionV>
              <wp:extent cx="544195" cy="139065"/>
              <wp:effectExtent l="0" t="0" r="0" b="0"/>
              <wp:wrapNone/>
              <wp:docPr id="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6966D" w14:textId="77777777" w:rsidR="00ED7C7C" w:rsidRDefault="00EB5E5A" w:rsidP="001F05C8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77F7986" id="docshape8" o:spid="_x0000_s1027" type="#_x0000_t202" style="position:absolute;margin-left:284.55pt;margin-top:743.4pt;width:42.8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" filled="f" stroked="f">
              <v:textbox inset="0,0,0,0">
                <w:txbxContent>
                  <w:p w14:paraId="3016966D" w14:textId="77777777" w:rsidR="00ED7C7C" w:rsidRDefault="009F5B12" w:rsidP="001F05C8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B92143" wp14:editId="163DDEEF">
              <wp:simplePos x="0" y="0"/>
              <wp:positionH relativeFrom="page">
                <wp:posOffset>6346190</wp:posOffset>
              </wp:positionH>
              <wp:positionV relativeFrom="page">
                <wp:posOffset>9441180</wp:posOffset>
              </wp:positionV>
              <wp:extent cx="968375" cy="28956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A3FD" w14:textId="77777777" w:rsidR="00ED7C7C" w:rsidRDefault="00EB5E5A">
                          <w:pPr>
                            <w:spacing w:before="77"/>
                            <w:ind w:left="104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B92143" id="docshape9" o:spid="_x0000_s1028" type="#_x0000_t202" style="position:absolute;margin-left:499.7pt;margin-top:743.4pt;width:76.2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" filled="f" stroked="f">
              <v:textbox inset="0,0,0,0">
                <w:txbxContent>
                  <w:p w14:paraId="1DF2A3FD" w14:textId="77777777" w:rsidR="00ED7C7C" w:rsidRDefault="009F5B12">
                    <w:pPr>
                      <w:spacing w:before="77"/>
                      <w:ind w:left="104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D7F5" w14:textId="77777777" w:rsidR="00C04793" w:rsidRDefault="00C04793">
      <w:r>
        <w:separator/>
      </w:r>
    </w:p>
  </w:footnote>
  <w:footnote w:type="continuationSeparator" w:id="0">
    <w:p w14:paraId="7D4145B6" w14:textId="77777777" w:rsidR="00C04793" w:rsidRDefault="00C0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1"/>
    <w:rsid w:val="000E3842"/>
    <w:rsid w:val="0015670A"/>
    <w:rsid w:val="001A4302"/>
    <w:rsid w:val="001A5B40"/>
    <w:rsid w:val="001C03DB"/>
    <w:rsid w:val="001E224B"/>
    <w:rsid w:val="0022068C"/>
    <w:rsid w:val="00265B63"/>
    <w:rsid w:val="0028659B"/>
    <w:rsid w:val="002A45F1"/>
    <w:rsid w:val="002A671D"/>
    <w:rsid w:val="002E1EAC"/>
    <w:rsid w:val="00305221"/>
    <w:rsid w:val="003070C9"/>
    <w:rsid w:val="0031561E"/>
    <w:rsid w:val="003333D2"/>
    <w:rsid w:val="00391CF9"/>
    <w:rsid w:val="003A424D"/>
    <w:rsid w:val="003F6BDD"/>
    <w:rsid w:val="0043078A"/>
    <w:rsid w:val="004D2002"/>
    <w:rsid w:val="005803F6"/>
    <w:rsid w:val="00617961"/>
    <w:rsid w:val="006321F8"/>
    <w:rsid w:val="00635F78"/>
    <w:rsid w:val="00660342"/>
    <w:rsid w:val="006B721F"/>
    <w:rsid w:val="00724D2D"/>
    <w:rsid w:val="00727A2B"/>
    <w:rsid w:val="00753B15"/>
    <w:rsid w:val="007E097A"/>
    <w:rsid w:val="007F04BE"/>
    <w:rsid w:val="00806179"/>
    <w:rsid w:val="00835113"/>
    <w:rsid w:val="00845BA9"/>
    <w:rsid w:val="0087073B"/>
    <w:rsid w:val="0087321B"/>
    <w:rsid w:val="008831CD"/>
    <w:rsid w:val="00884327"/>
    <w:rsid w:val="008C3BBD"/>
    <w:rsid w:val="008F2FBA"/>
    <w:rsid w:val="008F6190"/>
    <w:rsid w:val="0092059D"/>
    <w:rsid w:val="00946598"/>
    <w:rsid w:val="0097093B"/>
    <w:rsid w:val="00973F78"/>
    <w:rsid w:val="009F5B12"/>
    <w:rsid w:val="00A16C69"/>
    <w:rsid w:val="00A46DB0"/>
    <w:rsid w:val="00A543C2"/>
    <w:rsid w:val="00A959B8"/>
    <w:rsid w:val="00AD0477"/>
    <w:rsid w:val="00AE304E"/>
    <w:rsid w:val="00B8607C"/>
    <w:rsid w:val="00B948A3"/>
    <w:rsid w:val="00BF532B"/>
    <w:rsid w:val="00C04793"/>
    <w:rsid w:val="00C1293A"/>
    <w:rsid w:val="00C35437"/>
    <w:rsid w:val="00C81D7E"/>
    <w:rsid w:val="00C900DE"/>
    <w:rsid w:val="00CC3CE5"/>
    <w:rsid w:val="00D450AD"/>
    <w:rsid w:val="00D9008E"/>
    <w:rsid w:val="00D97445"/>
    <w:rsid w:val="00DB4F2B"/>
    <w:rsid w:val="00E01FDF"/>
    <w:rsid w:val="00E06448"/>
    <w:rsid w:val="00E53F2F"/>
    <w:rsid w:val="00E6711A"/>
    <w:rsid w:val="00E75630"/>
    <w:rsid w:val="00E97B08"/>
    <w:rsid w:val="00EB5E5A"/>
    <w:rsid w:val="00EC7531"/>
    <w:rsid w:val="00ED557D"/>
    <w:rsid w:val="00F36998"/>
    <w:rsid w:val="00F42628"/>
    <w:rsid w:val="00F820A1"/>
    <w:rsid w:val="20B2B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2CBE"/>
  <w15:chartTrackingRefBased/>
  <w15:docId w15:val="{16FEC745-3F1C-457A-9AA4-E83FBAC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75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8045-EAB8-4AEA-8829-61F44D44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2</cp:revision>
  <dcterms:created xsi:type="dcterms:W3CDTF">2021-12-27T21:22:00Z</dcterms:created>
  <dcterms:modified xsi:type="dcterms:W3CDTF">2021-12-27T21:22:00Z</dcterms:modified>
</cp:coreProperties>
</file>