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9021C" w14:textId="77777777" w:rsidR="00A869F3" w:rsidRPr="00581DCF" w:rsidRDefault="00A869F3" w:rsidP="00A869F3">
      <w:pPr>
        <w:jc w:val="right"/>
        <w:rPr>
          <w:rFonts w:eastAsia="Times New Roman"/>
          <w:u w:val="single"/>
        </w:rPr>
      </w:pPr>
      <w:bookmarkStart w:id="0" w:name="_GoBack"/>
      <w:bookmarkEnd w:id="0"/>
      <w:r w:rsidRPr="00581DCF">
        <w:rPr>
          <w:rFonts w:eastAsia="Times New Roman"/>
          <w:u w:val="single"/>
        </w:rPr>
        <w:t>Environmental Protection Committee Staff</w:t>
      </w:r>
    </w:p>
    <w:p w14:paraId="0ED2ED5A" w14:textId="77777777" w:rsidR="00A869F3" w:rsidRPr="00581DCF" w:rsidRDefault="00A869F3" w:rsidP="00A869F3">
      <w:pPr>
        <w:jc w:val="right"/>
        <w:rPr>
          <w:rFonts w:eastAsia="Times New Roman"/>
          <w:u w:val="single"/>
        </w:rPr>
      </w:pPr>
      <w:r w:rsidRPr="00581DCF">
        <w:rPr>
          <w:rFonts w:eastAsia="Times New Roman"/>
        </w:rPr>
        <w:t>Samara Swanston, Legislative Counsel</w:t>
      </w:r>
    </w:p>
    <w:p w14:paraId="4CE84EDD" w14:textId="77777777" w:rsidR="00A869F3" w:rsidRPr="00581DCF" w:rsidRDefault="00A869F3" w:rsidP="00A869F3">
      <w:pPr>
        <w:jc w:val="right"/>
        <w:rPr>
          <w:rFonts w:eastAsia="Times New Roman"/>
        </w:rPr>
      </w:pPr>
      <w:r w:rsidRPr="00581DCF">
        <w:rPr>
          <w:rFonts w:eastAsia="Times New Roman"/>
        </w:rPr>
        <w:t>Nadia Johnson, Senior Policy Analyst</w:t>
      </w:r>
    </w:p>
    <w:p w14:paraId="072664D5" w14:textId="77777777" w:rsidR="00A869F3" w:rsidRPr="00581DCF" w:rsidRDefault="00A869F3" w:rsidP="00A869F3">
      <w:pPr>
        <w:jc w:val="right"/>
        <w:rPr>
          <w:rFonts w:eastAsia="Times New Roman"/>
          <w:u w:val="single"/>
        </w:rPr>
      </w:pPr>
      <w:r w:rsidRPr="00581DCF">
        <w:rPr>
          <w:rFonts w:eastAsia="Times New Roman"/>
        </w:rPr>
        <w:t>Ricky Chawla, Policy Analyst</w:t>
      </w:r>
    </w:p>
    <w:p w14:paraId="32A8AFAA" w14:textId="3A811599" w:rsidR="00080852" w:rsidRPr="00581DCF" w:rsidRDefault="00A869F3" w:rsidP="005158E6">
      <w:pPr>
        <w:jc w:val="right"/>
        <w:rPr>
          <w:rFonts w:eastAsia="Times New Roman"/>
        </w:rPr>
      </w:pPr>
      <w:r w:rsidRPr="00581DCF">
        <w:rPr>
          <w:rFonts w:eastAsia="Times New Roman"/>
        </w:rPr>
        <w:t>Jonathan Seltzer, Senior Finance Analyst</w:t>
      </w:r>
      <w:r w:rsidRPr="00581DCF">
        <w:rPr>
          <w:rFonts w:eastAsia="Times New Roman"/>
        </w:rPr>
        <w:br/>
      </w:r>
    </w:p>
    <w:p w14:paraId="0C67DFA2" w14:textId="77777777" w:rsidR="00A869F3" w:rsidRPr="00581DCF" w:rsidRDefault="00A869F3" w:rsidP="00A869F3">
      <w:pPr>
        <w:ind w:left="2880" w:firstLine="720"/>
        <w:jc w:val="both"/>
        <w:rPr>
          <w:rFonts w:eastAsia="Times New Roman"/>
        </w:rPr>
      </w:pPr>
    </w:p>
    <w:p w14:paraId="07FAF949" w14:textId="77777777" w:rsidR="00A869F3" w:rsidRPr="00581DCF" w:rsidRDefault="00A869F3" w:rsidP="00A869F3">
      <w:pPr>
        <w:ind w:left="2880" w:firstLine="720"/>
        <w:jc w:val="both"/>
        <w:rPr>
          <w:rFonts w:eastAsia="Times New Roman"/>
        </w:rPr>
      </w:pPr>
    </w:p>
    <w:p w14:paraId="423A182C" w14:textId="77777777" w:rsidR="00A869F3" w:rsidRPr="00581DCF" w:rsidRDefault="00637160" w:rsidP="00A869F3">
      <w:pPr>
        <w:keepNext/>
        <w:spacing w:line="480" w:lineRule="auto"/>
        <w:jc w:val="both"/>
        <w:outlineLvl w:val="0"/>
        <w:rPr>
          <w:rFonts w:eastAsia="Times New Roman"/>
          <w:i/>
          <w:iCs/>
        </w:rPr>
      </w:pPr>
      <w:r>
        <w:rPr>
          <w:noProof/>
        </w:rPr>
        <w:drawing>
          <wp:anchor distT="0" distB="0" distL="114300" distR="114300" simplePos="0" relativeHeight="251657728" behindDoc="0" locked="0" layoutInCell="1" allowOverlap="1" wp14:anchorId="73F1EDF6" wp14:editId="2342F466">
            <wp:simplePos x="0" y="0"/>
            <wp:positionH relativeFrom="column">
              <wp:posOffset>2438400</wp:posOffset>
            </wp:positionH>
            <wp:positionV relativeFrom="paragraph">
              <wp:posOffset>57785</wp:posOffset>
            </wp:positionV>
            <wp:extent cx="914400" cy="894715"/>
            <wp:effectExtent l="0" t="0" r="0" b="0"/>
            <wp:wrapSquare wrapText="lef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94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BE21BB" w14:textId="77777777" w:rsidR="00A869F3" w:rsidRPr="00581DCF" w:rsidRDefault="00A869F3" w:rsidP="00A869F3">
      <w:pPr>
        <w:jc w:val="both"/>
        <w:rPr>
          <w:rFonts w:eastAsia="Times New Roman"/>
        </w:rPr>
      </w:pPr>
    </w:p>
    <w:p w14:paraId="1E20E34B" w14:textId="77777777" w:rsidR="00A869F3" w:rsidRPr="00581DCF" w:rsidRDefault="00A869F3" w:rsidP="00A869F3">
      <w:pPr>
        <w:tabs>
          <w:tab w:val="center" w:pos="4680"/>
        </w:tabs>
        <w:jc w:val="both"/>
        <w:rPr>
          <w:rFonts w:eastAsia="Times New Roman"/>
        </w:rPr>
      </w:pPr>
    </w:p>
    <w:p w14:paraId="6EBC7E59" w14:textId="77777777" w:rsidR="00A869F3" w:rsidRPr="00581DCF" w:rsidRDefault="00A869F3" w:rsidP="00A869F3">
      <w:pPr>
        <w:tabs>
          <w:tab w:val="center" w:pos="4680"/>
        </w:tabs>
        <w:jc w:val="both"/>
        <w:rPr>
          <w:rFonts w:eastAsia="Times New Roman"/>
        </w:rPr>
      </w:pPr>
    </w:p>
    <w:p w14:paraId="50480ED2" w14:textId="77777777" w:rsidR="00A869F3" w:rsidRPr="00581DCF" w:rsidRDefault="00A869F3" w:rsidP="00A869F3">
      <w:pPr>
        <w:tabs>
          <w:tab w:val="center" w:pos="4680"/>
        </w:tabs>
        <w:jc w:val="both"/>
        <w:rPr>
          <w:rFonts w:eastAsia="Times New Roman"/>
        </w:rPr>
      </w:pPr>
    </w:p>
    <w:p w14:paraId="776D7D1B" w14:textId="77777777" w:rsidR="00A869F3" w:rsidRPr="00581DCF" w:rsidRDefault="00A869F3" w:rsidP="00A869F3">
      <w:pPr>
        <w:widowControl w:val="0"/>
        <w:jc w:val="center"/>
        <w:outlineLvl w:val="5"/>
        <w:rPr>
          <w:rFonts w:ascii="Times New Roman Bold" w:eastAsia="Times New Roman" w:hAnsi="Times New Roman Bold"/>
          <w:b/>
          <w:bCs/>
          <w:smallCaps/>
          <w:color w:val="000000"/>
          <w:u w:val="single" w:color="000000"/>
        </w:rPr>
      </w:pPr>
      <w:r w:rsidRPr="00581DCF">
        <w:rPr>
          <w:rFonts w:ascii="Times New Roman Bold" w:eastAsia="Calibri" w:hAnsi="Times New Roman Bold" w:cs="Calibri"/>
          <w:b/>
          <w:bCs/>
          <w:smallCaps/>
          <w:color w:val="000000"/>
          <w:u w:val="single" w:color="000000"/>
        </w:rPr>
        <w:t>The New York City Council</w:t>
      </w:r>
    </w:p>
    <w:p w14:paraId="3E656773" w14:textId="77777777" w:rsidR="00A869F3" w:rsidRPr="00581DCF" w:rsidRDefault="00A869F3" w:rsidP="00A869F3">
      <w:pPr>
        <w:tabs>
          <w:tab w:val="center" w:pos="4680"/>
        </w:tabs>
        <w:jc w:val="center"/>
        <w:rPr>
          <w:iCs/>
        </w:rPr>
      </w:pPr>
      <w:r w:rsidRPr="00581DCF">
        <w:rPr>
          <w:rFonts w:eastAsia="Times New Roman"/>
          <w:iCs/>
        </w:rPr>
        <w:t>Jeffrey Baker, Legislative Director</w:t>
      </w:r>
    </w:p>
    <w:p w14:paraId="533E7D52" w14:textId="77777777" w:rsidR="00A869F3" w:rsidRPr="00581DCF" w:rsidRDefault="00A869F3" w:rsidP="00A869F3">
      <w:pPr>
        <w:tabs>
          <w:tab w:val="left" w:pos="-1440"/>
        </w:tabs>
        <w:ind w:left="4320"/>
        <w:rPr>
          <w:rFonts w:eastAsia="Times New Roman"/>
          <w:b/>
        </w:rPr>
      </w:pPr>
    </w:p>
    <w:p w14:paraId="1F5A84C3" w14:textId="77777777" w:rsidR="00A869F3" w:rsidRPr="00581DCF" w:rsidRDefault="00A869F3" w:rsidP="00A869F3">
      <w:pPr>
        <w:widowControl w:val="0"/>
        <w:jc w:val="center"/>
        <w:outlineLvl w:val="5"/>
        <w:rPr>
          <w:rFonts w:ascii="Times New Roman Bold" w:eastAsia="Times New Roman" w:hAnsi="Times New Roman Bold"/>
          <w:b/>
          <w:bCs/>
          <w:smallCaps/>
          <w:color w:val="000000"/>
          <w:u w:val="single" w:color="000000"/>
        </w:rPr>
      </w:pPr>
      <w:r w:rsidRPr="00581DCF">
        <w:rPr>
          <w:rFonts w:ascii="Times New Roman Bold" w:eastAsia="Calibri" w:hAnsi="Times New Roman Bold" w:cs="Calibri"/>
          <w:b/>
          <w:bCs/>
          <w:smallCaps/>
          <w:color w:val="000000"/>
          <w:u w:val="single" w:color="000000"/>
        </w:rPr>
        <w:t>Committee Report of the Infrastructure Division</w:t>
      </w:r>
    </w:p>
    <w:p w14:paraId="6EA3FBBD" w14:textId="77777777" w:rsidR="00A869F3" w:rsidRPr="00581DCF" w:rsidRDefault="00A869F3" w:rsidP="00A869F3">
      <w:pPr>
        <w:tabs>
          <w:tab w:val="center" w:pos="4680"/>
        </w:tabs>
        <w:jc w:val="center"/>
        <w:rPr>
          <w:rFonts w:eastAsia="Times New Roman"/>
        </w:rPr>
      </w:pPr>
      <w:r w:rsidRPr="00581DCF">
        <w:rPr>
          <w:rFonts w:eastAsia="Times New Roman"/>
          <w:iCs/>
        </w:rPr>
        <w:t>Terzah Nasser, Deputy Director</w:t>
      </w:r>
    </w:p>
    <w:p w14:paraId="23FD65C4" w14:textId="77777777" w:rsidR="00A869F3" w:rsidRPr="00581DCF" w:rsidRDefault="00A869F3" w:rsidP="00A869F3">
      <w:pPr>
        <w:tabs>
          <w:tab w:val="left" w:pos="-1440"/>
        </w:tabs>
        <w:ind w:left="4320"/>
        <w:rPr>
          <w:rFonts w:eastAsia="Times New Roman"/>
          <w:b/>
        </w:rPr>
      </w:pPr>
    </w:p>
    <w:p w14:paraId="4B35DD74" w14:textId="77777777" w:rsidR="00A869F3" w:rsidRPr="00581DCF" w:rsidRDefault="00A869F3" w:rsidP="00A869F3">
      <w:pPr>
        <w:tabs>
          <w:tab w:val="center" w:pos="4680"/>
        </w:tabs>
        <w:jc w:val="center"/>
        <w:rPr>
          <w:rFonts w:ascii="Times New Roman Bold" w:eastAsia="Times New Roman" w:hAnsi="Times New Roman Bold"/>
          <w:b/>
          <w:smallCaps/>
          <w:u w:val="single"/>
        </w:rPr>
      </w:pPr>
      <w:r w:rsidRPr="00581DCF">
        <w:rPr>
          <w:rFonts w:ascii="Times New Roman Bold" w:eastAsia="Times New Roman" w:hAnsi="Times New Roman Bold"/>
          <w:b/>
          <w:smallCaps/>
          <w:u w:val="single"/>
        </w:rPr>
        <w:t>Committee on Environmental Protection</w:t>
      </w:r>
    </w:p>
    <w:p w14:paraId="6C7D8F64" w14:textId="56F2BDB0" w:rsidR="00A869F3" w:rsidRPr="00581DCF" w:rsidRDefault="00A869F3" w:rsidP="00A869F3">
      <w:pPr>
        <w:jc w:val="center"/>
        <w:rPr>
          <w:rFonts w:eastAsia="Times New Roman"/>
        </w:rPr>
      </w:pPr>
      <w:r w:rsidRPr="00581DCF">
        <w:rPr>
          <w:rFonts w:eastAsia="Times New Roman"/>
        </w:rPr>
        <w:t xml:space="preserve">Hon. </w:t>
      </w:r>
      <w:r w:rsidR="00236E12">
        <w:rPr>
          <w:rFonts w:eastAsia="Times New Roman"/>
        </w:rPr>
        <w:t>James F. Gennaro</w:t>
      </w:r>
      <w:r w:rsidRPr="00581DCF">
        <w:rPr>
          <w:rFonts w:eastAsia="Times New Roman"/>
        </w:rPr>
        <w:t>, Chair</w:t>
      </w:r>
    </w:p>
    <w:p w14:paraId="27F2F0E2" w14:textId="77777777" w:rsidR="00A869F3" w:rsidRPr="00581DCF" w:rsidRDefault="00A869F3" w:rsidP="00A869F3">
      <w:pPr>
        <w:jc w:val="center"/>
        <w:rPr>
          <w:rFonts w:eastAsia="Times New Roman"/>
        </w:rPr>
      </w:pPr>
    </w:p>
    <w:p w14:paraId="2E0FC3D4" w14:textId="6F6E89BA" w:rsidR="00A869F3" w:rsidRPr="00581DCF" w:rsidRDefault="0043172A" w:rsidP="00A869F3">
      <w:pPr>
        <w:keepNext/>
        <w:jc w:val="center"/>
        <w:outlineLvl w:val="3"/>
        <w:rPr>
          <w:rFonts w:eastAsia="Times New Roman"/>
          <w:b/>
          <w:bCs/>
        </w:rPr>
      </w:pPr>
      <w:r>
        <w:rPr>
          <w:rFonts w:eastAsia="Times New Roman"/>
          <w:b/>
          <w:bCs/>
        </w:rPr>
        <w:t>December 8</w:t>
      </w:r>
      <w:r w:rsidR="00E127BD">
        <w:rPr>
          <w:rFonts w:eastAsia="Times New Roman"/>
          <w:b/>
          <w:bCs/>
        </w:rPr>
        <w:t>,</w:t>
      </w:r>
      <w:r w:rsidR="00A869F3" w:rsidRPr="00581DCF">
        <w:rPr>
          <w:rFonts w:eastAsia="Times New Roman"/>
          <w:b/>
          <w:bCs/>
        </w:rPr>
        <w:t xml:space="preserve"> </w:t>
      </w:r>
      <w:r w:rsidR="00DB26F3" w:rsidRPr="00581DCF">
        <w:rPr>
          <w:rFonts w:eastAsia="Times New Roman"/>
          <w:b/>
          <w:bCs/>
        </w:rPr>
        <w:t>20</w:t>
      </w:r>
      <w:r w:rsidR="00DB26F3">
        <w:rPr>
          <w:rFonts w:eastAsia="Times New Roman"/>
          <w:b/>
          <w:bCs/>
        </w:rPr>
        <w:t>2</w:t>
      </w:r>
      <w:r w:rsidR="00FF0C55">
        <w:rPr>
          <w:rFonts w:eastAsia="Times New Roman"/>
          <w:b/>
          <w:bCs/>
        </w:rPr>
        <w:t>1</w:t>
      </w:r>
    </w:p>
    <w:p w14:paraId="5E181C8D" w14:textId="77777777" w:rsidR="00D54E49" w:rsidRDefault="00D54E49" w:rsidP="00D54E49">
      <w:pPr>
        <w:ind w:left="4320" w:hanging="4320"/>
        <w:jc w:val="both"/>
        <w:rPr>
          <w:bCs/>
        </w:rPr>
      </w:pPr>
    </w:p>
    <w:p w14:paraId="5E0C2C9B" w14:textId="74764462" w:rsidR="00D54E49" w:rsidRPr="0025785A" w:rsidRDefault="00D54E49" w:rsidP="00D54E49">
      <w:pPr>
        <w:ind w:left="4320" w:hanging="4320"/>
        <w:jc w:val="both"/>
        <w:rPr>
          <w:bCs/>
        </w:rPr>
      </w:pPr>
    </w:p>
    <w:p w14:paraId="782A46F4" w14:textId="77777777" w:rsidR="009F3D9C" w:rsidRPr="0025785A" w:rsidRDefault="009F3D9C" w:rsidP="00D54E49">
      <w:pPr>
        <w:ind w:left="4320" w:hanging="4320"/>
        <w:jc w:val="both"/>
        <w:rPr>
          <w:bCs/>
        </w:rPr>
      </w:pPr>
    </w:p>
    <w:p w14:paraId="370A43B9" w14:textId="22F8934F" w:rsidR="007D6AA5" w:rsidRPr="0025785A" w:rsidRDefault="00D54E49" w:rsidP="007D6AA5">
      <w:pPr>
        <w:ind w:left="4320" w:hanging="4320"/>
        <w:jc w:val="both"/>
        <w:rPr>
          <w:bCs/>
        </w:rPr>
      </w:pPr>
      <w:r w:rsidRPr="0025785A">
        <w:rPr>
          <w:b/>
          <w:bCs/>
          <w:u w:val="single"/>
        </w:rPr>
        <w:t xml:space="preserve">Int. No. </w:t>
      </w:r>
      <w:r w:rsidR="0043172A">
        <w:rPr>
          <w:b/>
          <w:bCs/>
          <w:u w:val="single"/>
        </w:rPr>
        <w:t>51-</w:t>
      </w:r>
      <w:r w:rsidR="005F0883">
        <w:rPr>
          <w:b/>
          <w:bCs/>
          <w:u w:val="single"/>
        </w:rPr>
        <w:t>A</w:t>
      </w:r>
      <w:r w:rsidRPr="0025785A">
        <w:rPr>
          <w:b/>
          <w:bCs/>
          <w:u w:val="single"/>
        </w:rPr>
        <w:t>:</w:t>
      </w:r>
      <w:r w:rsidRPr="0025785A">
        <w:rPr>
          <w:b/>
          <w:bCs/>
        </w:rPr>
        <w:tab/>
      </w:r>
      <w:r w:rsidR="004315A8" w:rsidRPr="004315A8">
        <w:rPr>
          <w:color w:val="000000"/>
          <w:bdr w:val="none" w:sz="0" w:space="0" w:color="auto"/>
        </w:rPr>
        <w:t>By Council Members Perkins, Cornegy and Kallos</w:t>
      </w:r>
    </w:p>
    <w:p w14:paraId="7B80A458" w14:textId="1FD4E733" w:rsidR="00D54E49" w:rsidRPr="0025785A" w:rsidRDefault="00D54E49" w:rsidP="00D54E49">
      <w:pPr>
        <w:ind w:left="4320" w:hanging="4320"/>
        <w:jc w:val="both"/>
        <w:rPr>
          <w:b/>
          <w:bCs/>
        </w:rPr>
      </w:pPr>
    </w:p>
    <w:p w14:paraId="2075E438" w14:textId="2728A9BF" w:rsidR="00D54E49" w:rsidRPr="005F0883" w:rsidRDefault="00D54E49" w:rsidP="005F0883">
      <w:pPr>
        <w:ind w:left="4320" w:hanging="4320"/>
        <w:jc w:val="both"/>
        <w:rPr>
          <w:color w:val="000000"/>
        </w:rPr>
      </w:pPr>
      <w:r w:rsidRPr="0025785A">
        <w:rPr>
          <w:b/>
          <w:bCs/>
          <w:u w:val="single"/>
        </w:rPr>
        <w:t>Title:</w:t>
      </w:r>
      <w:r w:rsidRPr="0025785A">
        <w:rPr>
          <w:b/>
          <w:bCs/>
        </w:rPr>
        <w:tab/>
      </w:r>
      <w:r w:rsidR="00EA73F0" w:rsidRPr="00EA73F0">
        <w:rPr>
          <w:color w:val="000000"/>
          <w:bdr w:val="none" w:sz="0" w:space="0" w:color="auto"/>
        </w:rPr>
        <w:t>A Local Law to amend the administrative code of the city of New York, in relation to the creation of a demonstration program for geothermal exchange systems</w:t>
      </w:r>
    </w:p>
    <w:p w14:paraId="01F8A6C3" w14:textId="77777777" w:rsidR="00614A83" w:rsidRPr="0025785A" w:rsidRDefault="00614A83" w:rsidP="00D54E49">
      <w:pPr>
        <w:ind w:left="4320" w:hanging="4320"/>
        <w:jc w:val="both"/>
        <w:rPr>
          <w:bCs/>
        </w:rPr>
      </w:pPr>
    </w:p>
    <w:p w14:paraId="5223DDA1" w14:textId="16272D0C" w:rsidR="00BD1477" w:rsidRPr="0025785A" w:rsidRDefault="00C0421D" w:rsidP="0025785A">
      <w:pPr>
        <w:ind w:left="4320" w:hanging="4320"/>
        <w:jc w:val="both"/>
        <w:rPr>
          <w:rFonts w:eastAsia="Calibri"/>
        </w:rPr>
      </w:pPr>
      <w:r w:rsidRPr="0025785A">
        <w:rPr>
          <w:b/>
          <w:bCs/>
          <w:u w:val="single"/>
        </w:rPr>
        <w:t>Administrative Code:</w:t>
      </w:r>
      <w:r w:rsidRPr="0025785A">
        <w:rPr>
          <w:b/>
          <w:bCs/>
        </w:rPr>
        <w:tab/>
      </w:r>
      <w:r w:rsidR="00986374">
        <w:rPr>
          <w:bdr w:val="none" w:sz="0" w:space="0" w:color="auto"/>
        </w:rPr>
        <w:t>Adds</w:t>
      </w:r>
      <w:r w:rsidR="00AC6031" w:rsidRPr="00AC6031">
        <w:rPr>
          <w:bdr w:val="none" w:sz="0" w:space="0" w:color="auto"/>
        </w:rPr>
        <w:t xml:space="preserve"> </w:t>
      </w:r>
      <w:r w:rsidR="00EA73F0" w:rsidRPr="00EA73F0">
        <w:rPr>
          <w:bdr w:val="none" w:sz="0" w:space="0" w:color="auto"/>
        </w:rPr>
        <w:t>a new section 3-125</w:t>
      </w:r>
      <w:r w:rsidR="00B57FA9">
        <w:rPr>
          <w:bdr w:val="none" w:sz="0" w:space="0" w:color="auto"/>
        </w:rPr>
        <w:t>.1 to s</w:t>
      </w:r>
      <w:r w:rsidR="00B57FA9" w:rsidRPr="00B57FA9">
        <w:rPr>
          <w:bdr w:val="none" w:sz="0" w:space="0" w:color="auto"/>
        </w:rPr>
        <w:t>ubchapter 2 of chapter 1 of title 3</w:t>
      </w:r>
    </w:p>
    <w:p w14:paraId="5732E0D4" w14:textId="55E81170" w:rsidR="00FC5B69" w:rsidRDefault="00FC5B69" w:rsidP="00FC5B69">
      <w:pPr>
        <w:jc w:val="both"/>
        <w:rPr>
          <w:rFonts w:ascii="Times Roman" w:eastAsia="Calibri" w:hAnsi="Times Roman"/>
          <w:szCs w:val="22"/>
        </w:rPr>
      </w:pPr>
    </w:p>
    <w:p w14:paraId="39A734A2" w14:textId="0701591F" w:rsidR="00380028" w:rsidRDefault="00380028" w:rsidP="00BD1477">
      <w:pPr>
        <w:pStyle w:val="NoSpacing"/>
        <w:rPr>
          <w:rFonts w:ascii="Times New Roman" w:hAnsi="Times New Roman" w:cs="Times New Roman"/>
          <w:sz w:val="24"/>
          <w:szCs w:val="24"/>
        </w:rPr>
      </w:pPr>
    </w:p>
    <w:p w14:paraId="59C4A69E" w14:textId="77777777" w:rsidR="0043172A" w:rsidRDefault="0043172A" w:rsidP="00BD1477">
      <w:pPr>
        <w:pStyle w:val="NoSpacing"/>
        <w:rPr>
          <w:rFonts w:ascii="Times New Roman" w:hAnsi="Times New Roman" w:cs="Times New Roman"/>
          <w:sz w:val="24"/>
          <w:szCs w:val="24"/>
        </w:rPr>
      </w:pPr>
    </w:p>
    <w:p w14:paraId="1332F60C" w14:textId="3537F4D9" w:rsidR="0043172A" w:rsidRPr="0025785A" w:rsidRDefault="0043172A" w:rsidP="0043172A">
      <w:pPr>
        <w:ind w:left="4320" w:hanging="4320"/>
        <w:jc w:val="both"/>
        <w:rPr>
          <w:bCs/>
        </w:rPr>
      </w:pPr>
      <w:r w:rsidRPr="0025785A">
        <w:rPr>
          <w:b/>
          <w:bCs/>
          <w:u w:val="single"/>
        </w:rPr>
        <w:t xml:space="preserve">Int. No. </w:t>
      </w:r>
      <w:r>
        <w:rPr>
          <w:b/>
          <w:bCs/>
          <w:u w:val="single"/>
        </w:rPr>
        <w:t>2425-A</w:t>
      </w:r>
      <w:r w:rsidRPr="0025785A">
        <w:rPr>
          <w:b/>
          <w:bCs/>
          <w:u w:val="single"/>
        </w:rPr>
        <w:t>:</w:t>
      </w:r>
      <w:r w:rsidRPr="0025785A">
        <w:rPr>
          <w:b/>
          <w:bCs/>
        </w:rPr>
        <w:tab/>
      </w:r>
      <w:r w:rsidR="00AA78F5" w:rsidRPr="00AA78F5">
        <w:rPr>
          <w:color w:val="000000"/>
          <w:bdr w:val="none" w:sz="0" w:space="0" w:color="auto"/>
        </w:rPr>
        <w:t xml:space="preserve">By Council Members Salamanca, Vallone, Yeger, Holden, Dinowitz, Rosenthal, Cabrera, Levin, Ampry-Samuel, Koslowitz, Adams, Cumbo, Ayala, D. Diaz, Riley, Louis, Rose, Ulrich, Cornegy, Moya, Chin, Dromm, Eugene, Powers, Koo, Treyger, Grodenchik, Brooks-Powers, Borelli, Barron, </w:t>
      </w:r>
      <w:r w:rsidR="00AA78F5" w:rsidRPr="00AA78F5">
        <w:rPr>
          <w:color w:val="000000"/>
          <w:bdr w:val="none" w:sz="0" w:space="0" w:color="auto"/>
        </w:rPr>
        <w:lastRenderedPageBreak/>
        <w:t xml:space="preserve">Kallos, Reynoso, Van Bramer, Brannan, Lander, Maisel and </w:t>
      </w:r>
      <w:proofErr w:type="spellStart"/>
      <w:r w:rsidR="00AA78F5" w:rsidRPr="00AA78F5">
        <w:rPr>
          <w:color w:val="000000"/>
          <w:bdr w:val="none" w:sz="0" w:space="0" w:color="auto"/>
        </w:rPr>
        <w:t>Feliz</w:t>
      </w:r>
      <w:proofErr w:type="spellEnd"/>
    </w:p>
    <w:p w14:paraId="2515E16F" w14:textId="77777777" w:rsidR="0043172A" w:rsidRPr="0025785A" w:rsidRDefault="0043172A" w:rsidP="0043172A">
      <w:pPr>
        <w:ind w:left="4320" w:hanging="4320"/>
        <w:jc w:val="both"/>
        <w:rPr>
          <w:b/>
          <w:bCs/>
        </w:rPr>
      </w:pPr>
    </w:p>
    <w:p w14:paraId="53762635" w14:textId="6A00F82F" w:rsidR="0043172A" w:rsidRPr="005F0883" w:rsidRDefault="0043172A" w:rsidP="0043172A">
      <w:pPr>
        <w:ind w:left="4320" w:hanging="4320"/>
        <w:jc w:val="both"/>
        <w:rPr>
          <w:color w:val="000000"/>
        </w:rPr>
      </w:pPr>
      <w:r w:rsidRPr="0025785A">
        <w:rPr>
          <w:b/>
          <w:bCs/>
          <w:u w:val="single"/>
        </w:rPr>
        <w:t>Title:</w:t>
      </w:r>
      <w:r w:rsidRPr="0025785A">
        <w:rPr>
          <w:b/>
          <w:bCs/>
        </w:rPr>
        <w:tab/>
      </w:r>
      <w:r w:rsidR="00AA78F5" w:rsidRPr="00AA78F5">
        <w:rPr>
          <w:color w:val="000000"/>
          <w:bdr w:val="none" w:sz="0" w:space="0" w:color="auto"/>
        </w:rPr>
        <w:t>A Local Law to amend the New York city charter, in relation to requiring borough commissioners in the department of environmental protection</w:t>
      </w:r>
    </w:p>
    <w:p w14:paraId="76A492A5" w14:textId="77777777" w:rsidR="0043172A" w:rsidRPr="0025785A" w:rsidRDefault="0043172A" w:rsidP="0043172A">
      <w:pPr>
        <w:ind w:left="4320" w:hanging="4320"/>
        <w:jc w:val="both"/>
        <w:rPr>
          <w:bCs/>
        </w:rPr>
      </w:pPr>
    </w:p>
    <w:p w14:paraId="229ACA84" w14:textId="6010239D" w:rsidR="0043172A" w:rsidRPr="0025785A" w:rsidRDefault="00AA78F5" w:rsidP="0043172A">
      <w:pPr>
        <w:ind w:left="4320" w:hanging="4320"/>
        <w:jc w:val="both"/>
        <w:rPr>
          <w:rFonts w:eastAsia="Calibri"/>
        </w:rPr>
      </w:pPr>
      <w:r>
        <w:rPr>
          <w:b/>
          <w:bCs/>
          <w:u w:val="single"/>
        </w:rPr>
        <w:t>Charter</w:t>
      </w:r>
      <w:r w:rsidR="0043172A" w:rsidRPr="0025785A">
        <w:rPr>
          <w:b/>
          <w:bCs/>
          <w:u w:val="single"/>
        </w:rPr>
        <w:t>:</w:t>
      </w:r>
      <w:r w:rsidR="0043172A" w:rsidRPr="0025785A">
        <w:rPr>
          <w:b/>
          <w:bCs/>
        </w:rPr>
        <w:tab/>
      </w:r>
      <w:r w:rsidR="0074715C">
        <w:rPr>
          <w:bdr w:val="none" w:sz="0" w:space="0" w:color="auto"/>
        </w:rPr>
        <w:t>Adds</w:t>
      </w:r>
      <w:r w:rsidR="0043172A" w:rsidRPr="00AC6031">
        <w:rPr>
          <w:bdr w:val="none" w:sz="0" w:space="0" w:color="auto"/>
        </w:rPr>
        <w:t xml:space="preserve"> </w:t>
      </w:r>
      <w:r>
        <w:rPr>
          <w:bdr w:val="none" w:sz="0" w:space="0" w:color="auto"/>
        </w:rPr>
        <w:t xml:space="preserve">a </w:t>
      </w:r>
      <w:r w:rsidR="0043172A" w:rsidRPr="00AC6031">
        <w:rPr>
          <w:bdr w:val="none" w:sz="0" w:space="0" w:color="auto"/>
        </w:rPr>
        <w:t>new section</w:t>
      </w:r>
      <w:r>
        <w:rPr>
          <w:bdr w:val="none" w:sz="0" w:space="0" w:color="auto"/>
        </w:rPr>
        <w:t xml:space="preserve"> 1405</w:t>
      </w:r>
      <w:r w:rsidR="0074715C">
        <w:rPr>
          <w:bdr w:val="none" w:sz="0" w:space="0" w:color="auto"/>
        </w:rPr>
        <w:t xml:space="preserve"> to chapter 57</w:t>
      </w:r>
    </w:p>
    <w:p w14:paraId="62A6B116" w14:textId="0EE19906" w:rsidR="0043172A" w:rsidRDefault="0043172A" w:rsidP="00BD1477">
      <w:pPr>
        <w:pStyle w:val="NoSpacing"/>
        <w:rPr>
          <w:rFonts w:ascii="Times New Roman" w:hAnsi="Times New Roman" w:cs="Times New Roman"/>
          <w:sz w:val="24"/>
          <w:szCs w:val="24"/>
        </w:rPr>
      </w:pPr>
    </w:p>
    <w:p w14:paraId="7FB84102" w14:textId="467C00BB" w:rsidR="0043172A" w:rsidRDefault="0043172A" w:rsidP="00BD1477">
      <w:pPr>
        <w:pStyle w:val="NoSpacing"/>
        <w:rPr>
          <w:rFonts w:ascii="Times New Roman" w:hAnsi="Times New Roman" w:cs="Times New Roman"/>
          <w:sz w:val="24"/>
          <w:szCs w:val="24"/>
        </w:rPr>
      </w:pPr>
    </w:p>
    <w:p w14:paraId="1E34D2D0" w14:textId="77777777" w:rsidR="00B92678" w:rsidRDefault="00B92678" w:rsidP="00BD1477">
      <w:pPr>
        <w:pStyle w:val="NoSpacing"/>
        <w:rPr>
          <w:rFonts w:ascii="Times New Roman" w:hAnsi="Times New Roman" w:cs="Times New Roman"/>
          <w:sz w:val="24"/>
          <w:szCs w:val="24"/>
        </w:rPr>
      </w:pPr>
    </w:p>
    <w:p w14:paraId="111F7B78" w14:textId="3EB8F6AF" w:rsidR="0043172A" w:rsidRPr="0025785A" w:rsidRDefault="0043172A" w:rsidP="0043172A">
      <w:pPr>
        <w:ind w:left="4320" w:hanging="4320"/>
        <w:jc w:val="both"/>
        <w:rPr>
          <w:bCs/>
        </w:rPr>
      </w:pPr>
      <w:r w:rsidRPr="0025785A">
        <w:rPr>
          <w:b/>
          <w:bCs/>
          <w:u w:val="single"/>
        </w:rPr>
        <w:t xml:space="preserve">Int. No. </w:t>
      </w:r>
      <w:r>
        <w:rPr>
          <w:b/>
          <w:bCs/>
          <w:u w:val="single"/>
        </w:rPr>
        <w:t>2</w:t>
      </w:r>
      <w:r w:rsidR="00B92678">
        <w:rPr>
          <w:b/>
          <w:bCs/>
          <w:u w:val="single"/>
        </w:rPr>
        <w:t>4</w:t>
      </w:r>
      <w:r>
        <w:rPr>
          <w:b/>
          <w:bCs/>
          <w:u w:val="single"/>
        </w:rPr>
        <w:t>60</w:t>
      </w:r>
      <w:r w:rsidR="00B92678">
        <w:rPr>
          <w:b/>
          <w:bCs/>
          <w:u w:val="single"/>
        </w:rPr>
        <w:t>-</w:t>
      </w:r>
      <w:r>
        <w:rPr>
          <w:b/>
          <w:bCs/>
          <w:u w:val="single"/>
        </w:rPr>
        <w:t>A</w:t>
      </w:r>
      <w:r w:rsidRPr="0025785A">
        <w:rPr>
          <w:b/>
          <w:bCs/>
          <w:u w:val="single"/>
        </w:rPr>
        <w:t>:</w:t>
      </w:r>
      <w:r w:rsidRPr="0025785A">
        <w:rPr>
          <w:b/>
          <w:bCs/>
        </w:rPr>
        <w:tab/>
      </w:r>
      <w:r w:rsidRPr="0025785A">
        <w:rPr>
          <w:color w:val="000000"/>
          <w:bdr w:val="none" w:sz="0" w:space="0" w:color="auto"/>
        </w:rPr>
        <w:t xml:space="preserve">By Council Members </w:t>
      </w:r>
      <w:r w:rsidRPr="00AC6031">
        <w:rPr>
          <w:color w:val="000000"/>
          <w:bdr w:val="none" w:sz="0" w:space="0" w:color="auto"/>
        </w:rPr>
        <w:t>Gennaro</w:t>
      </w:r>
      <w:r w:rsidR="0027079B">
        <w:rPr>
          <w:color w:val="000000"/>
          <w:bdr w:val="none" w:sz="0" w:space="0" w:color="auto"/>
        </w:rPr>
        <w:t xml:space="preserve"> and Kallos</w:t>
      </w:r>
    </w:p>
    <w:p w14:paraId="7FD05659" w14:textId="77777777" w:rsidR="0043172A" w:rsidRPr="0025785A" w:rsidRDefault="0043172A" w:rsidP="0043172A">
      <w:pPr>
        <w:ind w:left="4320" w:hanging="4320"/>
        <w:jc w:val="both"/>
        <w:rPr>
          <w:b/>
          <w:bCs/>
        </w:rPr>
      </w:pPr>
    </w:p>
    <w:p w14:paraId="768D9787" w14:textId="1BDF184D" w:rsidR="0043172A" w:rsidRPr="005F0883" w:rsidRDefault="0043172A" w:rsidP="0043172A">
      <w:pPr>
        <w:ind w:left="4320" w:hanging="4320"/>
        <w:jc w:val="both"/>
        <w:rPr>
          <w:color w:val="000000"/>
        </w:rPr>
      </w:pPr>
      <w:r w:rsidRPr="0025785A">
        <w:rPr>
          <w:b/>
          <w:bCs/>
          <w:u w:val="single"/>
        </w:rPr>
        <w:t>Title:</w:t>
      </w:r>
      <w:r w:rsidRPr="0025785A">
        <w:rPr>
          <w:b/>
          <w:bCs/>
        </w:rPr>
        <w:tab/>
      </w:r>
      <w:r w:rsidR="0027079B" w:rsidRPr="0027079B">
        <w:rPr>
          <w:color w:val="000000"/>
          <w:bdr w:val="none" w:sz="0" w:space="0" w:color="auto"/>
        </w:rPr>
        <w:t>A Local Law to amend the administrative code of the city of New York, in relation to enforcement of environmental remediation plans and rules of the office of environmental remediation</w:t>
      </w:r>
    </w:p>
    <w:p w14:paraId="30FB1858" w14:textId="77777777" w:rsidR="0043172A" w:rsidRPr="0025785A" w:rsidRDefault="0043172A" w:rsidP="0043172A">
      <w:pPr>
        <w:ind w:left="4320" w:hanging="4320"/>
        <w:jc w:val="both"/>
        <w:rPr>
          <w:bCs/>
        </w:rPr>
      </w:pPr>
    </w:p>
    <w:p w14:paraId="2BE1BD04" w14:textId="01A3FFE3" w:rsidR="0043172A" w:rsidRPr="0025785A" w:rsidRDefault="0043172A" w:rsidP="0043172A">
      <w:pPr>
        <w:ind w:left="4320" w:hanging="4320"/>
        <w:jc w:val="both"/>
        <w:rPr>
          <w:rFonts w:eastAsia="Calibri"/>
        </w:rPr>
      </w:pPr>
      <w:r w:rsidRPr="0025785A">
        <w:rPr>
          <w:b/>
          <w:bCs/>
          <w:u w:val="single"/>
        </w:rPr>
        <w:t>Administrative Code:</w:t>
      </w:r>
      <w:r w:rsidRPr="0025785A">
        <w:rPr>
          <w:b/>
          <w:bCs/>
        </w:rPr>
        <w:tab/>
      </w:r>
      <w:r w:rsidRPr="0025785A">
        <w:rPr>
          <w:bdr w:val="none" w:sz="0" w:space="0" w:color="auto"/>
        </w:rPr>
        <w:t>Amend</w:t>
      </w:r>
      <w:r w:rsidR="0027079B">
        <w:rPr>
          <w:bdr w:val="none" w:sz="0" w:space="0" w:color="auto"/>
        </w:rPr>
        <w:t xml:space="preserve">s </w:t>
      </w:r>
      <w:r w:rsidRPr="00AC6031">
        <w:rPr>
          <w:bdr w:val="none" w:sz="0" w:space="0" w:color="auto"/>
        </w:rPr>
        <w:t>section</w:t>
      </w:r>
      <w:r w:rsidR="0027079B">
        <w:rPr>
          <w:bdr w:val="none" w:sz="0" w:space="0" w:color="auto"/>
        </w:rPr>
        <w:t xml:space="preserve"> </w:t>
      </w:r>
      <w:r w:rsidR="0027079B" w:rsidRPr="0027079B">
        <w:rPr>
          <w:bdr w:val="none" w:sz="0" w:space="0" w:color="auto"/>
        </w:rPr>
        <w:t>24-907</w:t>
      </w:r>
    </w:p>
    <w:p w14:paraId="11A58814" w14:textId="77777777" w:rsidR="0043172A" w:rsidRDefault="0043172A" w:rsidP="00BD1477">
      <w:pPr>
        <w:pStyle w:val="NoSpacing"/>
        <w:rPr>
          <w:rFonts w:ascii="Times New Roman" w:hAnsi="Times New Roman" w:cs="Times New Roman"/>
          <w:sz w:val="24"/>
          <w:szCs w:val="24"/>
        </w:rPr>
      </w:pPr>
    </w:p>
    <w:p w14:paraId="055BE3AB" w14:textId="3CFC1309" w:rsidR="000A0332" w:rsidRDefault="000A0332" w:rsidP="00BD1477">
      <w:pPr>
        <w:pStyle w:val="NoSpacing"/>
        <w:rPr>
          <w:rFonts w:ascii="Times New Roman" w:hAnsi="Times New Roman" w:cs="Times New Roman"/>
          <w:sz w:val="24"/>
          <w:szCs w:val="24"/>
        </w:rPr>
      </w:pPr>
    </w:p>
    <w:p w14:paraId="2D731E02" w14:textId="77777777" w:rsidR="0043172A" w:rsidRPr="00BD1477" w:rsidRDefault="0043172A" w:rsidP="00BD1477">
      <w:pPr>
        <w:pStyle w:val="NoSpacing"/>
        <w:rPr>
          <w:rFonts w:ascii="Times New Roman" w:hAnsi="Times New Roman" w:cs="Times New Roman"/>
          <w:sz w:val="24"/>
          <w:szCs w:val="24"/>
        </w:rPr>
      </w:pPr>
    </w:p>
    <w:p w14:paraId="7AC75C94" w14:textId="77777777" w:rsidR="005F268B" w:rsidRPr="00B96377" w:rsidRDefault="005F268B" w:rsidP="00E6659C">
      <w:pPr>
        <w:pStyle w:val="BodyText"/>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left="720"/>
        <w:jc w:val="left"/>
        <w:rPr>
          <w:b/>
          <w:bCs/>
          <w:smallCaps/>
        </w:rPr>
      </w:pPr>
      <w:r w:rsidRPr="00B96377">
        <w:rPr>
          <w:b/>
          <w:bCs/>
          <w:smallCaps/>
        </w:rPr>
        <w:t>Introduction</w:t>
      </w:r>
    </w:p>
    <w:p w14:paraId="4D379206" w14:textId="77777777" w:rsidR="005F268B" w:rsidRDefault="005F268B" w:rsidP="00E6659C">
      <w:pPr>
        <w:pStyle w:val="Body"/>
        <w:suppressLineNumbers/>
        <w:spacing w:after="0" w:line="480" w:lineRule="auto"/>
        <w:ind w:firstLine="720"/>
        <w:jc w:val="both"/>
        <w:rPr>
          <w:rFonts w:ascii="Times New Roman" w:hAnsi="Times New Roman"/>
          <w:sz w:val="24"/>
          <w:szCs w:val="24"/>
        </w:rPr>
      </w:pPr>
    </w:p>
    <w:p w14:paraId="36BBF2EF" w14:textId="5EEFC6B9" w:rsidR="0033238F" w:rsidRPr="0033238F" w:rsidRDefault="005E55EC" w:rsidP="0033238F">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color w:val="000000"/>
        </w:rPr>
      </w:pPr>
      <w:r>
        <w:t xml:space="preserve">On </w:t>
      </w:r>
      <w:r w:rsidR="0043172A">
        <w:t>December 8</w:t>
      </w:r>
      <w:r w:rsidR="00FF0C55">
        <w:t>, 2021</w:t>
      </w:r>
      <w:r w:rsidRPr="00212B92">
        <w:t xml:space="preserve">, the Committee on Environmental Protection, chaired by Council Member </w:t>
      </w:r>
      <w:r w:rsidR="000F2C36">
        <w:t>James F. Gennaro</w:t>
      </w:r>
      <w:r w:rsidRPr="00212B92">
        <w:t xml:space="preserve">, </w:t>
      </w:r>
      <w:r w:rsidR="00C64923">
        <w:t xml:space="preserve">held </w:t>
      </w:r>
      <w:r w:rsidR="004D5FEF" w:rsidRPr="00212B92">
        <w:t xml:space="preserve">a hearing on </w:t>
      </w:r>
      <w:r w:rsidR="007A670C" w:rsidRPr="00212B92">
        <w:rPr>
          <w:bCs/>
        </w:rPr>
        <w:t xml:space="preserve">Int. No. </w:t>
      </w:r>
      <w:r w:rsidR="00EA73F0">
        <w:rPr>
          <w:bCs/>
        </w:rPr>
        <w:t>51</w:t>
      </w:r>
      <w:r w:rsidR="005F0883">
        <w:rPr>
          <w:bCs/>
        </w:rPr>
        <w:t>-A</w:t>
      </w:r>
      <w:r w:rsidR="007A670C">
        <w:rPr>
          <w:bCs/>
        </w:rPr>
        <w:t xml:space="preserve">, </w:t>
      </w:r>
      <w:r w:rsidR="00EA73F0" w:rsidRPr="00EA73F0">
        <w:rPr>
          <w:color w:val="000000"/>
          <w:bdr w:val="none" w:sz="0" w:space="0" w:color="auto"/>
        </w:rPr>
        <w:t>in relation to the creation of a demonstration program for geothermal exchange systems</w:t>
      </w:r>
      <w:r w:rsidR="0043172A">
        <w:t xml:space="preserve">; </w:t>
      </w:r>
      <w:r w:rsidR="0043172A" w:rsidRPr="00212B92">
        <w:rPr>
          <w:bCs/>
        </w:rPr>
        <w:t xml:space="preserve">Int. No. </w:t>
      </w:r>
      <w:r w:rsidR="0043172A">
        <w:rPr>
          <w:bCs/>
        </w:rPr>
        <w:t>2</w:t>
      </w:r>
      <w:r w:rsidR="00AA78F5">
        <w:rPr>
          <w:bCs/>
        </w:rPr>
        <w:t>425</w:t>
      </w:r>
      <w:r w:rsidR="0043172A">
        <w:rPr>
          <w:bCs/>
        </w:rPr>
        <w:t xml:space="preserve">-A, </w:t>
      </w:r>
      <w:r w:rsidR="00AA78F5" w:rsidRPr="00AA78F5">
        <w:rPr>
          <w:color w:val="000000"/>
          <w:bdr w:val="none" w:sz="0" w:space="0" w:color="auto"/>
        </w:rPr>
        <w:t>in relation to requiring borough commissioners in the department of environmental protection</w:t>
      </w:r>
      <w:r w:rsidR="0043172A">
        <w:t xml:space="preserve">; and </w:t>
      </w:r>
      <w:r w:rsidR="0043172A" w:rsidRPr="00212B92">
        <w:rPr>
          <w:bCs/>
        </w:rPr>
        <w:t xml:space="preserve">Int. No. </w:t>
      </w:r>
      <w:r w:rsidR="0043172A">
        <w:rPr>
          <w:bCs/>
        </w:rPr>
        <w:t>2</w:t>
      </w:r>
      <w:r w:rsidR="0027079B">
        <w:rPr>
          <w:bCs/>
        </w:rPr>
        <w:t>460</w:t>
      </w:r>
      <w:r w:rsidR="0043172A">
        <w:rPr>
          <w:bCs/>
        </w:rPr>
        <w:t xml:space="preserve">-A, </w:t>
      </w:r>
      <w:r w:rsidR="0027079B" w:rsidRPr="0027079B">
        <w:rPr>
          <w:color w:val="000000"/>
          <w:bdr w:val="none" w:sz="0" w:space="0" w:color="auto"/>
        </w:rPr>
        <w:t>in relation to enforcement of environmental remediation plans and rules of the office of environmental remediation</w:t>
      </w:r>
      <w:r w:rsidR="0027079B">
        <w:rPr>
          <w:color w:val="000000"/>
          <w:bdr w:val="none" w:sz="0" w:space="0" w:color="auto"/>
        </w:rPr>
        <w:t>.</w:t>
      </w:r>
    </w:p>
    <w:p w14:paraId="63639A0E" w14:textId="2A68F4CC" w:rsidR="0033238F" w:rsidRDefault="0033238F" w:rsidP="0033238F">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pPr>
      <w:r w:rsidRPr="002F6EFF">
        <w:t xml:space="preserve">The Committee previously held a hearing on Int. No. </w:t>
      </w:r>
      <w:r>
        <w:t xml:space="preserve">51 </w:t>
      </w:r>
      <w:r w:rsidRPr="002F6EFF">
        <w:t xml:space="preserve">on </w:t>
      </w:r>
      <w:r>
        <w:t>June 24</w:t>
      </w:r>
      <w:r w:rsidRPr="002F6EFF">
        <w:t>, 20</w:t>
      </w:r>
      <w:r>
        <w:t>19</w:t>
      </w:r>
      <w:r w:rsidRPr="002F6EFF">
        <w:t xml:space="preserve"> and received testimony from the </w:t>
      </w:r>
      <w:r>
        <w:t xml:space="preserve">New York City Mayor’s Office of Resiliency and Mayor’s Office of Sustainability, utilities, geothermal experts, environmental advocates, </w:t>
      </w:r>
      <w:r w:rsidRPr="002F6EFF">
        <w:rPr>
          <w:color w:val="000000"/>
          <w:bdr w:val="none" w:sz="0" w:space="0" w:color="auto"/>
        </w:rPr>
        <w:t xml:space="preserve">and </w:t>
      </w:r>
      <w:r w:rsidRPr="002F6EFF">
        <w:t xml:space="preserve">interested members of the public. </w:t>
      </w:r>
      <w:r w:rsidRPr="002F6EFF">
        <w:rPr>
          <w:shd w:val="clear" w:color="auto" w:fill="FFFFFF"/>
        </w:rPr>
        <w:t xml:space="preserve"> </w:t>
      </w:r>
      <w:r w:rsidRPr="002F6EFF">
        <w:t>More information about this legislation is available with the materials for th</w:t>
      </w:r>
      <w:r>
        <w:t>is</w:t>
      </w:r>
      <w:r w:rsidRPr="002F6EFF">
        <w:t xml:space="preserve"> hearing, which can</w:t>
      </w:r>
      <w:r w:rsidRPr="009A5C72">
        <w:t xml:space="preserve"> be accessed online </w:t>
      </w:r>
      <w:r>
        <w:t xml:space="preserve">at </w:t>
      </w:r>
      <w:hyperlink r:id="rId9" w:history="1">
        <w:r w:rsidRPr="00CC177E">
          <w:rPr>
            <w:rStyle w:val="Hyperlink"/>
          </w:rPr>
          <w:t>https://on.nyc.gov/3DxK7Yj</w:t>
        </w:r>
      </w:hyperlink>
      <w:r>
        <w:t xml:space="preserve">. </w:t>
      </w:r>
    </w:p>
    <w:p w14:paraId="4C00F188" w14:textId="59FC14EF" w:rsidR="007A670C" w:rsidRDefault="00D74C0B" w:rsidP="004C7F04">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pPr>
      <w:r w:rsidRPr="002F6EFF">
        <w:t xml:space="preserve">The Committee previously held a hearing on </w:t>
      </w:r>
      <w:r w:rsidR="00FF0C55" w:rsidRPr="002F6EFF">
        <w:t xml:space="preserve">Int. No. </w:t>
      </w:r>
      <w:r w:rsidR="00AC6031">
        <w:t>2</w:t>
      </w:r>
      <w:r w:rsidR="00790CD0">
        <w:t>425</w:t>
      </w:r>
      <w:r w:rsidR="005F0883">
        <w:t xml:space="preserve"> </w:t>
      </w:r>
      <w:r w:rsidRPr="002F6EFF">
        <w:t xml:space="preserve">on </w:t>
      </w:r>
      <w:r w:rsidR="00AC6031">
        <w:t>October</w:t>
      </w:r>
      <w:r w:rsidR="005F0883">
        <w:t xml:space="preserve"> </w:t>
      </w:r>
      <w:r w:rsidR="00AC6031">
        <w:t>20</w:t>
      </w:r>
      <w:r w:rsidR="00D54E49" w:rsidRPr="002F6EFF">
        <w:t>, 20</w:t>
      </w:r>
      <w:r w:rsidR="00AC6031">
        <w:t>21</w:t>
      </w:r>
      <w:r w:rsidRPr="002F6EFF">
        <w:t xml:space="preserve"> and received testimony from the </w:t>
      </w:r>
      <w:r w:rsidR="00E806E9">
        <w:t xml:space="preserve">New York City Department of </w:t>
      </w:r>
      <w:r w:rsidR="00AC6031">
        <w:t>Environmental Protection</w:t>
      </w:r>
      <w:r w:rsidR="00C07F11">
        <w:t xml:space="preserve"> (D</w:t>
      </w:r>
      <w:r w:rsidR="00AC6031">
        <w:t>EP</w:t>
      </w:r>
      <w:r w:rsidR="00C07F11">
        <w:t>)</w:t>
      </w:r>
      <w:r w:rsidR="0097345D">
        <w:t xml:space="preserve">, </w:t>
      </w:r>
      <w:r w:rsidR="00790CD0">
        <w:t>waterways and green infrastructure advocates</w:t>
      </w:r>
      <w:r w:rsidR="00AC6031">
        <w:t>,</w:t>
      </w:r>
      <w:r w:rsidR="005F0883">
        <w:t xml:space="preserve"> </w:t>
      </w:r>
      <w:r w:rsidR="00C97F0F" w:rsidRPr="002F6EFF">
        <w:rPr>
          <w:color w:val="000000"/>
          <w:bdr w:val="none" w:sz="0" w:space="0" w:color="auto"/>
        </w:rPr>
        <w:t xml:space="preserve">and </w:t>
      </w:r>
      <w:r w:rsidRPr="002F6EFF">
        <w:t>interested members of the public.</w:t>
      </w:r>
      <w:r w:rsidR="00212B92" w:rsidRPr="002F6EFF">
        <w:t xml:space="preserve"> </w:t>
      </w:r>
      <w:r w:rsidR="00295860" w:rsidRPr="002F6EFF">
        <w:rPr>
          <w:shd w:val="clear" w:color="auto" w:fill="FFFFFF"/>
        </w:rPr>
        <w:t xml:space="preserve"> </w:t>
      </w:r>
      <w:r w:rsidR="004D5FEF" w:rsidRPr="002F6EFF">
        <w:t>More information about th</w:t>
      </w:r>
      <w:r w:rsidR="00DA28B1" w:rsidRPr="002F6EFF">
        <w:t>i</w:t>
      </w:r>
      <w:r w:rsidR="004D5FEF" w:rsidRPr="002F6EFF">
        <w:t xml:space="preserve">s </w:t>
      </w:r>
      <w:r w:rsidR="00E54512" w:rsidRPr="002F6EFF">
        <w:t xml:space="preserve">legislation </w:t>
      </w:r>
      <w:r w:rsidR="004D5FEF" w:rsidRPr="002F6EFF">
        <w:t xml:space="preserve">is available with the materials for </w:t>
      </w:r>
      <w:r w:rsidR="002F6EFF" w:rsidRPr="002F6EFF">
        <w:t>th</w:t>
      </w:r>
      <w:r w:rsidR="00614A83">
        <w:t>is</w:t>
      </w:r>
      <w:r w:rsidR="004D5FEF" w:rsidRPr="002F6EFF">
        <w:t xml:space="preserve"> hearing, which can</w:t>
      </w:r>
      <w:r w:rsidR="004D5FEF" w:rsidRPr="009A5C72">
        <w:t xml:space="preserve"> be accessed online </w:t>
      </w:r>
      <w:r w:rsidR="00A822F8">
        <w:t>at</w:t>
      </w:r>
      <w:r w:rsidR="00C07F11">
        <w:t xml:space="preserve"> </w:t>
      </w:r>
      <w:hyperlink r:id="rId10" w:history="1">
        <w:r w:rsidR="0033238F" w:rsidRPr="00CC177E">
          <w:rPr>
            <w:rStyle w:val="Hyperlink"/>
          </w:rPr>
          <w:t>https://on.nyc.gov/3lI4Brv</w:t>
        </w:r>
      </w:hyperlink>
      <w:r w:rsidR="0033238F">
        <w:t xml:space="preserve">. </w:t>
      </w:r>
    </w:p>
    <w:p w14:paraId="03FF7DFB" w14:textId="670847B8" w:rsidR="00790CD0" w:rsidRDefault="00790CD0" w:rsidP="00790CD0">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pPr>
      <w:r w:rsidRPr="002F6EFF">
        <w:t xml:space="preserve">The Committee previously held a hearing on Int. No. </w:t>
      </w:r>
      <w:r>
        <w:t xml:space="preserve">2460 </w:t>
      </w:r>
      <w:r w:rsidRPr="002F6EFF">
        <w:t xml:space="preserve">on </w:t>
      </w:r>
      <w:r>
        <w:t>December 1</w:t>
      </w:r>
      <w:r w:rsidRPr="002F6EFF">
        <w:t>, 20</w:t>
      </w:r>
      <w:r>
        <w:t>21</w:t>
      </w:r>
      <w:r w:rsidRPr="002F6EFF">
        <w:t xml:space="preserve"> and received testimony from the </w:t>
      </w:r>
      <w:r w:rsidRPr="006455FE">
        <w:rPr>
          <w:rFonts w:eastAsia="Times New Roman"/>
        </w:rPr>
        <w:t>New York City Mayor’s Office of Environmental Remediation (OER)</w:t>
      </w:r>
      <w:r>
        <w:rPr>
          <w:rFonts w:eastAsia="Times New Roman"/>
        </w:rPr>
        <w:t xml:space="preserve">, real estate representatives, </w:t>
      </w:r>
      <w:r w:rsidRPr="002F6EFF">
        <w:rPr>
          <w:color w:val="000000"/>
          <w:bdr w:val="none" w:sz="0" w:space="0" w:color="auto"/>
        </w:rPr>
        <w:t xml:space="preserve">and </w:t>
      </w:r>
      <w:r w:rsidRPr="002F6EFF">
        <w:t xml:space="preserve">interested members of the public. </w:t>
      </w:r>
      <w:r w:rsidRPr="002F6EFF">
        <w:rPr>
          <w:shd w:val="clear" w:color="auto" w:fill="FFFFFF"/>
        </w:rPr>
        <w:t xml:space="preserve"> </w:t>
      </w:r>
      <w:r w:rsidRPr="002F6EFF">
        <w:t>More information about this legislation is available with the materials for th</w:t>
      </w:r>
      <w:r>
        <w:t>is</w:t>
      </w:r>
      <w:r w:rsidRPr="002F6EFF">
        <w:t xml:space="preserve"> hearing, which can</w:t>
      </w:r>
      <w:r w:rsidRPr="009A5C72">
        <w:t xml:space="preserve"> be accessed online </w:t>
      </w:r>
      <w:r>
        <w:t xml:space="preserve">at </w:t>
      </w:r>
      <w:hyperlink r:id="rId11" w:history="1">
        <w:r w:rsidRPr="00CC177E">
          <w:rPr>
            <w:rStyle w:val="Hyperlink"/>
          </w:rPr>
          <w:t>https://on.nyc.gov/3rJetot</w:t>
        </w:r>
      </w:hyperlink>
      <w:r>
        <w:t xml:space="preserve">. </w:t>
      </w:r>
    </w:p>
    <w:p w14:paraId="7F6C9790" w14:textId="77777777" w:rsidR="00790CD0" w:rsidRDefault="00790CD0" w:rsidP="004C7F04">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pPr>
    </w:p>
    <w:p w14:paraId="120B900E" w14:textId="5B3EDB47" w:rsidR="00483DF4" w:rsidRDefault="00483DF4" w:rsidP="00E6659C">
      <w:pPr>
        <w:pStyle w:val="Body"/>
        <w:suppressLineNumbers/>
        <w:spacing w:after="0" w:line="480" w:lineRule="auto"/>
        <w:ind w:firstLine="720"/>
        <w:jc w:val="both"/>
        <w:rPr>
          <w:rFonts w:ascii="Times New Roman" w:hAnsi="Times New Roman"/>
          <w:sz w:val="24"/>
          <w:szCs w:val="24"/>
        </w:rPr>
      </w:pPr>
    </w:p>
    <w:p w14:paraId="495EED41" w14:textId="2FA79700" w:rsidR="00BD1477" w:rsidRPr="00C07F11" w:rsidRDefault="00BD1477" w:rsidP="00C07F11">
      <w:pPr>
        <w:pStyle w:val="BodyText"/>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left="720"/>
        <w:jc w:val="left"/>
        <w:rPr>
          <w:b/>
          <w:bCs/>
          <w:smallCaps/>
        </w:rPr>
      </w:pPr>
      <w:r>
        <w:rPr>
          <w:b/>
          <w:bCs/>
          <w:smallCaps/>
        </w:rPr>
        <w:t xml:space="preserve">Int. No. </w:t>
      </w:r>
      <w:r w:rsidR="00EA73F0">
        <w:rPr>
          <w:b/>
          <w:bCs/>
          <w:smallCaps/>
        </w:rPr>
        <w:t>51</w:t>
      </w:r>
      <w:r w:rsidR="000F2C36">
        <w:rPr>
          <w:b/>
          <w:bCs/>
          <w:smallCaps/>
        </w:rPr>
        <w:t>-A</w:t>
      </w:r>
    </w:p>
    <w:p w14:paraId="59C0C2E2" w14:textId="77777777" w:rsidR="00BD1477" w:rsidRPr="00F61EC4" w:rsidRDefault="00BD1477" w:rsidP="00BD1477">
      <w:pPr>
        <w:pStyle w:val="BodyText"/>
        <w:tabs>
          <w:tab w:val="left" w:pos="0"/>
        </w:tabs>
        <w:spacing w:line="240" w:lineRule="auto"/>
        <w:ind w:firstLine="0"/>
        <w:rPr>
          <w:bCs/>
          <w:smallCaps/>
        </w:rPr>
      </w:pPr>
    </w:p>
    <w:p w14:paraId="6AD56F57" w14:textId="4B58B523" w:rsidR="00BF0ED9" w:rsidRDefault="00FE74D4" w:rsidP="00EA73F0">
      <w:pPr>
        <w:pStyle w:val="BodyText"/>
        <w:tabs>
          <w:tab w:val="left" w:pos="0"/>
        </w:tabs>
        <w:rPr>
          <w:rFonts w:eastAsia="Times New Roman" w:cs="Times New Roman"/>
        </w:rPr>
      </w:pPr>
      <w:r>
        <w:t xml:space="preserve">Int. No. </w:t>
      </w:r>
      <w:r w:rsidR="00EA73F0">
        <w:t>51</w:t>
      </w:r>
      <w:r w:rsidR="00AC6031">
        <w:t xml:space="preserve">-A </w:t>
      </w:r>
      <w:r w:rsidR="00EA73F0" w:rsidRPr="00EA73F0">
        <w:rPr>
          <w:rFonts w:eastAsia="Times New Roman" w:cs="Times New Roman"/>
        </w:rPr>
        <w:t>would require the director of the Mayor’s Office of Long-Term Planning and Sustainability, in consultation with an agency designated by the mayor, to conduct a study for the installation of geothermal energy systems on government owned sites. Specifically, the bill would require that a study first be conducted by the director to determine what potential sites could be retrofitted with such systems and then select up to 10 government owned buildings that could have geothermal systems installed in order to demonstrate the suitability of such systems. The bill would also require detailed reporting every 2 years on various aspects of the pilot program, including recommendations on whether the program should be expanded.</w:t>
      </w:r>
      <w:r w:rsidR="00EA73F0">
        <w:rPr>
          <w:rFonts w:eastAsia="Times New Roman" w:cs="Times New Roman"/>
        </w:rPr>
        <w:t xml:space="preserve"> </w:t>
      </w:r>
      <w:r w:rsidR="00EA73F0" w:rsidRPr="00EA73F0">
        <w:rPr>
          <w:rFonts w:eastAsia="Times New Roman" w:cs="Times New Roman"/>
        </w:rPr>
        <w:t xml:space="preserve">This local law </w:t>
      </w:r>
      <w:r w:rsidR="00B92678">
        <w:rPr>
          <w:rFonts w:eastAsia="Times New Roman" w:cs="Times New Roman"/>
        </w:rPr>
        <w:t xml:space="preserve">would </w:t>
      </w:r>
      <w:r w:rsidR="00EA73F0" w:rsidRPr="00EA73F0">
        <w:rPr>
          <w:rFonts w:eastAsia="Times New Roman" w:cs="Times New Roman"/>
        </w:rPr>
        <w:t>take effect 180 days after it becomes law.</w:t>
      </w:r>
    </w:p>
    <w:p w14:paraId="55DAD075" w14:textId="77777777" w:rsidR="00B92678" w:rsidRDefault="00B92678" w:rsidP="00EA73F0">
      <w:pPr>
        <w:pStyle w:val="BodyText"/>
        <w:tabs>
          <w:tab w:val="left" w:pos="0"/>
        </w:tabs>
        <w:rPr>
          <w:rFonts w:cs="Times New Roman"/>
        </w:rPr>
      </w:pPr>
    </w:p>
    <w:p w14:paraId="7321F0C3" w14:textId="2529ED43" w:rsidR="0043172A" w:rsidRPr="00C07F11" w:rsidRDefault="0043172A" w:rsidP="0043172A">
      <w:pPr>
        <w:pStyle w:val="BodyText"/>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left="720"/>
        <w:jc w:val="left"/>
        <w:rPr>
          <w:b/>
          <w:bCs/>
          <w:smallCaps/>
        </w:rPr>
      </w:pPr>
      <w:r>
        <w:rPr>
          <w:b/>
          <w:bCs/>
          <w:smallCaps/>
        </w:rPr>
        <w:t>Int. No. 2</w:t>
      </w:r>
      <w:r w:rsidR="00EA73F0">
        <w:rPr>
          <w:b/>
          <w:bCs/>
          <w:smallCaps/>
        </w:rPr>
        <w:t>425-</w:t>
      </w:r>
      <w:r>
        <w:rPr>
          <w:b/>
          <w:bCs/>
          <w:smallCaps/>
        </w:rPr>
        <w:t>A</w:t>
      </w:r>
    </w:p>
    <w:p w14:paraId="781E6944" w14:textId="77777777" w:rsidR="0043172A" w:rsidRPr="00F61EC4" w:rsidRDefault="0043172A" w:rsidP="0043172A">
      <w:pPr>
        <w:pStyle w:val="BodyText"/>
        <w:tabs>
          <w:tab w:val="left" w:pos="0"/>
        </w:tabs>
        <w:spacing w:line="240" w:lineRule="auto"/>
        <w:ind w:firstLine="0"/>
        <w:rPr>
          <w:bCs/>
          <w:smallCaps/>
        </w:rPr>
      </w:pPr>
    </w:p>
    <w:p w14:paraId="41B93C6E" w14:textId="547FEC3F" w:rsidR="0043172A" w:rsidRPr="00AC6031" w:rsidRDefault="0043172A" w:rsidP="0043172A">
      <w:pPr>
        <w:pStyle w:val="BodyText"/>
        <w:tabs>
          <w:tab w:val="left" w:pos="0"/>
        </w:tabs>
      </w:pPr>
      <w:r>
        <w:t>Int. No. 2</w:t>
      </w:r>
      <w:r w:rsidR="00EA73F0">
        <w:t>425</w:t>
      </w:r>
      <w:r>
        <w:t xml:space="preserve">-A </w:t>
      </w:r>
      <w:r w:rsidR="00AA78F5" w:rsidRPr="00AA78F5">
        <w:rPr>
          <w:rFonts w:eastAsia="Times New Roman" w:cs="Times New Roman"/>
        </w:rPr>
        <w:t>would authorize the Commissioner of Environmental Protection to assign a borough commissioner to each borough within the Department of Environmental Protection (DEP) who would be tasked with informing the Commissioner regarding personnel, programs, and facilities within that borough, and to liaise with borough presidents, other DEP borough commissioners, and community boards.</w:t>
      </w:r>
      <w:r w:rsidR="00B92678">
        <w:rPr>
          <w:rFonts w:eastAsia="Times New Roman" w:cs="Times New Roman"/>
        </w:rPr>
        <w:t xml:space="preserve"> </w:t>
      </w:r>
      <w:r w:rsidR="00B92678" w:rsidRPr="00B92678">
        <w:rPr>
          <w:rFonts w:eastAsia="Times New Roman" w:cs="Times New Roman"/>
        </w:rPr>
        <w:t xml:space="preserve">This local law </w:t>
      </w:r>
      <w:r w:rsidR="00B92678">
        <w:rPr>
          <w:rFonts w:eastAsia="Times New Roman" w:cs="Times New Roman"/>
        </w:rPr>
        <w:t xml:space="preserve">would </w:t>
      </w:r>
      <w:r w:rsidR="00B92678" w:rsidRPr="00B92678">
        <w:rPr>
          <w:rFonts w:eastAsia="Times New Roman" w:cs="Times New Roman"/>
        </w:rPr>
        <w:t>take effect 90 days after it becomes law.</w:t>
      </w:r>
    </w:p>
    <w:p w14:paraId="609FF25E" w14:textId="7A5022FF" w:rsidR="0043172A" w:rsidRDefault="0043172A" w:rsidP="007D6AA5">
      <w:pPr>
        <w:pStyle w:val="NoSpacing"/>
        <w:spacing w:line="480" w:lineRule="auto"/>
        <w:jc w:val="both"/>
        <w:rPr>
          <w:rFonts w:ascii="Times New Roman" w:hAnsi="Times New Roman" w:cs="Times New Roman"/>
          <w:sz w:val="24"/>
          <w:szCs w:val="24"/>
        </w:rPr>
      </w:pPr>
    </w:p>
    <w:p w14:paraId="250D0E3C" w14:textId="4A96FC9C" w:rsidR="0043172A" w:rsidRPr="00C07F11" w:rsidRDefault="0043172A" w:rsidP="0043172A">
      <w:pPr>
        <w:pStyle w:val="BodyText"/>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left="720"/>
        <w:jc w:val="left"/>
        <w:rPr>
          <w:b/>
          <w:bCs/>
          <w:smallCaps/>
        </w:rPr>
      </w:pPr>
      <w:r>
        <w:rPr>
          <w:b/>
          <w:bCs/>
          <w:smallCaps/>
        </w:rPr>
        <w:t>Int. No. 2</w:t>
      </w:r>
      <w:r w:rsidR="00B92678">
        <w:rPr>
          <w:b/>
          <w:bCs/>
          <w:smallCaps/>
        </w:rPr>
        <w:t>460</w:t>
      </w:r>
      <w:r>
        <w:rPr>
          <w:b/>
          <w:bCs/>
          <w:smallCaps/>
        </w:rPr>
        <w:t>-A</w:t>
      </w:r>
    </w:p>
    <w:p w14:paraId="00E7CFAB" w14:textId="77777777" w:rsidR="0043172A" w:rsidRPr="00F61EC4" w:rsidRDefault="0043172A" w:rsidP="0043172A">
      <w:pPr>
        <w:pStyle w:val="BodyText"/>
        <w:tabs>
          <w:tab w:val="left" w:pos="0"/>
        </w:tabs>
        <w:spacing w:line="240" w:lineRule="auto"/>
        <w:ind w:firstLine="0"/>
        <w:rPr>
          <w:bCs/>
          <w:smallCaps/>
        </w:rPr>
      </w:pPr>
    </w:p>
    <w:p w14:paraId="58168B9E" w14:textId="1D65D0B4" w:rsidR="0043172A" w:rsidRPr="00AC6031" w:rsidRDefault="0043172A" w:rsidP="0043172A">
      <w:pPr>
        <w:pStyle w:val="BodyText"/>
        <w:tabs>
          <w:tab w:val="left" w:pos="0"/>
        </w:tabs>
      </w:pPr>
      <w:r>
        <w:t>Int. No. 2</w:t>
      </w:r>
      <w:r w:rsidR="00B92678">
        <w:t>460</w:t>
      </w:r>
      <w:r>
        <w:t xml:space="preserve">-A </w:t>
      </w:r>
      <w:r w:rsidR="006455FE" w:rsidRPr="006455FE">
        <w:rPr>
          <w:rFonts w:eastAsia="Times New Roman" w:cs="Times New Roman"/>
        </w:rPr>
        <w:t>would authorize the New York City Mayor’s Office of Environmental Remediation (OER) authority to issue civil penalties against parties who violate an OER Site Management Plan or another OER program requirement. The director of OER would also be able to designate other city agencies to issue relevant administrative summonses and notices of violation to enforce the provisions of this bill.</w:t>
      </w:r>
      <w:r w:rsidR="00790CD0">
        <w:rPr>
          <w:rFonts w:eastAsia="Times New Roman" w:cs="Times New Roman"/>
        </w:rPr>
        <w:t xml:space="preserve"> </w:t>
      </w:r>
      <w:r w:rsidR="00790CD0" w:rsidRPr="00B92678">
        <w:rPr>
          <w:rFonts w:eastAsia="Times New Roman" w:cs="Times New Roman"/>
        </w:rPr>
        <w:t xml:space="preserve">This local law </w:t>
      </w:r>
      <w:r w:rsidR="00790CD0">
        <w:rPr>
          <w:rFonts w:eastAsia="Times New Roman" w:cs="Times New Roman"/>
        </w:rPr>
        <w:t xml:space="preserve">would </w:t>
      </w:r>
      <w:r w:rsidR="00790CD0" w:rsidRPr="00B92678">
        <w:rPr>
          <w:rFonts w:eastAsia="Times New Roman" w:cs="Times New Roman"/>
        </w:rPr>
        <w:t>take effect 90 days after it becomes law.</w:t>
      </w:r>
    </w:p>
    <w:p w14:paraId="6F5B8513" w14:textId="77777777" w:rsidR="0043172A" w:rsidRPr="007D6AA5" w:rsidRDefault="0043172A" w:rsidP="007D6AA5">
      <w:pPr>
        <w:pStyle w:val="NoSpacing"/>
        <w:spacing w:line="480" w:lineRule="auto"/>
        <w:jc w:val="both"/>
        <w:rPr>
          <w:rFonts w:ascii="Times New Roman" w:hAnsi="Times New Roman" w:cs="Times New Roman"/>
          <w:sz w:val="24"/>
          <w:szCs w:val="24"/>
        </w:rPr>
      </w:pPr>
    </w:p>
    <w:p w14:paraId="560DA4F6" w14:textId="77777777" w:rsidR="00235681" w:rsidRDefault="00235681"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72638C39" w14:textId="77777777" w:rsidR="00C64923" w:rsidRDefault="00C64923" w:rsidP="00C6492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kern w:val="1"/>
          <w:bdr w:val="none" w:sz="0" w:space="0" w:color="auto"/>
        </w:rPr>
      </w:pPr>
    </w:p>
    <w:p w14:paraId="700749E9" w14:textId="77777777" w:rsidR="00C64923" w:rsidRDefault="00C64923" w:rsidP="00C64923">
      <w:pPr>
        <w:spacing w:line="480" w:lineRule="auto"/>
        <w:jc w:val="both"/>
        <w:rPr>
          <w:rFonts w:ascii="Times New Roman Bold" w:hAnsi="Times New Roman Bold"/>
          <w:b/>
          <w:smallCaps/>
        </w:rPr>
      </w:pPr>
      <w:r w:rsidRPr="00D46BA8">
        <w:rPr>
          <w:b/>
        </w:rPr>
        <w:t>II</w:t>
      </w:r>
      <w:r>
        <w:rPr>
          <w:b/>
        </w:rPr>
        <w:t>I</w:t>
      </w:r>
      <w:r w:rsidRPr="00D46BA8">
        <w:rPr>
          <w:b/>
        </w:rPr>
        <w:t>.</w:t>
      </w:r>
      <w:r w:rsidRPr="00D46BA8">
        <w:rPr>
          <w:b/>
        </w:rPr>
        <w:tab/>
      </w:r>
      <w:r>
        <w:rPr>
          <w:rFonts w:ascii="Times New Roman Bold" w:hAnsi="Times New Roman Bold"/>
          <w:b/>
          <w:smallCaps/>
        </w:rPr>
        <w:t>Update</w:t>
      </w:r>
    </w:p>
    <w:p w14:paraId="62AB5C5D" w14:textId="3B20C7CC" w:rsidR="00C64923" w:rsidRPr="00F85680" w:rsidRDefault="00C64923" w:rsidP="00C64923">
      <w:pPr>
        <w:spacing w:line="480" w:lineRule="auto"/>
        <w:ind w:firstLine="720"/>
        <w:jc w:val="both"/>
        <w:rPr>
          <w:rFonts w:eastAsia="Times New Roman"/>
          <w:color w:val="000000"/>
        </w:rPr>
      </w:pPr>
      <w:r>
        <w:t xml:space="preserve">On December 8, 2021, </w:t>
      </w:r>
      <w:r w:rsidRPr="00D46BA8">
        <w:t xml:space="preserve">the Committee </w:t>
      </w:r>
      <w:r>
        <w:t>he</w:t>
      </w:r>
      <w:r w:rsidRPr="00D46BA8">
        <w:t xml:space="preserve">ld </w:t>
      </w:r>
      <w:r>
        <w:t>a vote on Int. No. 51-A, Int. No. 2425-A, and Int. No. 2460-A. The Committee passed Int. No. 51-A, Int. No. 2425-A, and Int. No. 2460-A with 4 in the affirmative, 0 in the negative, and 0 abstentions. Thus, the Committee recommends adoption.</w:t>
      </w:r>
    </w:p>
    <w:p w14:paraId="33CBE7D3" w14:textId="6CB42573" w:rsidR="00C64923" w:rsidRPr="00614A83" w:rsidRDefault="00C64923"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sectPr w:rsidR="00C64923" w:rsidRPr="00614A83" w:rsidSect="00235681">
          <w:footerReference w:type="default" r:id="rId12"/>
          <w:footerReference w:type="first" r:id="rId13"/>
          <w:pgSz w:w="12240" w:h="15840"/>
          <w:pgMar w:top="1440" w:right="1440" w:bottom="965" w:left="1440" w:header="1440" w:footer="965" w:gutter="0"/>
          <w:cols w:space="720"/>
          <w:noEndnote/>
          <w:docGrid w:linePitch="326"/>
        </w:sectPr>
      </w:pPr>
    </w:p>
    <w:p w14:paraId="2DF69CEE" w14:textId="0EE91864" w:rsidR="00C07F11" w:rsidRDefault="00C07F11">
      <w:pPr>
        <w:pBdr>
          <w:top w:val="none" w:sz="0" w:space="0" w:color="auto"/>
          <w:left w:val="none" w:sz="0" w:space="0" w:color="auto"/>
          <w:bottom w:val="none" w:sz="0" w:space="0" w:color="auto"/>
          <w:right w:val="none" w:sz="0" w:space="0" w:color="auto"/>
          <w:between w:val="none" w:sz="0" w:space="0" w:color="auto"/>
          <w:bar w:val="none" w:sz="0" w:color="auto"/>
        </w:pBdr>
      </w:pPr>
    </w:p>
    <w:p w14:paraId="572B056E" w14:textId="738EAE62" w:rsidR="00F662FF" w:rsidRPr="00D67377" w:rsidRDefault="00AC6031" w:rsidP="00D67377">
      <w:pPr>
        <w:pBdr>
          <w:top w:val="none" w:sz="0" w:space="0" w:color="auto"/>
          <w:left w:val="none" w:sz="0" w:space="0" w:color="auto"/>
          <w:bottom w:val="none" w:sz="0" w:space="0" w:color="auto"/>
          <w:right w:val="none" w:sz="0" w:space="0" w:color="auto"/>
          <w:between w:val="none" w:sz="0" w:space="0" w:color="auto"/>
          <w:bar w:val="none" w:sz="0" w:color="auto"/>
        </w:pBdr>
        <w:jc w:val="center"/>
      </w:pPr>
      <w:r>
        <w:br w:type="page"/>
      </w:r>
      <w:r w:rsidR="00F662FF">
        <w:rPr>
          <w:color w:val="000000"/>
        </w:rPr>
        <w:t>Int. No. 51-A</w:t>
      </w:r>
    </w:p>
    <w:p w14:paraId="287C2CA5" w14:textId="77777777" w:rsidR="00F662FF" w:rsidRDefault="00F662FF" w:rsidP="00F662FF">
      <w:pPr>
        <w:pStyle w:val="NormalWeb"/>
        <w:suppressLineNumbers/>
        <w:shd w:val="clear" w:color="auto" w:fill="FFFFFF"/>
        <w:spacing w:before="0" w:beforeAutospacing="0" w:after="0" w:afterAutospacing="0"/>
        <w:jc w:val="center"/>
        <w:rPr>
          <w:color w:val="000000"/>
          <w:sz w:val="27"/>
          <w:szCs w:val="27"/>
        </w:rPr>
      </w:pPr>
      <w:r>
        <w:rPr>
          <w:color w:val="000000"/>
        </w:rPr>
        <w:t> </w:t>
      </w:r>
    </w:p>
    <w:p w14:paraId="3EC98E0F" w14:textId="1F59E1AA" w:rsidR="00F662FF" w:rsidRDefault="00F662FF" w:rsidP="00F662FF">
      <w:pPr>
        <w:pStyle w:val="NormalWeb"/>
        <w:suppressLineNumbers/>
        <w:shd w:val="clear" w:color="auto" w:fill="FFFFFF"/>
        <w:spacing w:before="0" w:beforeAutospacing="0" w:after="0" w:afterAutospacing="0"/>
        <w:jc w:val="both"/>
        <w:rPr>
          <w:color w:val="000000"/>
          <w:sz w:val="27"/>
          <w:szCs w:val="27"/>
        </w:rPr>
      </w:pPr>
      <w:r>
        <w:rPr>
          <w:color w:val="000000"/>
        </w:rPr>
        <w:t>By Council Members Perkins, Cornegy and Kallos</w:t>
      </w:r>
    </w:p>
    <w:p w14:paraId="555BA04D" w14:textId="77777777" w:rsidR="00F662FF" w:rsidRDefault="00F662FF" w:rsidP="00F662FF">
      <w:pPr>
        <w:pStyle w:val="NormalWeb"/>
        <w:suppressLineNumbers/>
        <w:shd w:val="clear" w:color="auto" w:fill="FFFFFF"/>
        <w:spacing w:before="0" w:beforeAutospacing="0" w:after="0" w:afterAutospacing="0"/>
        <w:jc w:val="both"/>
        <w:rPr>
          <w:color w:val="000000"/>
          <w:sz w:val="27"/>
          <w:szCs w:val="27"/>
        </w:rPr>
      </w:pPr>
      <w:r>
        <w:rPr>
          <w:color w:val="000000"/>
        </w:rPr>
        <w:t> </w:t>
      </w:r>
    </w:p>
    <w:p w14:paraId="3721956C" w14:textId="77777777" w:rsidR="00F662FF" w:rsidRPr="00AE51C6" w:rsidRDefault="00F662FF" w:rsidP="00F662FF">
      <w:pPr>
        <w:suppressLineNumbers/>
        <w:jc w:val="center"/>
      </w:pPr>
      <w:r w:rsidRPr="00AE51C6">
        <w:t>A LOCAL LAW</w:t>
      </w:r>
    </w:p>
    <w:p w14:paraId="1E6E15D8" w14:textId="77777777" w:rsidR="00F662FF" w:rsidRDefault="00F662FF" w:rsidP="00F662FF">
      <w:pPr>
        <w:pStyle w:val="NormalWeb"/>
        <w:suppressLineNumbers/>
        <w:shd w:val="clear" w:color="auto" w:fill="FFFFFF"/>
        <w:spacing w:before="0" w:beforeAutospacing="0" w:after="0" w:afterAutospacing="0"/>
        <w:jc w:val="both"/>
        <w:rPr>
          <w:color w:val="000000"/>
        </w:rPr>
      </w:pPr>
    </w:p>
    <w:p w14:paraId="0048CF7F" w14:textId="77777777" w:rsidR="00F662FF" w:rsidRDefault="00F662FF" w:rsidP="00F662FF">
      <w:pPr>
        <w:pStyle w:val="NormalWeb"/>
        <w:suppressLineNumbers/>
        <w:shd w:val="clear" w:color="auto" w:fill="FFFFFF"/>
        <w:spacing w:before="0" w:beforeAutospacing="0" w:after="0" w:afterAutospacing="0"/>
        <w:jc w:val="both"/>
        <w:rPr>
          <w:color w:val="000000"/>
          <w:sz w:val="27"/>
          <w:szCs w:val="27"/>
        </w:rPr>
      </w:pPr>
      <w:r>
        <w:t xml:space="preserve">To amend the </w:t>
      </w:r>
      <w:r w:rsidRPr="00B90F7C">
        <w:rPr>
          <w:color w:val="000000"/>
          <w:bdr w:val="none" w:sz="0" w:space="0" w:color="auto" w:frame="1"/>
        </w:rPr>
        <w:t xml:space="preserve">administrative code of the city of New York, in relation to the creation of a </w:t>
      </w:r>
      <w:r>
        <w:rPr>
          <w:color w:val="000000"/>
          <w:bdr w:val="none" w:sz="0" w:space="0" w:color="auto" w:frame="1"/>
        </w:rPr>
        <w:t>demonstration program for geothermal exchange systems</w:t>
      </w:r>
    </w:p>
    <w:p w14:paraId="044CEE51" w14:textId="77777777" w:rsidR="00F662FF" w:rsidRDefault="00F662FF" w:rsidP="00F662FF">
      <w:pPr>
        <w:pStyle w:val="NormalWeb"/>
        <w:suppressLineNumbers/>
        <w:shd w:val="clear" w:color="auto" w:fill="FFFFFF"/>
        <w:spacing w:before="0" w:beforeAutospacing="0" w:after="0" w:afterAutospacing="0"/>
        <w:jc w:val="both"/>
        <w:rPr>
          <w:color w:val="000000"/>
          <w:sz w:val="27"/>
          <w:szCs w:val="27"/>
        </w:rPr>
      </w:pPr>
      <w:r>
        <w:rPr>
          <w:color w:val="000000"/>
        </w:rPr>
        <w:t> </w:t>
      </w:r>
    </w:p>
    <w:p w14:paraId="165F4F3B" w14:textId="77777777" w:rsidR="00F662FF" w:rsidRDefault="00F662FF" w:rsidP="00F662FF">
      <w:pPr>
        <w:pStyle w:val="NormalWeb"/>
        <w:suppressLineNumbers/>
        <w:shd w:val="clear" w:color="auto" w:fill="FFFFFF"/>
        <w:spacing w:before="0" w:beforeAutospacing="0" w:after="0" w:afterAutospacing="0"/>
        <w:jc w:val="both"/>
        <w:rPr>
          <w:color w:val="000000"/>
          <w:sz w:val="27"/>
          <w:szCs w:val="27"/>
        </w:rPr>
      </w:pPr>
      <w:r>
        <w:rPr>
          <w:color w:val="000000"/>
          <w:u w:val="single"/>
        </w:rPr>
        <w:t>Be it enacted by the Council as follows:</w:t>
      </w:r>
    </w:p>
    <w:p w14:paraId="616F35F4" w14:textId="77777777" w:rsidR="00F662FF" w:rsidRPr="00F06CC4" w:rsidRDefault="00F662FF" w:rsidP="00F662FF">
      <w:pPr>
        <w:pStyle w:val="NormalWeb"/>
        <w:suppressLineNumbers/>
        <w:shd w:val="clear" w:color="auto" w:fill="FFFFFF"/>
        <w:spacing w:before="0" w:beforeAutospacing="0" w:after="0" w:afterAutospacing="0"/>
        <w:ind w:firstLine="720"/>
        <w:jc w:val="both"/>
        <w:rPr>
          <w:color w:val="000000"/>
          <w:sz w:val="27"/>
          <w:szCs w:val="27"/>
        </w:rPr>
      </w:pPr>
      <w:r>
        <w:rPr>
          <w:color w:val="000000"/>
        </w:rPr>
        <w:t> </w:t>
      </w:r>
    </w:p>
    <w:p w14:paraId="0275A90C" w14:textId="77777777" w:rsidR="00F662FF" w:rsidRDefault="00F662FF" w:rsidP="00F662FF">
      <w:pPr>
        <w:shd w:val="clear" w:color="auto" w:fill="FFFFFF"/>
        <w:spacing w:line="480" w:lineRule="auto"/>
        <w:ind w:firstLine="720"/>
        <w:jc w:val="both"/>
      </w:pPr>
      <w:r>
        <w:t xml:space="preserve">Section 1. Legislative findings and intent. The Council finds that the use of geothermal exchange systems in New York City would result in reduced air pollution and greenhouse gas emissions, lessen energy demand, and improve the health and well-being of New York City residents. A geothermal exchange system, as described in this local law, exchanges heat between the earth and two or more buildings for the purpose of providing heating, cooling and hot water. In 2019, the New York State Legislature enacted the Climate Leadership and Community Protection Act (CLCPA) Chapter 106 of the laws of 2019, finding that climate change was a matter of significant concern across the State, and setting benchmarks towards a goal of reducing greenhouse gas emissions across New York State from all anthropogenic sources 100% over 1990 levels by the year 2050. In New York City, Local Law 97 for the year 2019 provides that there shall be, at minimum, a 40 percent reduction in citywide emissions by 2030, and an 80 percent reduction in citywide emissions by 2050. </w:t>
      </w:r>
    </w:p>
    <w:p w14:paraId="76E2F398" w14:textId="77777777" w:rsidR="00F662FF" w:rsidRDefault="00F662FF" w:rsidP="00F662FF">
      <w:pPr>
        <w:shd w:val="clear" w:color="auto" w:fill="FFFFFF"/>
        <w:spacing w:line="480" w:lineRule="auto"/>
        <w:ind w:firstLine="720"/>
        <w:jc w:val="both"/>
      </w:pPr>
      <w:r>
        <w:t>The Council finds that the use of geothermal exchange systems in New York City would further the goals of the CLCPA and Local Law 97. The use of geothermal exchange systems would help combat global warming by reducing greenhouse gas emissions. To the extent that reliance on energy from greenhouse gases is lessened, the use of geothermal exchange systems can contribute to fewer air emissions and air quality related respiratory diseases. Geothermal exchange systems will similarly help mitigate against the effects of climate change that have already begun to affect the City, as evidenced by the increased frequency of life- and property-threatening weather events. Therefore, the Council finds that it is in the best interests of the health and well-being of New York City residents to authorize the creation of a demonstration program for geothermal exchange systems.</w:t>
      </w:r>
    </w:p>
    <w:p w14:paraId="7BA7FDF0" w14:textId="77777777" w:rsidR="00F662FF" w:rsidRPr="00B90F7C" w:rsidRDefault="00F662FF" w:rsidP="00F662FF">
      <w:pPr>
        <w:shd w:val="clear" w:color="auto" w:fill="FFFFFF"/>
        <w:spacing w:line="480" w:lineRule="auto"/>
        <w:ind w:firstLine="720"/>
        <w:jc w:val="both"/>
        <w:rPr>
          <w:rFonts w:ascii="Times" w:hAnsi="Times"/>
          <w:color w:val="000000"/>
          <w:sz w:val="27"/>
          <w:szCs w:val="27"/>
        </w:rPr>
      </w:pPr>
      <w:r w:rsidRPr="00570B21">
        <w:rPr>
          <w:color w:val="000000"/>
          <w:bdr w:val="none" w:sz="0" w:space="0" w:color="auto" w:frame="1"/>
        </w:rPr>
        <w:t>§ 2</w:t>
      </w:r>
      <w:r w:rsidRPr="00686D88">
        <w:rPr>
          <w:color w:val="000000"/>
          <w:bdr w:val="none" w:sz="0" w:space="0" w:color="auto" w:frame="1"/>
        </w:rPr>
        <w:t>.</w:t>
      </w:r>
      <w:r w:rsidRPr="000F106E">
        <w:t xml:space="preserve"> </w:t>
      </w:r>
      <w:r w:rsidRPr="00B90F7C">
        <w:rPr>
          <w:color w:val="000000"/>
          <w:bdr w:val="none" w:sz="0" w:space="0" w:color="auto" w:frame="1"/>
        </w:rPr>
        <w:t>Subchapter 2 of chapter 1 of title 3 of the administrative code of the city of New York is amended by adding a new section 3-</w:t>
      </w:r>
      <w:r>
        <w:rPr>
          <w:color w:val="000000"/>
          <w:bdr w:val="none" w:sz="0" w:space="0" w:color="auto" w:frame="1"/>
        </w:rPr>
        <w:t xml:space="preserve">125.1 </w:t>
      </w:r>
      <w:r w:rsidRPr="00B90F7C">
        <w:rPr>
          <w:color w:val="000000"/>
          <w:bdr w:val="none" w:sz="0" w:space="0" w:color="auto" w:frame="1"/>
        </w:rPr>
        <w:t>to read as follows:</w:t>
      </w:r>
    </w:p>
    <w:p w14:paraId="76C5CA5C" w14:textId="77777777" w:rsidR="00F662FF" w:rsidRPr="00B90F7C" w:rsidRDefault="00F662FF" w:rsidP="00F662FF">
      <w:pPr>
        <w:shd w:val="clear" w:color="auto" w:fill="FFFFFF"/>
        <w:spacing w:line="480" w:lineRule="auto"/>
        <w:ind w:firstLine="720"/>
        <w:jc w:val="both"/>
        <w:rPr>
          <w:rFonts w:ascii="Times" w:hAnsi="Times"/>
          <w:color w:val="000000"/>
          <w:sz w:val="27"/>
          <w:szCs w:val="27"/>
        </w:rPr>
      </w:pPr>
      <w:r w:rsidRPr="00B90F7C">
        <w:rPr>
          <w:color w:val="000000"/>
          <w:u w:val="single"/>
          <w:bdr w:val="none" w:sz="0" w:space="0" w:color="auto" w:frame="1"/>
        </w:rPr>
        <w:t>§ 3-</w:t>
      </w:r>
      <w:r>
        <w:rPr>
          <w:color w:val="000000"/>
          <w:u w:val="single"/>
          <w:bdr w:val="none" w:sz="0" w:space="0" w:color="auto" w:frame="1"/>
        </w:rPr>
        <w:t>125.1</w:t>
      </w:r>
      <w:r w:rsidRPr="00B90F7C">
        <w:rPr>
          <w:color w:val="000000"/>
          <w:u w:val="single"/>
          <w:bdr w:val="none" w:sz="0" w:space="0" w:color="auto" w:frame="1"/>
        </w:rPr>
        <w:t xml:space="preserve"> </w:t>
      </w:r>
      <w:r>
        <w:rPr>
          <w:color w:val="000000"/>
          <w:u w:val="single"/>
          <w:bdr w:val="none" w:sz="0" w:space="0" w:color="auto" w:frame="1"/>
        </w:rPr>
        <w:t xml:space="preserve">Geothermal exchange system demonstration program. </w:t>
      </w:r>
      <w:r w:rsidRPr="00B90F7C">
        <w:rPr>
          <w:color w:val="000000"/>
          <w:u w:val="single"/>
          <w:bdr w:val="none" w:sz="0" w:space="0" w:color="auto" w:frame="1"/>
        </w:rPr>
        <w:t>a. Definitions. For purposes of this section, the following terms have the following meanings:</w:t>
      </w:r>
    </w:p>
    <w:p w14:paraId="1CF11419" w14:textId="77777777" w:rsidR="00F662FF" w:rsidRDefault="00F662FF" w:rsidP="00F662FF">
      <w:pPr>
        <w:shd w:val="clear" w:color="auto" w:fill="FFFFFF"/>
        <w:spacing w:line="480" w:lineRule="auto"/>
        <w:ind w:firstLine="720"/>
        <w:jc w:val="both"/>
        <w:rPr>
          <w:color w:val="000000"/>
          <w:u w:val="single"/>
          <w:bdr w:val="none" w:sz="0" w:space="0" w:color="auto" w:frame="1"/>
        </w:rPr>
      </w:pPr>
      <w:r>
        <w:rPr>
          <w:color w:val="000000"/>
          <w:u w:val="single"/>
          <w:bdr w:val="none" w:sz="0" w:space="0" w:color="auto" w:frame="1"/>
        </w:rPr>
        <w:t>Administering agency. The term “administering agency” means the office or agency designated by the mayor, pursuant to subdivision c of this section, to implement and administer the provisions of this section.</w:t>
      </w:r>
    </w:p>
    <w:p w14:paraId="679CD37A" w14:textId="77777777" w:rsidR="00F662FF" w:rsidRDefault="00F662FF" w:rsidP="00F662FF">
      <w:pPr>
        <w:shd w:val="clear" w:color="auto" w:fill="FFFFFF"/>
        <w:spacing w:line="480" w:lineRule="auto"/>
        <w:ind w:firstLine="720"/>
        <w:jc w:val="both"/>
        <w:rPr>
          <w:color w:val="000000"/>
          <w:u w:val="single"/>
          <w:bdr w:val="none" w:sz="0" w:space="0" w:color="auto" w:frame="1"/>
        </w:rPr>
      </w:pPr>
      <w:r w:rsidRPr="00B90F7C">
        <w:rPr>
          <w:color w:val="000000"/>
          <w:u w:val="single"/>
          <w:bdr w:val="none" w:sz="0" w:space="0" w:color="auto" w:frame="1"/>
        </w:rPr>
        <w:t xml:space="preserve">Building. The term “building” </w:t>
      </w:r>
      <w:r>
        <w:rPr>
          <w:color w:val="000000"/>
          <w:u w:val="single"/>
          <w:bdr w:val="none" w:sz="0" w:space="0" w:color="auto" w:frame="1"/>
        </w:rPr>
        <w:t>has the same meaning as provided</w:t>
      </w:r>
      <w:r w:rsidRPr="00B90F7C">
        <w:rPr>
          <w:color w:val="000000"/>
          <w:u w:val="single"/>
          <w:bdr w:val="none" w:sz="0" w:space="0" w:color="auto" w:frame="1"/>
        </w:rPr>
        <w:t xml:space="preserve"> in section 28-101.5.</w:t>
      </w:r>
    </w:p>
    <w:p w14:paraId="0669EBB5" w14:textId="77777777" w:rsidR="00F662FF" w:rsidRDefault="00F662FF" w:rsidP="00F662FF">
      <w:pPr>
        <w:shd w:val="clear" w:color="auto" w:fill="FFFFFF"/>
        <w:spacing w:line="480" w:lineRule="auto"/>
        <w:ind w:firstLine="720"/>
        <w:jc w:val="both"/>
        <w:rPr>
          <w:color w:val="000000"/>
          <w:u w:val="single"/>
          <w:bdr w:val="none" w:sz="0" w:space="0" w:color="auto" w:frame="1"/>
        </w:rPr>
      </w:pPr>
      <w:r>
        <w:rPr>
          <w:color w:val="000000"/>
          <w:u w:val="single"/>
          <w:bdr w:val="none" w:sz="0" w:space="0" w:color="auto" w:frame="1"/>
        </w:rPr>
        <w:t>Director. The term “director” means the director of the mayor’s office of long-term planning and sustainability.</w:t>
      </w:r>
    </w:p>
    <w:p w14:paraId="28841FF3" w14:textId="77777777" w:rsidR="00F662FF" w:rsidRDefault="00F662FF" w:rsidP="00F662FF">
      <w:pPr>
        <w:shd w:val="clear" w:color="auto" w:fill="FFFFFF"/>
        <w:spacing w:line="480" w:lineRule="auto"/>
        <w:ind w:firstLine="720"/>
        <w:jc w:val="both"/>
        <w:rPr>
          <w:color w:val="000000"/>
          <w:u w:val="single"/>
          <w:bdr w:val="none" w:sz="0" w:space="0" w:color="auto" w:frame="1"/>
        </w:rPr>
      </w:pPr>
      <w:r w:rsidRPr="00E84890">
        <w:rPr>
          <w:color w:val="000000"/>
          <w:u w:val="single"/>
          <w:bdr w:val="none" w:sz="0" w:space="0" w:color="auto" w:frame="1"/>
        </w:rPr>
        <w:t xml:space="preserve">Environmental justice. The term “environmental justice” </w:t>
      </w:r>
      <w:r>
        <w:rPr>
          <w:color w:val="000000"/>
          <w:u w:val="single"/>
          <w:bdr w:val="none" w:sz="0" w:space="0" w:color="auto" w:frame="1"/>
        </w:rPr>
        <w:t>has the same meaning as provided in section 3-1001</w:t>
      </w:r>
      <w:r w:rsidRPr="00E84890">
        <w:rPr>
          <w:color w:val="000000"/>
          <w:u w:val="single"/>
          <w:bdr w:val="none" w:sz="0" w:space="0" w:color="auto" w:frame="1"/>
        </w:rPr>
        <w:t>.</w:t>
      </w:r>
    </w:p>
    <w:p w14:paraId="6FCA72A9" w14:textId="77777777" w:rsidR="00F662FF" w:rsidRPr="00F12955" w:rsidRDefault="00F662FF" w:rsidP="00F662FF">
      <w:pPr>
        <w:shd w:val="clear" w:color="auto" w:fill="FFFFFF"/>
        <w:spacing w:line="480" w:lineRule="auto"/>
        <w:ind w:firstLine="720"/>
        <w:jc w:val="both"/>
        <w:rPr>
          <w:rFonts w:ascii="Times" w:hAnsi="Times"/>
          <w:color w:val="000000"/>
          <w:sz w:val="27"/>
          <w:szCs w:val="27"/>
          <w:u w:val="single"/>
        </w:rPr>
      </w:pPr>
      <w:r>
        <w:rPr>
          <w:color w:val="000000"/>
          <w:u w:val="single"/>
          <w:bdr w:val="none" w:sz="0" w:space="0" w:color="auto" w:frame="1"/>
        </w:rPr>
        <w:t>Geothermal exchange service. The term “geothermal exchange service” means the provision of thermal energy from, or rejection of thermal energy to, a geothermal exchange system.</w:t>
      </w:r>
    </w:p>
    <w:p w14:paraId="449D9EE0" w14:textId="77777777" w:rsidR="00F662FF" w:rsidRDefault="00F662FF" w:rsidP="00F662FF">
      <w:pPr>
        <w:shd w:val="clear" w:color="auto" w:fill="FFFFFF"/>
        <w:spacing w:line="480" w:lineRule="auto"/>
        <w:ind w:firstLine="720"/>
        <w:jc w:val="both"/>
        <w:rPr>
          <w:color w:val="000000"/>
          <w:u w:val="single"/>
          <w:bdr w:val="none" w:sz="0" w:space="0" w:color="auto" w:frame="1"/>
        </w:rPr>
      </w:pPr>
      <w:r>
        <w:rPr>
          <w:color w:val="000000"/>
          <w:u w:val="single"/>
          <w:bdr w:val="none" w:sz="0" w:space="0" w:color="auto" w:frame="1"/>
        </w:rPr>
        <w:t>G</w:t>
      </w:r>
      <w:r w:rsidRPr="000F106E">
        <w:rPr>
          <w:color w:val="000000"/>
          <w:u w:val="single"/>
          <w:bdr w:val="none" w:sz="0" w:space="0" w:color="auto" w:frame="1"/>
        </w:rPr>
        <w:t xml:space="preserve">eothermal </w:t>
      </w:r>
      <w:r>
        <w:rPr>
          <w:color w:val="000000"/>
          <w:u w:val="single"/>
          <w:bdr w:val="none" w:sz="0" w:space="0" w:color="auto" w:frame="1"/>
        </w:rPr>
        <w:t xml:space="preserve">exchange </w:t>
      </w:r>
      <w:r w:rsidRPr="00B90F7C">
        <w:rPr>
          <w:color w:val="000000"/>
          <w:u w:val="single"/>
          <w:bdr w:val="none" w:sz="0" w:space="0" w:color="auto" w:frame="1"/>
        </w:rPr>
        <w:t>system. The term “</w:t>
      </w:r>
      <w:r w:rsidRPr="000F106E">
        <w:rPr>
          <w:color w:val="000000"/>
          <w:u w:val="single"/>
          <w:bdr w:val="none" w:sz="0" w:space="0" w:color="auto" w:frame="1"/>
        </w:rPr>
        <w:t xml:space="preserve">geothermal </w:t>
      </w:r>
      <w:r>
        <w:rPr>
          <w:color w:val="000000"/>
          <w:u w:val="single"/>
          <w:bdr w:val="none" w:sz="0" w:space="0" w:color="auto" w:frame="1"/>
        </w:rPr>
        <w:t xml:space="preserve">exchange </w:t>
      </w:r>
      <w:r w:rsidRPr="00B90F7C">
        <w:rPr>
          <w:color w:val="000000"/>
          <w:u w:val="single"/>
          <w:bdr w:val="none" w:sz="0" w:space="0" w:color="auto" w:frame="1"/>
        </w:rPr>
        <w:t>system” means</w:t>
      </w:r>
      <w:r>
        <w:rPr>
          <w:color w:val="000000"/>
          <w:u w:val="single"/>
          <w:bdr w:val="none" w:sz="0" w:space="0" w:color="auto" w:frame="1"/>
        </w:rPr>
        <w:t xml:space="preserve"> </w:t>
      </w:r>
      <w:r w:rsidRPr="00B90F7C">
        <w:rPr>
          <w:color w:val="000000"/>
          <w:u w:val="single"/>
          <w:bdr w:val="none" w:sz="0" w:space="0" w:color="auto" w:frame="1"/>
        </w:rPr>
        <w:t xml:space="preserve">a system </w:t>
      </w:r>
      <w:r>
        <w:rPr>
          <w:color w:val="000000"/>
          <w:u w:val="single"/>
          <w:bdr w:val="none" w:sz="0" w:space="0" w:color="auto" w:frame="1"/>
        </w:rPr>
        <w:t xml:space="preserve">owned by the city that is </w:t>
      </w:r>
      <w:r w:rsidRPr="00B90F7C">
        <w:rPr>
          <w:color w:val="000000"/>
          <w:u w:val="single"/>
          <w:bdr w:val="none" w:sz="0" w:space="0" w:color="auto" w:frame="1"/>
        </w:rPr>
        <w:t>used to exchange </w:t>
      </w:r>
      <w:r>
        <w:rPr>
          <w:color w:val="000000"/>
          <w:u w:val="single"/>
          <w:bdr w:val="none" w:sz="0" w:space="0" w:color="auto" w:frame="1"/>
        </w:rPr>
        <w:t>heat</w:t>
      </w:r>
      <w:r w:rsidRPr="00B90F7C">
        <w:rPr>
          <w:color w:val="000000"/>
          <w:u w:val="single"/>
          <w:bdr w:val="none" w:sz="0" w:space="0" w:color="auto" w:frame="1"/>
        </w:rPr>
        <w:t xml:space="preserve"> between the earth and </w:t>
      </w:r>
      <w:r>
        <w:rPr>
          <w:color w:val="000000"/>
          <w:u w:val="single"/>
          <w:bdr w:val="none" w:sz="0" w:space="0" w:color="auto" w:frame="1"/>
        </w:rPr>
        <w:t xml:space="preserve">two or more </w:t>
      </w:r>
      <w:r w:rsidRPr="00B90F7C">
        <w:rPr>
          <w:color w:val="000000"/>
          <w:u w:val="single"/>
          <w:bdr w:val="none" w:sz="0" w:space="0" w:color="auto" w:frame="1"/>
        </w:rPr>
        <w:t>buildings</w:t>
      </w:r>
      <w:r>
        <w:rPr>
          <w:color w:val="000000"/>
          <w:u w:val="single"/>
          <w:bdr w:val="none" w:sz="0" w:space="0" w:color="auto" w:frame="1"/>
        </w:rPr>
        <w:t xml:space="preserve"> for the purpose of providing heating, cooling or hot water to two or more buildings. The term “geothermal exchange system” may also include a waste heat system.</w:t>
      </w:r>
    </w:p>
    <w:p w14:paraId="6DE4DD5A" w14:textId="77777777" w:rsidR="00F662FF" w:rsidRDefault="00F662FF" w:rsidP="00F662FF">
      <w:pPr>
        <w:shd w:val="clear" w:color="auto" w:fill="FFFFFF"/>
        <w:spacing w:line="480" w:lineRule="auto"/>
        <w:ind w:firstLine="720"/>
        <w:jc w:val="both"/>
        <w:rPr>
          <w:color w:val="000000"/>
          <w:u w:val="single"/>
          <w:bdr w:val="none" w:sz="0" w:space="0" w:color="auto" w:frame="1"/>
        </w:rPr>
      </w:pPr>
      <w:r>
        <w:rPr>
          <w:color w:val="000000"/>
          <w:u w:val="single"/>
          <w:bdr w:val="none" w:sz="0" w:space="0" w:color="auto" w:frame="1"/>
        </w:rPr>
        <w:t xml:space="preserve">Government building. The term “government building” means a building at which the benefits of a geothermal exchange system created pursuant to this section would accrue to the city of New York; or to the state of New York, a public authority, a public benefit corporation, or the federal government, provided that such entity has entered into an agreement or contract for the provision of geothermal energy service at such </w:t>
      </w:r>
      <w:r w:rsidRPr="00686D88">
        <w:rPr>
          <w:color w:val="000000"/>
          <w:u w:val="single"/>
          <w:bdr w:val="none" w:sz="0" w:space="0" w:color="auto" w:frame="1"/>
        </w:rPr>
        <w:t xml:space="preserve">building pursuant to </w:t>
      </w:r>
      <w:r w:rsidRPr="00EA094A">
        <w:rPr>
          <w:color w:val="000000"/>
          <w:u w:val="single"/>
          <w:bdr w:val="none" w:sz="0" w:space="0" w:color="auto" w:frame="1"/>
        </w:rPr>
        <w:t>section 20-e of the general city law, section 99-r of the general municipal law</w:t>
      </w:r>
      <w:r w:rsidRPr="00686D88">
        <w:rPr>
          <w:color w:val="000000"/>
          <w:u w:val="single"/>
          <w:bdr w:val="none" w:sz="0" w:space="0" w:color="auto" w:frame="1"/>
        </w:rPr>
        <w:t xml:space="preserve"> or any</w:t>
      </w:r>
      <w:r>
        <w:rPr>
          <w:color w:val="000000"/>
          <w:u w:val="single"/>
          <w:bdr w:val="none" w:sz="0" w:space="0" w:color="auto" w:frame="1"/>
        </w:rPr>
        <w:t xml:space="preserve"> other applicable law, through which such agreement or contract is </w:t>
      </w:r>
      <w:r w:rsidRPr="00636B4D">
        <w:rPr>
          <w:color w:val="000000"/>
          <w:u w:val="single"/>
          <w:bdr w:val="none" w:sz="0" w:space="0" w:color="auto" w:frame="1"/>
        </w:rPr>
        <w:t>hereby authorized</w:t>
      </w:r>
      <w:r w:rsidRPr="00686D88">
        <w:rPr>
          <w:color w:val="000000"/>
          <w:u w:val="single"/>
          <w:bdr w:val="none" w:sz="0" w:space="0" w:color="auto" w:frame="1"/>
        </w:rPr>
        <w:t>.</w:t>
      </w:r>
    </w:p>
    <w:p w14:paraId="000CA7B5" w14:textId="77777777" w:rsidR="00F662FF" w:rsidRDefault="00F662FF" w:rsidP="00F662FF">
      <w:pPr>
        <w:shd w:val="clear" w:color="auto" w:fill="FFFFFF"/>
        <w:spacing w:line="480" w:lineRule="auto"/>
        <w:ind w:firstLine="720"/>
        <w:jc w:val="both"/>
        <w:rPr>
          <w:color w:val="000000"/>
          <w:u w:val="single"/>
          <w:bdr w:val="none" w:sz="0" w:space="0" w:color="auto" w:frame="1"/>
        </w:rPr>
      </w:pPr>
      <w:r>
        <w:rPr>
          <w:color w:val="000000"/>
          <w:u w:val="single"/>
          <w:bdr w:val="none" w:sz="0" w:space="0" w:color="auto" w:frame="1"/>
        </w:rPr>
        <w:t xml:space="preserve">Government site. The term “government site” means a site owned or controlled by the city of New York, the state of New York, </w:t>
      </w:r>
      <w:r w:rsidRPr="00686D88">
        <w:rPr>
          <w:color w:val="000000"/>
          <w:u w:val="single"/>
          <w:bdr w:val="none" w:sz="0" w:space="0" w:color="auto" w:frame="1"/>
        </w:rPr>
        <w:t>the federal government</w:t>
      </w:r>
      <w:r>
        <w:rPr>
          <w:color w:val="000000"/>
          <w:u w:val="single"/>
          <w:bdr w:val="none" w:sz="0" w:space="0" w:color="auto" w:frame="1"/>
        </w:rPr>
        <w:t>, a public authority or a public benefit corporation.</w:t>
      </w:r>
    </w:p>
    <w:p w14:paraId="008A6E59" w14:textId="77777777" w:rsidR="00F662FF" w:rsidRPr="00B90F7C" w:rsidRDefault="00F662FF" w:rsidP="00F662FF">
      <w:pPr>
        <w:shd w:val="clear" w:color="auto" w:fill="FFFFFF"/>
        <w:spacing w:line="480" w:lineRule="auto"/>
        <w:ind w:firstLine="720"/>
        <w:jc w:val="both"/>
        <w:rPr>
          <w:rFonts w:ascii="Times" w:hAnsi="Times"/>
          <w:color w:val="000000"/>
          <w:sz w:val="27"/>
          <w:szCs w:val="27"/>
        </w:rPr>
      </w:pPr>
      <w:r>
        <w:rPr>
          <w:color w:val="000000"/>
          <w:u w:val="single"/>
          <w:bdr w:val="none" w:sz="0" w:space="0" w:color="auto" w:frame="1"/>
        </w:rPr>
        <w:t>Waste heat system. The term “waste heat system” means a system owned by the city that captures or rejects, and reuses, heat produced from sources including, but not limited to commercial or industrial processes, including transportation systems, data centers and wastewater treatment systems.</w:t>
      </w:r>
    </w:p>
    <w:p w14:paraId="59B80A86" w14:textId="77777777" w:rsidR="00F662FF" w:rsidRDefault="00F662FF" w:rsidP="00F662FF">
      <w:pPr>
        <w:shd w:val="clear" w:color="auto" w:fill="FFFFFF"/>
        <w:spacing w:line="480" w:lineRule="auto"/>
        <w:ind w:firstLine="720"/>
        <w:jc w:val="both"/>
        <w:rPr>
          <w:color w:val="000000"/>
          <w:u w:val="single"/>
          <w:bdr w:val="none" w:sz="0" w:space="0" w:color="auto" w:frame="1"/>
        </w:rPr>
      </w:pPr>
      <w:r w:rsidRPr="00520839">
        <w:rPr>
          <w:bCs/>
          <w:color w:val="000000"/>
          <w:u w:val="single"/>
          <w:bdr w:val="none" w:sz="0" w:space="0" w:color="auto" w:frame="1"/>
        </w:rPr>
        <w:t>b</w:t>
      </w:r>
      <w:r w:rsidRPr="00B90F7C">
        <w:rPr>
          <w:color w:val="000000"/>
          <w:u w:val="single"/>
          <w:bdr w:val="none" w:sz="0" w:space="0" w:color="auto" w:frame="1"/>
        </w:rPr>
        <w:t xml:space="preserve">. </w:t>
      </w:r>
      <w:r>
        <w:rPr>
          <w:color w:val="000000"/>
          <w:u w:val="single"/>
          <w:bdr w:val="none" w:sz="0" w:space="0" w:color="auto" w:frame="1"/>
        </w:rPr>
        <w:t xml:space="preserve">Identification and selection of sites for geothermal exchange systems. </w:t>
      </w:r>
    </w:p>
    <w:p w14:paraId="04789509" w14:textId="77777777" w:rsidR="00F662FF" w:rsidRPr="00B90F7C" w:rsidRDefault="00F662FF" w:rsidP="00F662FF">
      <w:pPr>
        <w:shd w:val="clear" w:color="auto" w:fill="FFFFFF"/>
        <w:spacing w:line="480" w:lineRule="auto"/>
        <w:ind w:firstLine="720"/>
        <w:jc w:val="both"/>
        <w:rPr>
          <w:rFonts w:ascii="Times" w:hAnsi="Times"/>
          <w:color w:val="000000"/>
          <w:sz w:val="27"/>
          <w:szCs w:val="27"/>
        </w:rPr>
      </w:pPr>
      <w:r w:rsidRPr="00B90F7C">
        <w:rPr>
          <w:color w:val="000000"/>
          <w:u w:val="single"/>
          <w:bdr w:val="none" w:sz="0" w:space="0" w:color="auto" w:frame="1"/>
        </w:rPr>
        <w:t xml:space="preserve">1. </w:t>
      </w:r>
      <w:r w:rsidRPr="00C8416D">
        <w:rPr>
          <w:color w:val="000000"/>
          <w:u w:val="single"/>
          <w:bdr w:val="none" w:sz="0" w:space="0" w:color="auto" w:frame="1"/>
        </w:rPr>
        <w:t xml:space="preserve">The director </w:t>
      </w:r>
      <w:r>
        <w:rPr>
          <w:color w:val="000000"/>
          <w:u w:val="single"/>
          <w:bdr w:val="none" w:sz="0" w:space="0" w:color="auto" w:frame="1"/>
        </w:rPr>
        <w:t xml:space="preserve">shall undertake a study of government sites for the potential development of geothermal exchange systems to serve government buildings. Such study shall include identification and evaluation of </w:t>
      </w:r>
      <w:r w:rsidRPr="00B90F7C">
        <w:rPr>
          <w:color w:val="000000"/>
          <w:u w:val="single"/>
          <w:bdr w:val="none" w:sz="0" w:space="0" w:color="auto" w:frame="1"/>
        </w:rPr>
        <w:t xml:space="preserve">potential </w:t>
      </w:r>
      <w:r>
        <w:rPr>
          <w:color w:val="000000"/>
          <w:u w:val="single"/>
          <w:bdr w:val="none" w:sz="0" w:space="0" w:color="auto" w:frame="1"/>
        </w:rPr>
        <w:t xml:space="preserve">government </w:t>
      </w:r>
      <w:r w:rsidRPr="00B90F7C">
        <w:rPr>
          <w:color w:val="000000"/>
          <w:u w:val="single"/>
          <w:bdr w:val="none" w:sz="0" w:space="0" w:color="auto" w:frame="1"/>
        </w:rPr>
        <w:t>site</w:t>
      </w:r>
      <w:r>
        <w:rPr>
          <w:color w:val="000000"/>
          <w:u w:val="single"/>
          <w:bdr w:val="none" w:sz="0" w:space="0" w:color="auto" w:frame="1"/>
        </w:rPr>
        <w:t xml:space="preserve">s </w:t>
      </w:r>
      <w:r w:rsidRPr="00B90F7C">
        <w:rPr>
          <w:color w:val="000000"/>
          <w:u w:val="single"/>
          <w:bdr w:val="none" w:sz="0" w:space="0" w:color="auto" w:frame="1"/>
        </w:rPr>
        <w:t xml:space="preserve">for </w:t>
      </w:r>
      <w:r>
        <w:rPr>
          <w:color w:val="000000"/>
          <w:u w:val="single"/>
          <w:bdr w:val="none" w:sz="0" w:space="0" w:color="auto" w:frame="1"/>
        </w:rPr>
        <w:t>development of a geothermal exchange system as part of a demonstration program. In evaluating each such potential site, the director shall consider, without limitation</w:t>
      </w:r>
      <w:r w:rsidRPr="00B90F7C">
        <w:rPr>
          <w:color w:val="000000"/>
          <w:u w:val="single"/>
          <w:bdr w:val="none" w:sz="0" w:space="0" w:color="auto" w:frame="1"/>
        </w:rPr>
        <w:t>:</w:t>
      </w:r>
    </w:p>
    <w:p w14:paraId="20FA3A7C" w14:textId="77777777" w:rsidR="00F662FF" w:rsidRDefault="00F662FF" w:rsidP="00F662FF">
      <w:pPr>
        <w:shd w:val="clear" w:color="auto" w:fill="FFFFFF"/>
        <w:spacing w:line="480" w:lineRule="auto"/>
        <w:ind w:firstLine="720"/>
        <w:jc w:val="both"/>
        <w:rPr>
          <w:color w:val="000000"/>
          <w:u w:val="single"/>
          <w:bdr w:val="none" w:sz="0" w:space="0" w:color="auto" w:frame="1"/>
        </w:rPr>
      </w:pPr>
      <w:r>
        <w:rPr>
          <w:color w:val="000000"/>
          <w:u w:val="single"/>
          <w:bdr w:val="none" w:sz="0" w:space="0" w:color="auto" w:frame="1"/>
        </w:rPr>
        <w:t xml:space="preserve">(a) The heating and cooling systems of government </w:t>
      </w:r>
      <w:r w:rsidRPr="00531797">
        <w:rPr>
          <w:color w:val="000000"/>
          <w:u w:val="single"/>
          <w:bdr w:val="none" w:sz="0" w:space="0" w:color="auto" w:frame="1"/>
        </w:rPr>
        <w:t xml:space="preserve">buildings </w:t>
      </w:r>
      <w:r>
        <w:rPr>
          <w:color w:val="000000"/>
          <w:u w:val="single"/>
          <w:bdr w:val="none" w:sz="0" w:space="0" w:color="auto" w:frame="1"/>
        </w:rPr>
        <w:t xml:space="preserve">at and </w:t>
      </w:r>
      <w:r w:rsidRPr="00531797">
        <w:rPr>
          <w:color w:val="000000"/>
          <w:u w:val="single"/>
          <w:bdr w:val="none" w:sz="0" w:space="0" w:color="auto" w:frame="1"/>
        </w:rPr>
        <w:t xml:space="preserve">near to the </w:t>
      </w:r>
      <w:r>
        <w:rPr>
          <w:color w:val="000000"/>
          <w:u w:val="single"/>
          <w:bdr w:val="none" w:sz="0" w:space="0" w:color="auto" w:frame="1"/>
        </w:rPr>
        <w:t>potential</w:t>
      </w:r>
      <w:r w:rsidRPr="00531797">
        <w:rPr>
          <w:color w:val="000000"/>
          <w:u w:val="single"/>
          <w:bdr w:val="none" w:sz="0" w:space="0" w:color="auto" w:frame="1"/>
        </w:rPr>
        <w:t xml:space="preserve"> site</w:t>
      </w:r>
      <w:r>
        <w:rPr>
          <w:color w:val="000000"/>
          <w:u w:val="single"/>
          <w:bdr w:val="none" w:sz="0" w:space="0" w:color="auto" w:frame="1"/>
        </w:rPr>
        <w:t>;</w:t>
      </w:r>
    </w:p>
    <w:p w14:paraId="3AA27413" w14:textId="77777777" w:rsidR="00F662FF" w:rsidRPr="00B90F7C" w:rsidRDefault="00F662FF" w:rsidP="00F662FF">
      <w:pPr>
        <w:shd w:val="clear" w:color="auto" w:fill="FFFFFF"/>
        <w:spacing w:line="480" w:lineRule="auto"/>
        <w:ind w:firstLine="720"/>
        <w:jc w:val="both"/>
        <w:rPr>
          <w:rFonts w:ascii="Times" w:hAnsi="Times"/>
          <w:color w:val="000000"/>
          <w:sz w:val="27"/>
          <w:szCs w:val="27"/>
        </w:rPr>
      </w:pPr>
      <w:r>
        <w:rPr>
          <w:color w:val="000000"/>
          <w:u w:val="single"/>
          <w:bdr w:val="none" w:sz="0" w:space="0" w:color="auto" w:frame="1"/>
        </w:rPr>
        <w:t>(b) The</w:t>
      </w:r>
      <w:r w:rsidRPr="00B90F7C">
        <w:rPr>
          <w:color w:val="000000"/>
          <w:u w:val="single"/>
          <w:bdr w:val="none" w:sz="0" w:space="0" w:color="auto" w:frame="1"/>
        </w:rPr>
        <w:t xml:space="preserve"> site’s geologic and hydrologic profile;</w:t>
      </w:r>
    </w:p>
    <w:p w14:paraId="054BCC41" w14:textId="77777777" w:rsidR="00F662FF" w:rsidRPr="00B90F7C" w:rsidRDefault="00F662FF" w:rsidP="00F662FF">
      <w:pPr>
        <w:shd w:val="clear" w:color="auto" w:fill="FFFFFF"/>
        <w:spacing w:line="480" w:lineRule="auto"/>
        <w:ind w:firstLine="720"/>
        <w:jc w:val="both"/>
        <w:rPr>
          <w:rFonts w:ascii="Times" w:hAnsi="Times"/>
          <w:color w:val="000000"/>
          <w:sz w:val="27"/>
          <w:szCs w:val="27"/>
        </w:rPr>
      </w:pPr>
      <w:r>
        <w:rPr>
          <w:color w:val="000000"/>
          <w:u w:val="single"/>
          <w:bdr w:val="none" w:sz="0" w:space="0" w:color="auto" w:frame="1"/>
        </w:rPr>
        <w:t>(c) T</w:t>
      </w:r>
      <w:r w:rsidRPr="00B90F7C">
        <w:rPr>
          <w:color w:val="000000"/>
          <w:u w:val="single"/>
          <w:bdr w:val="none" w:sz="0" w:space="0" w:color="auto" w:frame="1"/>
        </w:rPr>
        <w:t xml:space="preserve">he availability, suitability and accessibility of land </w:t>
      </w:r>
      <w:r>
        <w:rPr>
          <w:color w:val="000000"/>
          <w:u w:val="single"/>
          <w:bdr w:val="none" w:sz="0" w:space="0" w:color="auto" w:frame="1"/>
        </w:rPr>
        <w:t xml:space="preserve">at or </w:t>
      </w:r>
      <w:r w:rsidRPr="00B90F7C">
        <w:rPr>
          <w:color w:val="000000"/>
          <w:u w:val="single"/>
          <w:bdr w:val="none" w:sz="0" w:space="0" w:color="auto" w:frame="1"/>
        </w:rPr>
        <w:t xml:space="preserve">within a suitable distance of </w:t>
      </w:r>
      <w:r>
        <w:rPr>
          <w:color w:val="000000"/>
          <w:u w:val="single"/>
          <w:bdr w:val="none" w:sz="0" w:space="0" w:color="auto" w:frame="1"/>
        </w:rPr>
        <w:t>the</w:t>
      </w:r>
      <w:r w:rsidRPr="00B90F7C">
        <w:rPr>
          <w:color w:val="000000"/>
          <w:u w:val="single"/>
          <w:bdr w:val="none" w:sz="0" w:space="0" w:color="auto" w:frame="1"/>
        </w:rPr>
        <w:t xml:space="preserve"> </w:t>
      </w:r>
      <w:r>
        <w:rPr>
          <w:color w:val="000000"/>
          <w:u w:val="single"/>
          <w:bdr w:val="none" w:sz="0" w:space="0" w:color="auto" w:frame="1"/>
        </w:rPr>
        <w:t xml:space="preserve">potential </w:t>
      </w:r>
      <w:r w:rsidRPr="00B90F7C">
        <w:rPr>
          <w:color w:val="000000"/>
          <w:u w:val="single"/>
          <w:bdr w:val="none" w:sz="0" w:space="0" w:color="auto" w:frame="1"/>
        </w:rPr>
        <w:t>site</w:t>
      </w:r>
      <w:r>
        <w:rPr>
          <w:color w:val="000000"/>
          <w:u w:val="single"/>
          <w:bdr w:val="none" w:sz="0" w:space="0" w:color="auto" w:frame="1"/>
        </w:rPr>
        <w:t xml:space="preserve"> for construction of any wells necessary to exchange geothermal energy</w:t>
      </w:r>
      <w:r w:rsidRPr="00B90F7C">
        <w:rPr>
          <w:color w:val="000000"/>
          <w:u w:val="single"/>
          <w:bdr w:val="none" w:sz="0" w:space="0" w:color="auto" w:frame="1"/>
        </w:rPr>
        <w:t>;</w:t>
      </w:r>
    </w:p>
    <w:p w14:paraId="47E79ACD" w14:textId="77777777" w:rsidR="00F662FF" w:rsidRPr="00B90F7C" w:rsidRDefault="00F662FF" w:rsidP="00F662FF">
      <w:pPr>
        <w:shd w:val="clear" w:color="auto" w:fill="FFFFFF"/>
        <w:spacing w:line="480" w:lineRule="auto"/>
        <w:ind w:firstLine="720"/>
        <w:jc w:val="both"/>
        <w:rPr>
          <w:rFonts w:ascii="Times" w:hAnsi="Times"/>
          <w:color w:val="000000"/>
          <w:sz w:val="27"/>
          <w:szCs w:val="27"/>
        </w:rPr>
      </w:pPr>
      <w:r>
        <w:rPr>
          <w:color w:val="000000"/>
          <w:u w:val="single"/>
          <w:bdr w:val="none" w:sz="0" w:space="0" w:color="auto" w:frame="1"/>
        </w:rPr>
        <w:t>(d) W</w:t>
      </w:r>
      <w:r w:rsidRPr="00B90F7C">
        <w:rPr>
          <w:color w:val="000000"/>
          <w:u w:val="single"/>
          <w:bdr w:val="none" w:sz="0" w:space="0" w:color="auto" w:frame="1"/>
        </w:rPr>
        <w:t xml:space="preserve">hether </w:t>
      </w:r>
      <w:r>
        <w:rPr>
          <w:color w:val="000000"/>
          <w:u w:val="single"/>
          <w:bdr w:val="none" w:sz="0" w:space="0" w:color="auto" w:frame="1"/>
        </w:rPr>
        <w:t xml:space="preserve">the </w:t>
      </w:r>
      <w:r w:rsidRPr="00B90F7C">
        <w:rPr>
          <w:color w:val="000000"/>
          <w:u w:val="single"/>
          <w:bdr w:val="none" w:sz="0" w:space="0" w:color="auto" w:frame="1"/>
        </w:rPr>
        <w:t xml:space="preserve">city </w:t>
      </w:r>
      <w:r>
        <w:rPr>
          <w:color w:val="000000"/>
          <w:u w:val="single"/>
          <w:bdr w:val="none" w:sz="0" w:space="0" w:color="auto" w:frame="1"/>
        </w:rPr>
        <w:t>has the right to develop a geothermal exchange system at the potential site,</w:t>
      </w:r>
      <w:r w:rsidRPr="00B90F7C">
        <w:rPr>
          <w:color w:val="000000"/>
          <w:u w:val="single"/>
          <w:bdr w:val="none" w:sz="0" w:space="0" w:color="auto" w:frame="1"/>
        </w:rPr>
        <w:t xml:space="preserve"> and if not, the cost of obtaining </w:t>
      </w:r>
      <w:r>
        <w:rPr>
          <w:color w:val="000000"/>
          <w:u w:val="single"/>
          <w:bdr w:val="none" w:sz="0" w:space="0" w:color="auto" w:frame="1"/>
        </w:rPr>
        <w:t xml:space="preserve">such </w:t>
      </w:r>
      <w:r w:rsidRPr="00B90F7C">
        <w:rPr>
          <w:color w:val="000000"/>
          <w:u w:val="single"/>
          <w:bdr w:val="none" w:sz="0" w:space="0" w:color="auto" w:frame="1"/>
        </w:rPr>
        <w:t>right;</w:t>
      </w:r>
    </w:p>
    <w:p w14:paraId="1B2A855D" w14:textId="77777777" w:rsidR="00F662FF" w:rsidRPr="00B90F7C" w:rsidRDefault="00F662FF" w:rsidP="00F662FF">
      <w:pPr>
        <w:shd w:val="clear" w:color="auto" w:fill="FFFFFF"/>
        <w:spacing w:line="480" w:lineRule="auto"/>
        <w:ind w:firstLine="720"/>
        <w:jc w:val="both"/>
        <w:rPr>
          <w:rFonts w:ascii="Times" w:hAnsi="Times"/>
          <w:color w:val="000000"/>
          <w:sz w:val="27"/>
          <w:szCs w:val="27"/>
        </w:rPr>
      </w:pPr>
      <w:r>
        <w:rPr>
          <w:color w:val="000000"/>
          <w:u w:val="single"/>
          <w:bdr w:val="none" w:sz="0" w:space="0" w:color="auto" w:frame="1"/>
        </w:rPr>
        <w:t>(e) T</w:t>
      </w:r>
      <w:r w:rsidRPr="00B90F7C">
        <w:rPr>
          <w:color w:val="000000"/>
          <w:u w:val="single"/>
          <w:bdr w:val="none" w:sz="0" w:space="0" w:color="auto" w:frame="1"/>
        </w:rPr>
        <w:t xml:space="preserve">he </w:t>
      </w:r>
      <w:r>
        <w:rPr>
          <w:color w:val="000000"/>
          <w:u w:val="single"/>
          <w:bdr w:val="none" w:sz="0" w:space="0" w:color="auto" w:frame="1"/>
        </w:rPr>
        <w:t>feasibility</w:t>
      </w:r>
      <w:r w:rsidRPr="00B90F7C">
        <w:rPr>
          <w:color w:val="000000"/>
          <w:u w:val="single"/>
          <w:bdr w:val="none" w:sz="0" w:space="0" w:color="auto" w:frame="1"/>
        </w:rPr>
        <w:t xml:space="preserve"> </w:t>
      </w:r>
      <w:r>
        <w:rPr>
          <w:color w:val="000000"/>
          <w:u w:val="single"/>
          <w:bdr w:val="none" w:sz="0" w:space="0" w:color="auto" w:frame="1"/>
        </w:rPr>
        <w:t xml:space="preserve">of government buildings at or near to the potential site participating in the demonstration program and receiving geothermal exchange service from </w:t>
      </w:r>
      <w:r w:rsidRPr="00B90F7C">
        <w:rPr>
          <w:color w:val="000000"/>
          <w:u w:val="single"/>
          <w:bdr w:val="none" w:sz="0" w:space="0" w:color="auto" w:frame="1"/>
        </w:rPr>
        <w:t>a</w:t>
      </w:r>
      <w:r>
        <w:rPr>
          <w:color w:val="000000"/>
          <w:u w:val="single"/>
          <w:bdr w:val="none" w:sz="0" w:space="0" w:color="auto" w:frame="1"/>
        </w:rPr>
        <w:t xml:space="preserve"> </w:t>
      </w:r>
      <w:r w:rsidRPr="000F106E">
        <w:rPr>
          <w:color w:val="000000"/>
          <w:u w:val="single"/>
          <w:bdr w:val="none" w:sz="0" w:space="0" w:color="auto" w:frame="1"/>
        </w:rPr>
        <w:t xml:space="preserve">geothermal </w:t>
      </w:r>
      <w:r>
        <w:rPr>
          <w:color w:val="000000"/>
          <w:u w:val="single"/>
          <w:bdr w:val="none" w:sz="0" w:space="0" w:color="auto" w:frame="1"/>
        </w:rPr>
        <w:t xml:space="preserve">exchange </w:t>
      </w:r>
      <w:r w:rsidRPr="00B90F7C">
        <w:rPr>
          <w:color w:val="000000"/>
          <w:u w:val="single"/>
          <w:bdr w:val="none" w:sz="0" w:space="0" w:color="auto" w:frame="1"/>
        </w:rPr>
        <w:t>system</w:t>
      </w:r>
      <w:r>
        <w:rPr>
          <w:color w:val="000000"/>
          <w:u w:val="single"/>
          <w:bdr w:val="none" w:sz="0" w:space="0" w:color="auto" w:frame="1"/>
        </w:rPr>
        <w:t xml:space="preserve"> created pursuant to this section</w:t>
      </w:r>
      <w:r w:rsidRPr="00B90F7C">
        <w:rPr>
          <w:color w:val="000000"/>
          <w:u w:val="single"/>
          <w:bdr w:val="none" w:sz="0" w:space="0" w:color="auto" w:frame="1"/>
        </w:rPr>
        <w:t>;</w:t>
      </w:r>
    </w:p>
    <w:p w14:paraId="494B00EC" w14:textId="77777777" w:rsidR="00F662FF" w:rsidRPr="00B90F7C" w:rsidRDefault="00F662FF" w:rsidP="00F662FF">
      <w:pPr>
        <w:shd w:val="clear" w:color="auto" w:fill="FFFFFF"/>
        <w:spacing w:line="480" w:lineRule="auto"/>
        <w:ind w:firstLine="720"/>
        <w:jc w:val="both"/>
        <w:rPr>
          <w:rFonts w:ascii="Times" w:hAnsi="Times"/>
          <w:color w:val="000000"/>
          <w:sz w:val="27"/>
          <w:szCs w:val="27"/>
        </w:rPr>
      </w:pPr>
      <w:r>
        <w:rPr>
          <w:color w:val="000000"/>
          <w:u w:val="single"/>
          <w:bdr w:val="none" w:sz="0" w:space="0" w:color="auto" w:frame="1"/>
        </w:rPr>
        <w:t>(f) The heating and cooling energy load profiles, over the course of a year, of the government buildings at or near the potential site</w:t>
      </w:r>
      <w:r w:rsidRPr="00B90F7C">
        <w:rPr>
          <w:color w:val="000000"/>
          <w:u w:val="single"/>
          <w:bdr w:val="none" w:sz="0" w:space="0" w:color="auto" w:frame="1"/>
        </w:rPr>
        <w:t>;</w:t>
      </w:r>
    </w:p>
    <w:p w14:paraId="5D6F4A27" w14:textId="77777777" w:rsidR="00F662FF" w:rsidRPr="00B90F7C" w:rsidRDefault="00F662FF" w:rsidP="00F662FF">
      <w:pPr>
        <w:shd w:val="clear" w:color="auto" w:fill="FFFFFF"/>
        <w:spacing w:line="480" w:lineRule="auto"/>
        <w:ind w:firstLine="720"/>
        <w:jc w:val="both"/>
        <w:rPr>
          <w:rFonts w:ascii="Times" w:hAnsi="Times"/>
          <w:color w:val="000000"/>
          <w:sz w:val="27"/>
          <w:szCs w:val="27"/>
        </w:rPr>
      </w:pPr>
      <w:r>
        <w:rPr>
          <w:color w:val="000000"/>
          <w:u w:val="single"/>
          <w:bdr w:val="none" w:sz="0" w:space="0" w:color="auto" w:frame="1"/>
        </w:rPr>
        <w:t>(g) T</w:t>
      </w:r>
      <w:r w:rsidRPr="00B90F7C">
        <w:rPr>
          <w:color w:val="000000"/>
          <w:u w:val="single"/>
          <w:bdr w:val="none" w:sz="0" w:space="0" w:color="auto" w:frame="1"/>
        </w:rPr>
        <w:t xml:space="preserve">he </w:t>
      </w:r>
      <w:r>
        <w:rPr>
          <w:color w:val="000000"/>
          <w:u w:val="single"/>
          <w:bdr w:val="none" w:sz="0" w:space="0" w:color="auto" w:frame="1"/>
        </w:rPr>
        <w:t xml:space="preserve">size of the potential site and the potential capacity of a </w:t>
      </w:r>
      <w:r w:rsidRPr="000F106E">
        <w:rPr>
          <w:color w:val="000000"/>
          <w:u w:val="single"/>
          <w:bdr w:val="none" w:sz="0" w:space="0" w:color="auto" w:frame="1"/>
        </w:rPr>
        <w:t xml:space="preserve">geothermal </w:t>
      </w:r>
      <w:r>
        <w:rPr>
          <w:color w:val="000000"/>
          <w:u w:val="single"/>
          <w:bdr w:val="none" w:sz="0" w:space="0" w:color="auto" w:frame="1"/>
        </w:rPr>
        <w:t xml:space="preserve">exchange </w:t>
      </w:r>
      <w:r w:rsidRPr="00B90F7C">
        <w:rPr>
          <w:color w:val="000000"/>
          <w:u w:val="single"/>
          <w:bdr w:val="none" w:sz="0" w:space="0" w:color="auto" w:frame="1"/>
        </w:rPr>
        <w:t xml:space="preserve">system </w:t>
      </w:r>
      <w:r>
        <w:rPr>
          <w:color w:val="000000"/>
          <w:u w:val="single"/>
          <w:bdr w:val="none" w:sz="0" w:space="0" w:color="auto" w:frame="1"/>
        </w:rPr>
        <w:t>created pursuant to this section at such site, as rela</w:t>
      </w:r>
      <w:r w:rsidRPr="00B90F7C">
        <w:rPr>
          <w:color w:val="000000"/>
          <w:u w:val="single"/>
          <w:bdr w:val="none" w:sz="0" w:space="0" w:color="auto" w:frame="1"/>
        </w:rPr>
        <w:t>t</w:t>
      </w:r>
      <w:r>
        <w:rPr>
          <w:color w:val="000000"/>
          <w:u w:val="single"/>
          <w:bdr w:val="none" w:sz="0" w:space="0" w:color="auto" w:frame="1"/>
        </w:rPr>
        <w:t xml:space="preserve">ed to </w:t>
      </w:r>
      <w:r w:rsidRPr="00B90F7C">
        <w:rPr>
          <w:color w:val="000000"/>
          <w:u w:val="single"/>
          <w:bdr w:val="none" w:sz="0" w:space="0" w:color="auto" w:frame="1"/>
        </w:rPr>
        <w:t xml:space="preserve">the </w:t>
      </w:r>
      <w:r>
        <w:rPr>
          <w:color w:val="000000"/>
          <w:u w:val="single"/>
          <w:bdr w:val="none" w:sz="0" w:space="0" w:color="auto" w:frame="1"/>
        </w:rPr>
        <w:t xml:space="preserve">estimated </w:t>
      </w:r>
      <w:r w:rsidRPr="00B90F7C">
        <w:rPr>
          <w:color w:val="000000"/>
          <w:u w:val="single"/>
          <w:bdr w:val="none" w:sz="0" w:space="0" w:color="auto" w:frame="1"/>
        </w:rPr>
        <w:t xml:space="preserve">demand </w:t>
      </w:r>
      <w:r>
        <w:rPr>
          <w:color w:val="000000"/>
          <w:u w:val="single"/>
          <w:bdr w:val="none" w:sz="0" w:space="0" w:color="auto" w:frame="1"/>
        </w:rPr>
        <w:t>for geothermal exchange service</w:t>
      </w:r>
      <w:r w:rsidRPr="00B90F7C">
        <w:rPr>
          <w:color w:val="000000"/>
          <w:u w:val="single"/>
          <w:bdr w:val="none" w:sz="0" w:space="0" w:color="auto" w:frame="1"/>
        </w:rPr>
        <w:t xml:space="preserve"> </w:t>
      </w:r>
      <w:r>
        <w:rPr>
          <w:color w:val="000000"/>
          <w:u w:val="single"/>
          <w:bdr w:val="none" w:sz="0" w:space="0" w:color="auto" w:frame="1"/>
        </w:rPr>
        <w:t>from the government buildings potentially receiving such service from such system</w:t>
      </w:r>
      <w:r w:rsidRPr="00B90F7C">
        <w:rPr>
          <w:color w:val="000000"/>
          <w:u w:val="single"/>
          <w:bdr w:val="none" w:sz="0" w:space="0" w:color="auto" w:frame="1"/>
        </w:rPr>
        <w:t>;</w:t>
      </w:r>
    </w:p>
    <w:p w14:paraId="117CB401" w14:textId="77777777" w:rsidR="00F662FF" w:rsidRDefault="00F662FF" w:rsidP="00F662FF">
      <w:pPr>
        <w:shd w:val="clear" w:color="auto" w:fill="FFFFFF"/>
        <w:spacing w:line="480" w:lineRule="auto"/>
        <w:ind w:firstLine="720"/>
        <w:jc w:val="both"/>
        <w:rPr>
          <w:color w:val="000000"/>
          <w:u w:val="single"/>
          <w:bdr w:val="none" w:sz="0" w:space="0" w:color="auto" w:frame="1"/>
        </w:rPr>
      </w:pPr>
      <w:r>
        <w:rPr>
          <w:color w:val="000000"/>
          <w:u w:val="single"/>
          <w:bdr w:val="none" w:sz="0" w:space="0" w:color="auto" w:frame="1"/>
        </w:rPr>
        <w:t>(h) The p</w:t>
      </w:r>
      <w:r w:rsidRPr="00B90F7C">
        <w:rPr>
          <w:color w:val="000000"/>
          <w:u w:val="single"/>
          <w:bdr w:val="none" w:sz="0" w:space="0" w:color="auto" w:frame="1"/>
        </w:rPr>
        <w:t xml:space="preserve">rojected </w:t>
      </w:r>
      <w:r>
        <w:rPr>
          <w:color w:val="000000"/>
          <w:u w:val="single"/>
          <w:bdr w:val="none" w:sz="0" w:space="0" w:color="auto" w:frame="1"/>
        </w:rPr>
        <w:t>utility</w:t>
      </w:r>
      <w:r w:rsidRPr="00B90F7C">
        <w:rPr>
          <w:color w:val="000000"/>
          <w:u w:val="single"/>
          <w:bdr w:val="none" w:sz="0" w:space="0" w:color="auto" w:frame="1"/>
        </w:rPr>
        <w:t xml:space="preserve"> cost savings for </w:t>
      </w:r>
      <w:r>
        <w:rPr>
          <w:color w:val="000000"/>
          <w:u w:val="single"/>
          <w:bdr w:val="none" w:sz="0" w:space="0" w:color="auto" w:frame="1"/>
        </w:rPr>
        <w:t>government buildings that receive geothermal</w:t>
      </w:r>
      <w:r w:rsidRPr="000035F2">
        <w:rPr>
          <w:color w:val="000000"/>
          <w:u w:val="single"/>
          <w:bdr w:val="none" w:sz="0" w:space="0" w:color="auto" w:frame="1"/>
        </w:rPr>
        <w:t xml:space="preserve"> </w:t>
      </w:r>
      <w:r>
        <w:rPr>
          <w:color w:val="000000"/>
          <w:u w:val="single"/>
          <w:bdr w:val="none" w:sz="0" w:space="0" w:color="auto" w:frame="1"/>
        </w:rPr>
        <w:t>exchange service from a geothermal exchange system created pursuant to this section</w:t>
      </w:r>
      <w:r w:rsidRPr="00B90F7C">
        <w:rPr>
          <w:color w:val="000000"/>
          <w:u w:val="single"/>
          <w:bdr w:val="none" w:sz="0" w:space="0" w:color="auto" w:frame="1"/>
        </w:rPr>
        <w:t>;</w:t>
      </w:r>
    </w:p>
    <w:p w14:paraId="78124B2C" w14:textId="77777777" w:rsidR="00F662FF" w:rsidRDefault="00F662FF" w:rsidP="00F662FF">
      <w:pPr>
        <w:shd w:val="clear" w:color="auto" w:fill="FFFFFF"/>
        <w:spacing w:line="480" w:lineRule="auto"/>
        <w:ind w:firstLine="720"/>
        <w:jc w:val="both"/>
        <w:rPr>
          <w:color w:val="000000"/>
          <w:u w:val="single"/>
          <w:bdr w:val="none" w:sz="0" w:space="0" w:color="auto" w:frame="1"/>
        </w:rPr>
      </w:pPr>
      <w:r>
        <w:rPr>
          <w:color w:val="000000"/>
          <w:u w:val="single"/>
          <w:bdr w:val="none" w:sz="0" w:space="0" w:color="auto" w:frame="1"/>
        </w:rPr>
        <w:t>(</w:t>
      </w:r>
      <w:proofErr w:type="spellStart"/>
      <w:r>
        <w:rPr>
          <w:color w:val="000000"/>
          <w:u w:val="single"/>
          <w:bdr w:val="none" w:sz="0" w:space="0" w:color="auto" w:frame="1"/>
        </w:rPr>
        <w:t>i</w:t>
      </w:r>
      <w:proofErr w:type="spellEnd"/>
      <w:r>
        <w:rPr>
          <w:color w:val="000000"/>
          <w:u w:val="single"/>
          <w:bdr w:val="none" w:sz="0" w:space="0" w:color="auto" w:frame="1"/>
        </w:rPr>
        <w:t>) The capacity of the potential site to accommodate expansion of a geothermal exchange system created pursuant to this section to serve additional buildings;</w:t>
      </w:r>
    </w:p>
    <w:p w14:paraId="70DADBC1" w14:textId="77777777" w:rsidR="00F662FF" w:rsidRPr="00B56062" w:rsidRDefault="00F662FF" w:rsidP="00F662FF">
      <w:pPr>
        <w:shd w:val="clear" w:color="auto" w:fill="FFFFFF"/>
        <w:spacing w:line="480" w:lineRule="auto"/>
        <w:ind w:firstLine="720"/>
        <w:jc w:val="both"/>
        <w:rPr>
          <w:rFonts w:ascii="Times" w:hAnsi="Times"/>
          <w:color w:val="000000"/>
          <w:sz w:val="27"/>
          <w:szCs w:val="27"/>
        </w:rPr>
      </w:pPr>
      <w:r>
        <w:rPr>
          <w:color w:val="000000"/>
          <w:u w:val="single"/>
          <w:bdr w:val="none" w:sz="0" w:space="0" w:color="auto" w:frame="1"/>
        </w:rPr>
        <w:t>(j) The extent to which a geothermal exchange system developed pursuant to this section at the potential site would reduce the demand for natural gas and natural gas infrastructure;</w:t>
      </w:r>
    </w:p>
    <w:p w14:paraId="172D7639" w14:textId="77777777" w:rsidR="00F662FF" w:rsidRDefault="00F662FF" w:rsidP="00F662FF">
      <w:pPr>
        <w:shd w:val="clear" w:color="auto" w:fill="FFFFFF"/>
        <w:spacing w:line="480" w:lineRule="auto"/>
        <w:ind w:firstLine="720"/>
        <w:jc w:val="both"/>
        <w:rPr>
          <w:color w:val="000000"/>
          <w:u w:val="single"/>
          <w:bdr w:val="none" w:sz="0" w:space="0" w:color="auto" w:frame="1"/>
        </w:rPr>
      </w:pPr>
      <w:r>
        <w:rPr>
          <w:color w:val="000000"/>
          <w:u w:val="single"/>
          <w:bdr w:val="none" w:sz="0" w:space="0" w:color="auto" w:frame="1"/>
        </w:rPr>
        <w:t>(k) The p</w:t>
      </w:r>
      <w:r w:rsidRPr="00B90F7C">
        <w:rPr>
          <w:color w:val="000000"/>
          <w:u w:val="single"/>
          <w:bdr w:val="none" w:sz="0" w:space="0" w:color="auto" w:frame="1"/>
        </w:rPr>
        <w:t xml:space="preserve">rojected </w:t>
      </w:r>
      <w:r>
        <w:rPr>
          <w:color w:val="000000"/>
          <w:u w:val="single"/>
          <w:bdr w:val="none" w:sz="0" w:space="0" w:color="auto" w:frame="1"/>
        </w:rPr>
        <w:t>greenhouse gas</w:t>
      </w:r>
      <w:r w:rsidRPr="00B90F7C">
        <w:rPr>
          <w:color w:val="000000"/>
          <w:u w:val="single"/>
          <w:bdr w:val="none" w:sz="0" w:space="0" w:color="auto" w:frame="1"/>
        </w:rPr>
        <w:t xml:space="preserve"> emissions savings</w:t>
      </w:r>
      <w:r>
        <w:rPr>
          <w:color w:val="000000"/>
          <w:u w:val="single"/>
          <w:bdr w:val="none" w:sz="0" w:space="0" w:color="auto" w:frame="1"/>
        </w:rPr>
        <w:t xml:space="preserve"> and reductions in other harmful air emissions</w:t>
      </w:r>
      <w:r w:rsidRPr="00B90F7C">
        <w:rPr>
          <w:color w:val="000000"/>
          <w:u w:val="single"/>
          <w:bdr w:val="none" w:sz="0" w:space="0" w:color="auto" w:frame="1"/>
        </w:rPr>
        <w:t>;</w:t>
      </w:r>
    </w:p>
    <w:p w14:paraId="461D2CF7" w14:textId="77777777" w:rsidR="00F662FF" w:rsidRPr="00B90F7C" w:rsidRDefault="00F662FF" w:rsidP="00F662FF">
      <w:pPr>
        <w:shd w:val="clear" w:color="auto" w:fill="FFFFFF"/>
        <w:spacing w:line="480" w:lineRule="auto"/>
        <w:ind w:firstLine="720"/>
        <w:jc w:val="both"/>
        <w:rPr>
          <w:rFonts w:ascii="Times" w:hAnsi="Times"/>
          <w:color w:val="000000"/>
          <w:sz w:val="27"/>
          <w:szCs w:val="27"/>
        </w:rPr>
      </w:pPr>
      <w:r>
        <w:rPr>
          <w:color w:val="000000"/>
          <w:u w:val="single"/>
          <w:bdr w:val="none" w:sz="0" w:space="0" w:color="auto" w:frame="1"/>
        </w:rPr>
        <w:t xml:space="preserve">(l) Considerations to advance environmental justice; </w:t>
      </w:r>
    </w:p>
    <w:p w14:paraId="6852EBC6" w14:textId="77777777" w:rsidR="00F662FF" w:rsidRDefault="00F662FF" w:rsidP="00F662FF">
      <w:pPr>
        <w:shd w:val="clear" w:color="auto" w:fill="FFFFFF"/>
        <w:spacing w:line="480" w:lineRule="auto"/>
        <w:ind w:firstLine="720"/>
        <w:jc w:val="both"/>
        <w:rPr>
          <w:color w:val="000000"/>
          <w:u w:val="single"/>
          <w:bdr w:val="none" w:sz="0" w:space="0" w:color="auto" w:frame="1"/>
        </w:rPr>
      </w:pPr>
      <w:r>
        <w:rPr>
          <w:color w:val="000000"/>
          <w:u w:val="single"/>
          <w:bdr w:val="none" w:sz="0" w:space="0" w:color="auto" w:frame="1"/>
        </w:rPr>
        <w:t>(m)</w:t>
      </w:r>
      <w:r w:rsidRPr="00B90F7C">
        <w:rPr>
          <w:color w:val="000000"/>
          <w:u w:val="single"/>
          <w:bdr w:val="none" w:sz="0" w:space="0" w:color="auto" w:frame="1"/>
        </w:rPr>
        <w:t xml:space="preserve"> </w:t>
      </w:r>
      <w:r>
        <w:rPr>
          <w:color w:val="000000"/>
          <w:u w:val="single"/>
          <w:bdr w:val="none" w:sz="0" w:space="0" w:color="auto" w:frame="1"/>
        </w:rPr>
        <w:t>The p</w:t>
      </w:r>
      <w:r w:rsidRPr="00B90F7C">
        <w:rPr>
          <w:color w:val="000000"/>
          <w:u w:val="single"/>
          <w:bdr w:val="none" w:sz="0" w:space="0" w:color="auto" w:frame="1"/>
        </w:rPr>
        <w:t xml:space="preserve">rojected costs to build, operate and maintain </w:t>
      </w:r>
      <w:r>
        <w:rPr>
          <w:color w:val="000000"/>
          <w:u w:val="single"/>
          <w:bdr w:val="none" w:sz="0" w:space="0" w:color="auto" w:frame="1"/>
        </w:rPr>
        <w:t xml:space="preserve">a geothermal exchange system created pursuant to this section at the potential site; </w:t>
      </w:r>
    </w:p>
    <w:p w14:paraId="502C0849" w14:textId="77777777" w:rsidR="00F662FF" w:rsidRDefault="00F662FF" w:rsidP="00F662FF">
      <w:pPr>
        <w:shd w:val="clear" w:color="auto" w:fill="FFFFFF"/>
        <w:spacing w:line="480" w:lineRule="auto"/>
        <w:ind w:firstLine="720"/>
        <w:jc w:val="both"/>
        <w:rPr>
          <w:color w:val="000000"/>
          <w:u w:val="single"/>
          <w:bdr w:val="none" w:sz="0" w:space="0" w:color="auto" w:frame="1"/>
        </w:rPr>
      </w:pPr>
      <w:r>
        <w:rPr>
          <w:color w:val="000000"/>
          <w:u w:val="single"/>
          <w:bdr w:val="none" w:sz="0" w:space="0" w:color="auto" w:frame="1"/>
        </w:rPr>
        <w:t>(n) Whether a geothermal exchange system developed pursuant to this section at the potential site would disrupt existing subterranean systems; and</w:t>
      </w:r>
    </w:p>
    <w:p w14:paraId="4446ADF0" w14:textId="77777777" w:rsidR="00F662FF" w:rsidRDefault="00F662FF" w:rsidP="00F662FF">
      <w:pPr>
        <w:shd w:val="clear" w:color="auto" w:fill="FFFFFF"/>
        <w:spacing w:line="480" w:lineRule="auto"/>
        <w:ind w:firstLine="720"/>
        <w:jc w:val="both"/>
        <w:rPr>
          <w:color w:val="000000"/>
          <w:u w:val="single"/>
          <w:bdr w:val="none" w:sz="0" w:space="0" w:color="auto" w:frame="1"/>
        </w:rPr>
      </w:pPr>
      <w:r>
        <w:rPr>
          <w:color w:val="000000"/>
          <w:u w:val="single"/>
          <w:bdr w:val="none" w:sz="0" w:space="0" w:color="auto" w:frame="1"/>
        </w:rPr>
        <w:t>(o) Other possible costs or benefits of selecting the potential site for development of a geothermal exchange system pursuant to this section.</w:t>
      </w:r>
    </w:p>
    <w:p w14:paraId="668BACB9" w14:textId="77777777" w:rsidR="00F662FF" w:rsidRDefault="00F662FF" w:rsidP="00F662FF">
      <w:pPr>
        <w:shd w:val="clear" w:color="auto" w:fill="FFFFFF"/>
        <w:spacing w:line="480" w:lineRule="auto"/>
        <w:ind w:firstLine="720"/>
        <w:jc w:val="both"/>
        <w:rPr>
          <w:color w:val="000000"/>
          <w:u w:val="single"/>
          <w:bdr w:val="none" w:sz="0" w:space="0" w:color="auto" w:frame="1"/>
        </w:rPr>
      </w:pPr>
      <w:r w:rsidRPr="00B90F7C">
        <w:rPr>
          <w:color w:val="000000"/>
          <w:u w:val="single"/>
          <w:bdr w:val="none" w:sz="0" w:space="0" w:color="auto" w:frame="1"/>
        </w:rPr>
        <w:t xml:space="preserve">2. The </w:t>
      </w:r>
      <w:r>
        <w:rPr>
          <w:color w:val="000000"/>
          <w:u w:val="single"/>
          <w:bdr w:val="none" w:sz="0" w:space="0" w:color="auto" w:frame="1"/>
        </w:rPr>
        <w:t xml:space="preserve">director, </w:t>
      </w:r>
      <w:r w:rsidRPr="00D449CF">
        <w:rPr>
          <w:color w:val="000000"/>
          <w:u w:val="single"/>
          <w:bdr w:val="none" w:sz="0" w:space="0" w:color="auto" w:frame="1"/>
        </w:rPr>
        <w:t xml:space="preserve">in consultation with the head of the administering agency, </w:t>
      </w:r>
      <w:r>
        <w:rPr>
          <w:color w:val="000000"/>
          <w:u w:val="single"/>
          <w:bdr w:val="none" w:sz="0" w:space="0" w:color="auto" w:frame="1"/>
        </w:rPr>
        <w:t xml:space="preserve">and in compliance with sections 197-c and 197-d of the charter, if applicable, shall select a maximum of 10 sites evaluated in the study conducted pursuant to paragraph 1 of this subdivision that are indicated for the development of one or more geothermal exchange systems for a demonstration program. The selection shall be based on the study’s determination of the site or sites, if any, presenting the greatest potential benefits. If a selected site proves unsuitable for the demonstration program, the director, </w:t>
      </w:r>
      <w:r w:rsidRPr="00D449CF">
        <w:rPr>
          <w:color w:val="000000"/>
          <w:u w:val="single"/>
          <w:bdr w:val="none" w:sz="0" w:space="0" w:color="auto" w:frame="1"/>
        </w:rPr>
        <w:t xml:space="preserve">in consultation with the head of the administering agency, </w:t>
      </w:r>
      <w:r>
        <w:rPr>
          <w:color w:val="000000"/>
          <w:u w:val="single"/>
          <w:bdr w:val="none" w:sz="0" w:space="0" w:color="auto" w:frame="1"/>
        </w:rPr>
        <w:t>may select in its place an alternative site in the manner described in this paragraph.</w:t>
      </w:r>
    </w:p>
    <w:p w14:paraId="176E1B90" w14:textId="77777777" w:rsidR="00F662FF" w:rsidRPr="00D25084" w:rsidRDefault="00F662FF" w:rsidP="00F662FF">
      <w:pPr>
        <w:shd w:val="clear" w:color="auto" w:fill="FFFFFF"/>
        <w:spacing w:line="480" w:lineRule="auto"/>
        <w:ind w:firstLine="720"/>
        <w:jc w:val="both"/>
        <w:rPr>
          <w:bCs/>
          <w:color w:val="000000"/>
          <w:u w:val="single"/>
          <w:bdr w:val="none" w:sz="0" w:space="0" w:color="auto" w:frame="1"/>
        </w:rPr>
      </w:pPr>
      <w:r>
        <w:rPr>
          <w:bCs/>
          <w:color w:val="000000"/>
          <w:u w:val="single"/>
          <w:bdr w:val="none" w:sz="0" w:space="0" w:color="auto" w:frame="1"/>
        </w:rPr>
        <w:t>c. During or after the study undertaken pursuant to subdivision b of this section, the mayor shall designate an office or agency to implement and administer the demonstration program and other provisions of this section, in consultation with the director. Such designation shall be made in writing and shall be posted on the administering agency’s website.</w:t>
      </w:r>
    </w:p>
    <w:p w14:paraId="76241B6E" w14:textId="77777777" w:rsidR="00F662FF" w:rsidRPr="00FE6C5C" w:rsidRDefault="00F662FF" w:rsidP="00F662FF">
      <w:pPr>
        <w:shd w:val="clear" w:color="auto" w:fill="FFFFFF"/>
        <w:spacing w:line="480" w:lineRule="auto"/>
        <w:ind w:firstLine="720"/>
        <w:jc w:val="both"/>
        <w:rPr>
          <w:rFonts w:ascii="Times" w:hAnsi="Times"/>
          <w:color w:val="000000"/>
          <w:sz w:val="27"/>
          <w:szCs w:val="27"/>
        </w:rPr>
      </w:pPr>
      <w:r>
        <w:rPr>
          <w:color w:val="000000"/>
          <w:u w:val="single"/>
          <w:bdr w:val="none" w:sz="0" w:space="0" w:color="auto" w:frame="1"/>
        </w:rPr>
        <w:t>d</w:t>
      </w:r>
      <w:r w:rsidRPr="007E5EC8">
        <w:rPr>
          <w:color w:val="000000"/>
          <w:u w:val="single"/>
          <w:bdr w:val="none" w:sz="0" w:space="0" w:color="auto" w:frame="1"/>
        </w:rPr>
        <w:t xml:space="preserve">. Reporting. On or before </w:t>
      </w:r>
      <w:r>
        <w:rPr>
          <w:color w:val="000000"/>
          <w:u w:val="single"/>
          <w:bdr w:val="none" w:sz="0" w:space="0" w:color="auto" w:frame="1"/>
        </w:rPr>
        <w:t>March</w:t>
      </w:r>
      <w:r w:rsidRPr="007E5EC8">
        <w:rPr>
          <w:color w:val="000000"/>
          <w:u w:val="single"/>
          <w:bdr w:val="none" w:sz="0" w:space="0" w:color="auto" w:frame="1"/>
        </w:rPr>
        <w:t xml:space="preserve"> 1, 2023, and on or before </w:t>
      </w:r>
      <w:r>
        <w:rPr>
          <w:color w:val="000000"/>
          <w:u w:val="single"/>
          <w:bdr w:val="none" w:sz="0" w:space="0" w:color="auto" w:frame="1"/>
        </w:rPr>
        <w:t>March</w:t>
      </w:r>
      <w:r w:rsidRPr="007E5EC8">
        <w:rPr>
          <w:color w:val="000000"/>
          <w:u w:val="single"/>
          <w:bdr w:val="none" w:sz="0" w:space="0" w:color="auto" w:frame="1"/>
        </w:rPr>
        <w:t xml:space="preserve"> 1 every two years thereafter until </w:t>
      </w:r>
      <w:r>
        <w:rPr>
          <w:color w:val="000000"/>
          <w:u w:val="single"/>
          <w:bdr w:val="none" w:sz="0" w:space="0" w:color="auto" w:frame="1"/>
        </w:rPr>
        <w:t>March</w:t>
      </w:r>
      <w:r w:rsidRPr="007E5EC8">
        <w:rPr>
          <w:color w:val="000000"/>
          <w:u w:val="single"/>
          <w:bdr w:val="none" w:sz="0" w:space="0" w:color="auto" w:frame="1"/>
        </w:rPr>
        <w:t xml:space="preserve"> 1, 2033, the director, in consultation with the head of the administering agency, shall provide to the mayor and speaker of the council a </w:t>
      </w:r>
      <w:r>
        <w:rPr>
          <w:color w:val="000000"/>
          <w:u w:val="single"/>
          <w:bdr w:val="none" w:sz="0" w:space="0" w:color="auto" w:frame="1"/>
        </w:rPr>
        <w:t xml:space="preserve">detailed </w:t>
      </w:r>
      <w:r w:rsidRPr="007E5EC8">
        <w:rPr>
          <w:color w:val="000000"/>
          <w:u w:val="single"/>
          <w:bdr w:val="none" w:sz="0" w:space="0" w:color="auto" w:frame="1"/>
        </w:rPr>
        <w:t>report containing a</w:t>
      </w:r>
      <w:r>
        <w:rPr>
          <w:color w:val="000000"/>
          <w:u w:val="single"/>
          <w:bdr w:val="none" w:sz="0" w:space="0" w:color="auto" w:frame="1"/>
        </w:rPr>
        <w:t xml:space="preserve">n </w:t>
      </w:r>
      <w:r w:rsidRPr="007E5EC8">
        <w:rPr>
          <w:color w:val="000000"/>
          <w:u w:val="single"/>
          <w:bdr w:val="none" w:sz="0" w:space="0" w:color="auto" w:frame="1"/>
        </w:rPr>
        <w:t xml:space="preserve">assessment of the demonstration program, discussion of performance and impacts of any geothermal </w:t>
      </w:r>
      <w:r>
        <w:rPr>
          <w:color w:val="000000"/>
          <w:u w:val="single"/>
          <w:bdr w:val="none" w:sz="0" w:space="0" w:color="auto" w:frame="1"/>
        </w:rPr>
        <w:t xml:space="preserve">exchange </w:t>
      </w:r>
      <w:r w:rsidRPr="007E5EC8">
        <w:rPr>
          <w:color w:val="000000"/>
          <w:u w:val="single"/>
          <w:bdr w:val="none" w:sz="0" w:space="0" w:color="auto" w:frame="1"/>
        </w:rPr>
        <w:t xml:space="preserve">system created pursuant to this section and information on feedback regarding the provision of geothermal </w:t>
      </w:r>
      <w:r>
        <w:rPr>
          <w:color w:val="000000"/>
          <w:u w:val="single"/>
          <w:bdr w:val="none" w:sz="0" w:space="0" w:color="auto" w:frame="1"/>
        </w:rPr>
        <w:t xml:space="preserve">exchange </w:t>
      </w:r>
      <w:r w:rsidRPr="007E5EC8">
        <w:rPr>
          <w:color w:val="000000"/>
          <w:u w:val="single"/>
          <w:bdr w:val="none" w:sz="0" w:space="0" w:color="auto" w:frame="1"/>
        </w:rPr>
        <w:t>service</w:t>
      </w:r>
      <w:r>
        <w:rPr>
          <w:color w:val="000000"/>
          <w:u w:val="single"/>
          <w:bdr w:val="none" w:sz="0" w:space="0" w:color="auto" w:frame="1"/>
        </w:rPr>
        <w:t xml:space="preserve"> pursuant to this section</w:t>
      </w:r>
      <w:r w:rsidRPr="007E5EC8">
        <w:rPr>
          <w:color w:val="000000"/>
          <w:u w:val="single"/>
          <w:bdr w:val="none" w:sz="0" w:space="0" w:color="auto" w:frame="1"/>
        </w:rPr>
        <w:t>. Such assessment shall include, but need not be limited to:</w:t>
      </w:r>
    </w:p>
    <w:p w14:paraId="623D4D09" w14:textId="77777777" w:rsidR="00F662FF" w:rsidRPr="00B90F7C" w:rsidRDefault="00F662FF" w:rsidP="00F662FF">
      <w:pPr>
        <w:shd w:val="clear" w:color="auto" w:fill="FFFFFF"/>
        <w:spacing w:line="480" w:lineRule="auto"/>
        <w:ind w:firstLine="720"/>
        <w:jc w:val="both"/>
        <w:rPr>
          <w:rFonts w:ascii="Times" w:hAnsi="Times"/>
          <w:color w:val="000000"/>
          <w:sz w:val="27"/>
          <w:szCs w:val="27"/>
        </w:rPr>
      </w:pPr>
      <w:r>
        <w:rPr>
          <w:color w:val="000000"/>
          <w:u w:val="single"/>
          <w:bdr w:val="none" w:sz="0" w:space="0" w:color="auto" w:frame="1"/>
        </w:rPr>
        <w:t>1.</w:t>
      </w:r>
      <w:r w:rsidRPr="00B90F7C">
        <w:rPr>
          <w:color w:val="000000"/>
          <w:u w:val="single"/>
          <w:bdr w:val="none" w:sz="0" w:space="0" w:color="auto" w:frame="1"/>
        </w:rPr>
        <w:t xml:space="preserve"> </w:t>
      </w:r>
      <w:r>
        <w:rPr>
          <w:color w:val="000000"/>
          <w:u w:val="single"/>
          <w:bdr w:val="none" w:sz="0" w:space="0" w:color="auto" w:frame="1"/>
        </w:rPr>
        <w:t>R</w:t>
      </w:r>
      <w:r w:rsidRPr="00B90F7C">
        <w:rPr>
          <w:color w:val="000000"/>
          <w:u w:val="single"/>
          <w:bdr w:val="none" w:sz="0" w:space="0" w:color="auto" w:frame="1"/>
        </w:rPr>
        <w:t xml:space="preserve">ecommendations for improving the </w:t>
      </w:r>
      <w:r>
        <w:rPr>
          <w:color w:val="000000"/>
          <w:u w:val="single"/>
          <w:bdr w:val="none" w:sz="0" w:space="0" w:color="auto" w:frame="1"/>
        </w:rPr>
        <w:t xml:space="preserve">demonstration </w:t>
      </w:r>
      <w:r w:rsidRPr="00B90F7C">
        <w:rPr>
          <w:color w:val="000000"/>
          <w:u w:val="single"/>
          <w:bdr w:val="none" w:sz="0" w:space="0" w:color="auto" w:frame="1"/>
        </w:rPr>
        <w:t xml:space="preserve">program, including the </w:t>
      </w:r>
      <w:r>
        <w:rPr>
          <w:color w:val="000000"/>
          <w:u w:val="single"/>
          <w:bdr w:val="none" w:sz="0" w:space="0" w:color="auto" w:frame="1"/>
        </w:rPr>
        <w:t>identification</w:t>
      </w:r>
      <w:r w:rsidRPr="00B90F7C">
        <w:rPr>
          <w:color w:val="000000"/>
          <w:u w:val="single"/>
          <w:bdr w:val="none" w:sz="0" w:space="0" w:color="auto" w:frame="1"/>
        </w:rPr>
        <w:t xml:space="preserve"> of any beneficial new technology for </w:t>
      </w:r>
      <w:r w:rsidRPr="000F106E">
        <w:rPr>
          <w:color w:val="000000"/>
          <w:u w:val="single"/>
          <w:bdr w:val="none" w:sz="0" w:space="0" w:color="auto" w:frame="1"/>
        </w:rPr>
        <w:t xml:space="preserve">geothermal </w:t>
      </w:r>
      <w:r>
        <w:rPr>
          <w:color w:val="000000"/>
          <w:u w:val="single"/>
          <w:bdr w:val="none" w:sz="0" w:space="0" w:color="auto" w:frame="1"/>
        </w:rPr>
        <w:t xml:space="preserve">exchange </w:t>
      </w:r>
      <w:r w:rsidRPr="00B90F7C">
        <w:rPr>
          <w:color w:val="000000"/>
          <w:u w:val="single"/>
          <w:bdr w:val="none" w:sz="0" w:space="0" w:color="auto" w:frame="1"/>
        </w:rPr>
        <w:t>system</w:t>
      </w:r>
      <w:r>
        <w:rPr>
          <w:color w:val="000000"/>
          <w:u w:val="single"/>
          <w:bdr w:val="none" w:sz="0" w:space="0" w:color="auto" w:frame="1"/>
        </w:rPr>
        <w:t>s</w:t>
      </w:r>
      <w:r w:rsidRPr="00B90F7C">
        <w:rPr>
          <w:color w:val="000000"/>
          <w:u w:val="single"/>
          <w:bdr w:val="none" w:sz="0" w:space="0" w:color="auto" w:frame="1"/>
        </w:rPr>
        <w:t>;</w:t>
      </w:r>
    </w:p>
    <w:p w14:paraId="64C138B2" w14:textId="77777777" w:rsidR="00F662FF" w:rsidRPr="00B90F7C" w:rsidRDefault="00F662FF" w:rsidP="00F662FF">
      <w:pPr>
        <w:shd w:val="clear" w:color="auto" w:fill="FFFFFF"/>
        <w:spacing w:line="480" w:lineRule="auto"/>
        <w:ind w:firstLine="720"/>
        <w:jc w:val="both"/>
        <w:rPr>
          <w:rFonts w:ascii="Times" w:hAnsi="Times"/>
          <w:color w:val="000000"/>
          <w:sz w:val="27"/>
          <w:szCs w:val="27"/>
        </w:rPr>
      </w:pPr>
      <w:r>
        <w:rPr>
          <w:color w:val="000000"/>
          <w:u w:val="single"/>
          <w:bdr w:val="none" w:sz="0" w:space="0" w:color="auto" w:frame="1"/>
        </w:rPr>
        <w:t>2.</w:t>
      </w:r>
      <w:r w:rsidRPr="00B90F7C">
        <w:rPr>
          <w:color w:val="000000"/>
          <w:u w:val="single"/>
          <w:bdr w:val="none" w:sz="0" w:space="0" w:color="auto" w:frame="1"/>
        </w:rPr>
        <w:t xml:space="preserve"> </w:t>
      </w:r>
      <w:r>
        <w:rPr>
          <w:color w:val="000000"/>
          <w:u w:val="single"/>
          <w:bdr w:val="none" w:sz="0" w:space="0" w:color="auto" w:frame="1"/>
        </w:rPr>
        <w:t>R</w:t>
      </w:r>
      <w:r w:rsidRPr="00B90F7C">
        <w:rPr>
          <w:color w:val="000000"/>
          <w:u w:val="single"/>
          <w:bdr w:val="none" w:sz="0" w:space="0" w:color="auto" w:frame="1"/>
        </w:rPr>
        <w:t xml:space="preserve">ecommendations </w:t>
      </w:r>
      <w:r>
        <w:rPr>
          <w:color w:val="000000"/>
          <w:u w:val="single"/>
          <w:bdr w:val="none" w:sz="0" w:space="0" w:color="auto" w:frame="1"/>
        </w:rPr>
        <w:t>regarding</w:t>
      </w:r>
      <w:r w:rsidRPr="00B90F7C">
        <w:rPr>
          <w:color w:val="000000"/>
          <w:u w:val="single"/>
          <w:bdr w:val="none" w:sz="0" w:space="0" w:color="auto" w:frame="1"/>
        </w:rPr>
        <w:t xml:space="preserve"> whether </w:t>
      </w:r>
      <w:r>
        <w:rPr>
          <w:color w:val="000000"/>
          <w:u w:val="single"/>
          <w:bdr w:val="none" w:sz="0" w:space="0" w:color="auto" w:frame="1"/>
        </w:rPr>
        <w:t>to maintain, expand or discontinue the demonstration program;</w:t>
      </w:r>
    </w:p>
    <w:p w14:paraId="63A8EA1D" w14:textId="77777777" w:rsidR="00F662FF" w:rsidRPr="00B90F7C" w:rsidRDefault="00F662FF" w:rsidP="00F662FF">
      <w:pPr>
        <w:shd w:val="clear" w:color="auto" w:fill="FFFFFF"/>
        <w:spacing w:line="480" w:lineRule="auto"/>
        <w:ind w:firstLine="720"/>
        <w:jc w:val="both"/>
        <w:rPr>
          <w:rFonts w:ascii="Times" w:hAnsi="Times"/>
          <w:color w:val="000000"/>
          <w:sz w:val="27"/>
          <w:szCs w:val="27"/>
        </w:rPr>
      </w:pPr>
      <w:r>
        <w:rPr>
          <w:color w:val="000000"/>
          <w:u w:val="single"/>
          <w:bdr w:val="none" w:sz="0" w:space="0" w:color="auto" w:frame="1"/>
        </w:rPr>
        <w:t>3.</w:t>
      </w:r>
      <w:r w:rsidRPr="00B90F7C">
        <w:rPr>
          <w:color w:val="000000"/>
          <w:u w:val="single"/>
          <w:bdr w:val="none" w:sz="0" w:space="0" w:color="auto" w:frame="1"/>
        </w:rPr>
        <w:t xml:space="preserve"> </w:t>
      </w:r>
      <w:r>
        <w:rPr>
          <w:color w:val="000000"/>
          <w:u w:val="single"/>
          <w:bdr w:val="none" w:sz="0" w:space="0" w:color="auto" w:frame="1"/>
        </w:rPr>
        <w:t>T</w:t>
      </w:r>
      <w:r w:rsidRPr="00B90F7C">
        <w:rPr>
          <w:color w:val="000000"/>
          <w:u w:val="single"/>
          <w:bdr w:val="none" w:sz="0" w:space="0" w:color="auto" w:frame="1"/>
        </w:rPr>
        <w:t>he costs incurred</w:t>
      </w:r>
      <w:r>
        <w:rPr>
          <w:color w:val="000000"/>
          <w:u w:val="single"/>
          <w:bdr w:val="none" w:sz="0" w:space="0" w:color="auto" w:frame="1"/>
        </w:rPr>
        <w:t>, and savings realized,</w:t>
      </w:r>
      <w:r w:rsidRPr="00B90F7C">
        <w:rPr>
          <w:color w:val="000000"/>
          <w:u w:val="single"/>
          <w:bdr w:val="none" w:sz="0" w:space="0" w:color="auto" w:frame="1"/>
        </w:rPr>
        <w:t xml:space="preserve"> </w:t>
      </w:r>
      <w:r>
        <w:rPr>
          <w:color w:val="000000"/>
          <w:u w:val="single"/>
          <w:bdr w:val="none" w:sz="0" w:space="0" w:color="auto" w:frame="1"/>
        </w:rPr>
        <w:t xml:space="preserve">in the prior two fiscal years </w:t>
      </w:r>
      <w:r w:rsidRPr="00B90F7C">
        <w:rPr>
          <w:color w:val="000000"/>
          <w:u w:val="single"/>
          <w:bdr w:val="none" w:sz="0" w:space="0" w:color="auto" w:frame="1"/>
        </w:rPr>
        <w:t>by the city</w:t>
      </w:r>
      <w:r>
        <w:rPr>
          <w:color w:val="000000"/>
          <w:u w:val="single"/>
          <w:bdr w:val="none" w:sz="0" w:space="0" w:color="auto" w:frame="1"/>
        </w:rPr>
        <w:t xml:space="preserve"> </w:t>
      </w:r>
      <w:r w:rsidRPr="00B90F7C">
        <w:rPr>
          <w:color w:val="000000"/>
          <w:u w:val="single"/>
          <w:bdr w:val="none" w:sz="0" w:space="0" w:color="auto" w:frame="1"/>
        </w:rPr>
        <w:t xml:space="preserve">in implementing </w:t>
      </w:r>
      <w:r>
        <w:rPr>
          <w:color w:val="000000"/>
          <w:u w:val="single"/>
          <w:bdr w:val="none" w:sz="0" w:space="0" w:color="auto" w:frame="1"/>
        </w:rPr>
        <w:t>geothermal exchange systems pursuant to this section,</w:t>
      </w:r>
      <w:r w:rsidRPr="00B90F7C">
        <w:rPr>
          <w:color w:val="000000"/>
          <w:u w:val="single"/>
          <w:bdr w:val="none" w:sz="0" w:space="0" w:color="auto" w:frame="1"/>
        </w:rPr>
        <w:t xml:space="preserve"> and </w:t>
      </w:r>
      <w:r>
        <w:rPr>
          <w:color w:val="000000"/>
          <w:u w:val="single"/>
          <w:bdr w:val="none" w:sz="0" w:space="0" w:color="auto" w:frame="1"/>
        </w:rPr>
        <w:t xml:space="preserve">the </w:t>
      </w:r>
      <w:r w:rsidRPr="00B90F7C">
        <w:rPr>
          <w:color w:val="000000"/>
          <w:u w:val="single"/>
          <w:bdr w:val="none" w:sz="0" w:space="0" w:color="auto" w:frame="1"/>
        </w:rPr>
        <w:t>costs</w:t>
      </w:r>
      <w:r>
        <w:rPr>
          <w:color w:val="000000"/>
          <w:u w:val="single"/>
          <w:bdr w:val="none" w:sz="0" w:space="0" w:color="auto" w:frame="1"/>
        </w:rPr>
        <w:t xml:space="preserve"> and savings anticipated to be incurred or realized by the city in the subsequent two fiscal years</w:t>
      </w:r>
      <w:r w:rsidRPr="00B90F7C">
        <w:rPr>
          <w:color w:val="000000"/>
          <w:u w:val="single"/>
          <w:bdr w:val="none" w:sz="0" w:space="0" w:color="auto" w:frame="1"/>
        </w:rPr>
        <w:t>;</w:t>
      </w:r>
    </w:p>
    <w:p w14:paraId="622A587D" w14:textId="77777777" w:rsidR="00F662FF" w:rsidRDefault="00F662FF" w:rsidP="00F662FF">
      <w:pPr>
        <w:shd w:val="clear" w:color="auto" w:fill="FFFFFF"/>
        <w:spacing w:line="480" w:lineRule="auto"/>
        <w:ind w:firstLine="720"/>
        <w:jc w:val="both"/>
        <w:rPr>
          <w:color w:val="000000"/>
          <w:u w:val="single"/>
          <w:bdr w:val="none" w:sz="0" w:space="0" w:color="auto" w:frame="1"/>
        </w:rPr>
      </w:pPr>
      <w:r>
        <w:rPr>
          <w:color w:val="000000"/>
          <w:u w:val="single"/>
          <w:bdr w:val="none" w:sz="0" w:space="0" w:color="auto" w:frame="1"/>
        </w:rPr>
        <w:t>4. The greenhouse gas emissions reductions and impacts on energy usage in the prior two fiscal years related to the operation of geothermal exchange systems pursuant to this section,</w:t>
      </w:r>
      <w:r w:rsidRPr="00B90F7C">
        <w:rPr>
          <w:color w:val="000000"/>
          <w:u w:val="single"/>
          <w:bdr w:val="none" w:sz="0" w:space="0" w:color="auto" w:frame="1"/>
        </w:rPr>
        <w:t xml:space="preserve"> and </w:t>
      </w:r>
      <w:r>
        <w:rPr>
          <w:color w:val="000000"/>
          <w:u w:val="single"/>
          <w:bdr w:val="none" w:sz="0" w:space="0" w:color="auto" w:frame="1"/>
        </w:rPr>
        <w:t>the expected emissions reductions and impacts on energy usage in the subsequent two fiscal years</w:t>
      </w:r>
      <w:r w:rsidRPr="00B90F7C">
        <w:rPr>
          <w:color w:val="000000"/>
          <w:u w:val="single"/>
          <w:bdr w:val="none" w:sz="0" w:space="0" w:color="auto" w:frame="1"/>
        </w:rPr>
        <w:t>;</w:t>
      </w:r>
    </w:p>
    <w:p w14:paraId="0D919A37" w14:textId="77777777" w:rsidR="00F662FF" w:rsidRDefault="00F662FF" w:rsidP="00F662FF">
      <w:pPr>
        <w:shd w:val="clear" w:color="auto" w:fill="FFFFFF"/>
        <w:spacing w:line="480" w:lineRule="auto"/>
        <w:ind w:firstLine="720"/>
        <w:jc w:val="both"/>
        <w:rPr>
          <w:color w:val="000000"/>
          <w:u w:val="single"/>
          <w:bdr w:val="none" w:sz="0" w:space="0" w:color="auto" w:frame="1"/>
        </w:rPr>
      </w:pPr>
      <w:r>
        <w:rPr>
          <w:color w:val="000000"/>
          <w:u w:val="single"/>
          <w:bdr w:val="none" w:sz="0" w:space="0" w:color="auto" w:frame="1"/>
        </w:rPr>
        <w:t>5. R</w:t>
      </w:r>
      <w:r w:rsidRPr="00B90F7C">
        <w:rPr>
          <w:color w:val="000000"/>
          <w:u w:val="single"/>
          <w:bdr w:val="none" w:sz="0" w:space="0" w:color="auto" w:frame="1"/>
        </w:rPr>
        <w:t xml:space="preserve">ecommendations regarding whether </w:t>
      </w:r>
      <w:r>
        <w:rPr>
          <w:color w:val="000000"/>
          <w:u w:val="single"/>
          <w:bdr w:val="none" w:sz="0" w:space="0" w:color="auto" w:frame="1"/>
        </w:rPr>
        <w:t>the demonstration program</w:t>
      </w:r>
      <w:r w:rsidRPr="00B90F7C">
        <w:rPr>
          <w:color w:val="000000"/>
          <w:u w:val="single"/>
          <w:bdr w:val="none" w:sz="0" w:space="0" w:color="auto" w:frame="1"/>
        </w:rPr>
        <w:t xml:space="preserve"> should </w:t>
      </w:r>
      <w:r>
        <w:rPr>
          <w:color w:val="000000"/>
          <w:u w:val="single"/>
          <w:bdr w:val="none" w:sz="0" w:space="0" w:color="auto" w:frame="1"/>
        </w:rPr>
        <w:t xml:space="preserve">continue to </w:t>
      </w:r>
      <w:r w:rsidRPr="00B90F7C">
        <w:rPr>
          <w:color w:val="000000"/>
          <w:u w:val="single"/>
          <w:bdr w:val="none" w:sz="0" w:space="0" w:color="auto" w:frame="1"/>
        </w:rPr>
        <w:t xml:space="preserve">be administered by </w:t>
      </w:r>
      <w:r>
        <w:rPr>
          <w:color w:val="000000"/>
          <w:u w:val="single"/>
          <w:bdr w:val="none" w:sz="0" w:space="0" w:color="auto" w:frame="1"/>
        </w:rPr>
        <w:t>the administering agency or be administered by another agency; and</w:t>
      </w:r>
    </w:p>
    <w:p w14:paraId="25D5EB8D" w14:textId="77777777" w:rsidR="00F662FF" w:rsidRDefault="00F662FF" w:rsidP="00F662FF">
      <w:pPr>
        <w:shd w:val="clear" w:color="auto" w:fill="FFFFFF"/>
        <w:spacing w:line="480" w:lineRule="auto"/>
        <w:ind w:firstLine="720"/>
        <w:jc w:val="both"/>
        <w:rPr>
          <w:color w:val="000000"/>
          <w:u w:val="single"/>
          <w:bdr w:val="none" w:sz="0" w:space="0" w:color="auto" w:frame="1"/>
        </w:rPr>
      </w:pPr>
      <w:r>
        <w:rPr>
          <w:color w:val="000000"/>
          <w:u w:val="single"/>
          <w:bdr w:val="none" w:sz="0" w:space="0" w:color="auto" w:frame="1"/>
        </w:rPr>
        <w:t>6. Recommendations regarding whether the demonstration program should be made permanent, and if so, a detailed proposal for doing so, including recommendations for any legislation required to implement such proposal.</w:t>
      </w:r>
    </w:p>
    <w:p w14:paraId="1ABA4336" w14:textId="77777777" w:rsidR="00F662FF" w:rsidRDefault="00F662FF" w:rsidP="00F662FF">
      <w:pPr>
        <w:shd w:val="clear" w:color="auto" w:fill="FFFFFF"/>
        <w:spacing w:line="480" w:lineRule="auto"/>
        <w:ind w:firstLine="720"/>
        <w:jc w:val="both"/>
        <w:rPr>
          <w:color w:val="000000"/>
          <w:u w:val="single"/>
          <w:bdr w:val="none" w:sz="0" w:space="0" w:color="auto" w:frame="1"/>
        </w:rPr>
      </w:pPr>
      <w:r>
        <w:rPr>
          <w:color w:val="000000"/>
          <w:u w:val="single"/>
          <w:bdr w:val="none" w:sz="0" w:space="0" w:color="auto" w:frame="1"/>
        </w:rPr>
        <w:t>e. Potential expansion to private customers. If the director, in consultation with the administering agency, determines that expanding the demonstration program described in this section to serve private customers is feasible and practicable, the director shall provide to the mayor and speaker of the council a detailed proposal for doing so, including recommendations for any legislation required to implement such proposal.</w:t>
      </w:r>
    </w:p>
    <w:p w14:paraId="76B130ED" w14:textId="77777777" w:rsidR="00F662FF" w:rsidRDefault="00F662FF" w:rsidP="00F662FF">
      <w:pPr>
        <w:shd w:val="clear" w:color="auto" w:fill="FFFFFF"/>
        <w:spacing w:line="480" w:lineRule="auto"/>
        <w:ind w:firstLine="720"/>
        <w:jc w:val="both"/>
        <w:rPr>
          <w:color w:val="000000"/>
          <w:bdr w:val="none" w:sz="0" w:space="0" w:color="auto" w:frame="1"/>
        </w:rPr>
      </w:pPr>
      <w:r w:rsidRPr="00B90F7C">
        <w:rPr>
          <w:color w:val="000000"/>
          <w:bdr w:val="none" w:sz="0" w:space="0" w:color="auto" w:frame="1"/>
        </w:rPr>
        <w:t xml:space="preserve">§ </w:t>
      </w:r>
      <w:r>
        <w:rPr>
          <w:color w:val="000000"/>
          <w:bdr w:val="none" w:sz="0" w:space="0" w:color="auto" w:frame="1"/>
        </w:rPr>
        <w:t>3</w:t>
      </w:r>
      <w:r w:rsidRPr="00B90F7C">
        <w:rPr>
          <w:color w:val="000000"/>
          <w:bdr w:val="none" w:sz="0" w:space="0" w:color="auto" w:frame="1"/>
        </w:rPr>
        <w:t xml:space="preserve">. This local law takes effect </w:t>
      </w:r>
      <w:r>
        <w:rPr>
          <w:color w:val="000000"/>
          <w:bdr w:val="none" w:sz="0" w:space="0" w:color="auto" w:frame="1"/>
        </w:rPr>
        <w:t>180</w:t>
      </w:r>
      <w:r w:rsidRPr="00B90F7C">
        <w:rPr>
          <w:color w:val="000000"/>
          <w:bdr w:val="none" w:sz="0" w:space="0" w:color="auto" w:frame="1"/>
        </w:rPr>
        <w:t xml:space="preserve"> days after it becomes law.</w:t>
      </w:r>
    </w:p>
    <w:p w14:paraId="06AEEACA" w14:textId="77777777" w:rsidR="00F662FF" w:rsidRDefault="00F662FF" w:rsidP="00F662FF">
      <w:pPr>
        <w:pStyle w:val="NormalWeb"/>
        <w:suppressLineNumbers/>
        <w:shd w:val="clear" w:color="auto" w:fill="FFFFFF"/>
        <w:spacing w:before="0" w:beforeAutospacing="0" w:after="0" w:afterAutospacing="0"/>
        <w:jc w:val="both"/>
        <w:rPr>
          <w:color w:val="000000"/>
          <w:sz w:val="18"/>
          <w:szCs w:val="18"/>
        </w:rPr>
      </w:pPr>
    </w:p>
    <w:p w14:paraId="7F71F011" w14:textId="77777777" w:rsidR="00F662FF" w:rsidRDefault="00F662FF" w:rsidP="00F662FF">
      <w:pPr>
        <w:pStyle w:val="NormalWeb"/>
        <w:suppressLineNumbers/>
        <w:shd w:val="clear" w:color="auto" w:fill="FFFFFF"/>
        <w:spacing w:before="0" w:beforeAutospacing="0" w:after="0" w:afterAutospacing="0"/>
        <w:jc w:val="both"/>
        <w:rPr>
          <w:color w:val="000000"/>
          <w:sz w:val="18"/>
          <w:szCs w:val="18"/>
        </w:rPr>
      </w:pPr>
    </w:p>
    <w:p w14:paraId="5113AE37" w14:textId="77777777" w:rsidR="00F662FF" w:rsidRDefault="00F662FF" w:rsidP="00F662FF">
      <w:pPr>
        <w:pStyle w:val="NormalWeb"/>
        <w:suppressLineNumbers/>
        <w:shd w:val="clear" w:color="auto" w:fill="FFFFFF"/>
        <w:spacing w:before="0" w:beforeAutospacing="0" w:after="0" w:afterAutospacing="0"/>
        <w:jc w:val="both"/>
        <w:rPr>
          <w:color w:val="000000"/>
          <w:sz w:val="27"/>
          <w:szCs w:val="27"/>
        </w:rPr>
      </w:pPr>
      <w:r>
        <w:rPr>
          <w:color w:val="000000"/>
          <w:sz w:val="18"/>
          <w:szCs w:val="18"/>
        </w:rPr>
        <w:t>WCJ/MAJ/KS</w:t>
      </w:r>
    </w:p>
    <w:p w14:paraId="7B0F5F80" w14:textId="77777777" w:rsidR="00F662FF" w:rsidRDefault="00F662FF" w:rsidP="00F662FF">
      <w:pPr>
        <w:pStyle w:val="NormalWeb"/>
        <w:suppressLineNumbers/>
        <w:shd w:val="clear" w:color="auto" w:fill="FFFFFF"/>
        <w:spacing w:before="0" w:beforeAutospacing="0" w:after="0" w:afterAutospacing="0"/>
        <w:jc w:val="both"/>
        <w:rPr>
          <w:color w:val="000000"/>
          <w:sz w:val="27"/>
          <w:szCs w:val="27"/>
        </w:rPr>
      </w:pPr>
      <w:r>
        <w:rPr>
          <w:color w:val="000000"/>
          <w:sz w:val="18"/>
          <w:szCs w:val="18"/>
        </w:rPr>
        <w:t>LS #4617/Int No. 1229-2016</w:t>
      </w:r>
    </w:p>
    <w:p w14:paraId="17CFA471" w14:textId="77777777" w:rsidR="00F662FF" w:rsidRDefault="00F662FF" w:rsidP="00F662FF">
      <w:pPr>
        <w:pStyle w:val="NormalWeb"/>
        <w:suppressLineNumbers/>
        <w:shd w:val="clear" w:color="auto" w:fill="FFFFFF"/>
        <w:spacing w:before="0" w:beforeAutospacing="0" w:after="0" w:afterAutospacing="0"/>
        <w:jc w:val="both"/>
        <w:rPr>
          <w:color w:val="000000"/>
          <w:sz w:val="27"/>
          <w:szCs w:val="27"/>
        </w:rPr>
      </w:pPr>
      <w:r>
        <w:rPr>
          <w:color w:val="000000"/>
          <w:sz w:val="18"/>
          <w:szCs w:val="18"/>
        </w:rPr>
        <w:t>LS 126</w:t>
      </w:r>
    </w:p>
    <w:p w14:paraId="13E44F1B" w14:textId="77777777" w:rsidR="00F662FF" w:rsidRPr="00034DE6" w:rsidRDefault="00F662FF" w:rsidP="00F662FF">
      <w:pPr>
        <w:pStyle w:val="NormalWeb"/>
        <w:suppressLineNumbers/>
        <w:shd w:val="clear" w:color="auto" w:fill="FFFFFF"/>
        <w:spacing w:before="0" w:beforeAutospacing="0" w:after="150" w:afterAutospacing="0"/>
        <w:rPr>
          <w:color w:val="000000"/>
          <w:sz w:val="27"/>
          <w:szCs w:val="27"/>
        </w:rPr>
      </w:pPr>
      <w:r>
        <w:rPr>
          <w:color w:val="000000"/>
          <w:sz w:val="18"/>
          <w:szCs w:val="18"/>
        </w:rPr>
        <w:t>12/1/21 10:05PM</w:t>
      </w:r>
    </w:p>
    <w:p w14:paraId="021A0F1D" w14:textId="187D425C" w:rsidR="00B92678" w:rsidRDefault="00B92678">
      <w:pPr>
        <w:pBdr>
          <w:top w:val="none" w:sz="0" w:space="0" w:color="auto"/>
          <w:left w:val="none" w:sz="0" w:space="0" w:color="auto"/>
          <w:bottom w:val="none" w:sz="0" w:space="0" w:color="auto"/>
          <w:right w:val="none" w:sz="0" w:space="0" w:color="auto"/>
          <w:between w:val="none" w:sz="0" w:space="0" w:color="auto"/>
          <w:bar w:val="none" w:sz="0" w:color="auto"/>
        </w:pBdr>
      </w:pPr>
      <w:r>
        <w:br w:type="page"/>
      </w:r>
    </w:p>
    <w:p w14:paraId="4B58E851" w14:textId="77777777" w:rsidR="002E3638" w:rsidRDefault="002E3638">
      <w:pPr>
        <w:pBdr>
          <w:top w:val="none" w:sz="0" w:space="0" w:color="auto"/>
          <w:left w:val="none" w:sz="0" w:space="0" w:color="auto"/>
          <w:bottom w:val="none" w:sz="0" w:space="0" w:color="auto"/>
          <w:right w:val="none" w:sz="0" w:space="0" w:color="auto"/>
          <w:between w:val="none" w:sz="0" w:space="0" w:color="auto"/>
          <w:bar w:val="none" w:sz="0" w:color="auto"/>
        </w:pBdr>
      </w:pPr>
      <w:r>
        <w:br w:type="page"/>
      </w:r>
    </w:p>
    <w:p w14:paraId="5679B982" w14:textId="4E7161DC" w:rsidR="00B92678" w:rsidRDefault="00B92678" w:rsidP="00B92678">
      <w:pPr>
        <w:jc w:val="center"/>
      </w:pPr>
      <w:r>
        <w:t>Int. No. 2425-A</w:t>
      </w:r>
    </w:p>
    <w:p w14:paraId="16CE9A4A" w14:textId="77777777" w:rsidR="00B92678" w:rsidRDefault="00B92678" w:rsidP="00B92678">
      <w:pPr>
        <w:jc w:val="center"/>
      </w:pPr>
    </w:p>
    <w:p w14:paraId="0F01D3D0" w14:textId="77777777" w:rsidR="00B92678" w:rsidRDefault="00B92678" w:rsidP="00B92678">
      <w:pPr>
        <w:autoSpaceDE w:val="0"/>
        <w:autoSpaceDN w:val="0"/>
        <w:adjustRightInd w:val="0"/>
        <w:jc w:val="both"/>
        <w:rPr>
          <w:rFonts w:eastAsia="Calibri"/>
        </w:rPr>
      </w:pPr>
      <w:r>
        <w:rPr>
          <w:rFonts w:eastAsia="Calibri"/>
        </w:rPr>
        <w:t xml:space="preserve">By Council Members Salamanca, Vallone, Yeger, Holden, Dinowitz, Rosenthal, Cabrera, Levin, Ampry-Samuel, Koslowitz, Adams, Cumbo, Ayala, D. Diaz, Riley, Louis, Rose, Ulrich, Cornegy, Moya, Chin, Dromm, Eugene, Powers, Koo, Treyger, Grodenchik, Brooks-Powers, Borelli, Barron, Kallos, Reynoso, Van Bramer, Brannan, Lander, Maisel and </w:t>
      </w:r>
      <w:proofErr w:type="spellStart"/>
      <w:r>
        <w:rPr>
          <w:rFonts w:eastAsia="Calibri"/>
        </w:rPr>
        <w:t>Feliz</w:t>
      </w:r>
      <w:proofErr w:type="spellEnd"/>
    </w:p>
    <w:p w14:paraId="54279E9D" w14:textId="77777777" w:rsidR="00B92678" w:rsidRDefault="00B92678" w:rsidP="00B92678">
      <w:pPr>
        <w:pStyle w:val="BodyText"/>
        <w:spacing w:line="240" w:lineRule="auto"/>
        <w:ind w:firstLine="0"/>
      </w:pPr>
    </w:p>
    <w:p w14:paraId="0EFCD4E4" w14:textId="77777777" w:rsidR="00B92678" w:rsidRPr="009B6868" w:rsidRDefault="00B92678" w:rsidP="00B92678">
      <w:pPr>
        <w:pStyle w:val="BodyText"/>
        <w:spacing w:line="240" w:lineRule="auto"/>
        <w:ind w:firstLine="0"/>
        <w:jc w:val="center"/>
        <w:rPr>
          <w:vanish/>
        </w:rPr>
      </w:pPr>
      <w:r w:rsidRPr="009B6868">
        <w:rPr>
          <w:vanish/>
        </w:rPr>
        <w:t>..Title</w:t>
      </w:r>
    </w:p>
    <w:p w14:paraId="147FD8DE" w14:textId="77777777" w:rsidR="00B92678" w:rsidRDefault="00B92678" w:rsidP="00B92678">
      <w:pPr>
        <w:pStyle w:val="BodyText"/>
        <w:spacing w:line="240" w:lineRule="auto"/>
        <w:ind w:firstLine="0"/>
        <w:jc w:val="center"/>
      </w:pPr>
      <w:r>
        <w:t>A LOCAL LAW</w:t>
      </w:r>
    </w:p>
    <w:p w14:paraId="07AF6C4E" w14:textId="77777777" w:rsidR="00B92678" w:rsidRDefault="00B92678" w:rsidP="00B92678">
      <w:pPr>
        <w:pStyle w:val="BodyText"/>
        <w:spacing w:line="240" w:lineRule="auto"/>
        <w:ind w:firstLine="0"/>
      </w:pPr>
    </w:p>
    <w:p w14:paraId="6FDAB3E4" w14:textId="77777777" w:rsidR="00B92678" w:rsidRDefault="00B92678" w:rsidP="00B92678">
      <w:pPr>
        <w:pStyle w:val="BodyText"/>
        <w:spacing w:line="240" w:lineRule="auto"/>
        <w:ind w:firstLine="0"/>
      </w:pPr>
      <w:r>
        <w:t>To amend the New York city charter, in relation to requiring borough commissioners in the department of environmental protection</w:t>
      </w:r>
    </w:p>
    <w:p w14:paraId="34341D93" w14:textId="77777777" w:rsidR="00B92678" w:rsidRPr="009B6868" w:rsidRDefault="00B92678" w:rsidP="00B92678">
      <w:pPr>
        <w:pStyle w:val="BodyText"/>
        <w:spacing w:line="240" w:lineRule="auto"/>
        <w:ind w:firstLine="0"/>
        <w:rPr>
          <w:vanish/>
        </w:rPr>
      </w:pPr>
      <w:r w:rsidRPr="009B6868">
        <w:rPr>
          <w:vanish/>
        </w:rPr>
        <w:t>..Body</w:t>
      </w:r>
    </w:p>
    <w:p w14:paraId="4E5F7209" w14:textId="77777777" w:rsidR="00B92678" w:rsidRDefault="00B92678" w:rsidP="00B92678">
      <w:pPr>
        <w:pStyle w:val="BodyText"/>
        <w:spacing w:line="240" w:lineRule="auto"/>
        <w:ind w:firstLine="0"/>
        <w:rPr>
          <w:u w:val="single"/>
        </w:rPr>
      </w:pPr>
    </w:p>
    <w:p w14:paraId="3EA690BF" w14:textId="77777777" w:rsidR="00B92678" w:rsidRDefault="00B92678" w:rsidP="00B92678">
      <w:pPr>
        <w:jc w:val="both"/>
      </w:pPr>
      <w:r>
        <w:rPr>
          <w:u w:val="single"/>
        </w:rPr>
        <w:t>Be it enacted by the Council as follows</w:t>
      </w:r>
      <w:r w:rsidRPr="005B5DE4">
        <w:rPr>
          <w:u w:val="single"/>
        </w:rPr>
        <w:t>:</w:t>
      </w:r>
    </w:p>
    <w:p w14:paraId="170BC22F" w14:textId="77777777" w:rsidR="00B92678" w:rsidRDefault="00B92678" w:rsidP="00B92678">
      <w:pPr>
        <w:jc w:val="both"/>
      </w:pPr>
    </w:p>
    <w:p w14:paraId="392553E6" w14:textId="77777777" w:rsidR="00B92678" w:rsidRDefault="00B92678" w:rsidP="00B92678">
      <w:pPr>
        <w:spacing w:line="480" w:lineRule="auto"/>
        <w:jc w:val="both"/>
        <w:sectPr w:rsidR="00B92678" w:rsidSect="00B92678">
          <w:footerReference w:type="default" r:id="rId14"/>
          <w:footerReference w:type="first" r:id="rId15"/>
          <w:type w:val="continuous"/>
          <w:pgSz w:w="12240" w:h="15840"/>
          <w:pgMar w:top="1440" w:right="1440" w:bottom="1440" w:left="1440" w:header="720" w:footer="720" w:gutter="0"/>
          <w:cols w:space="720"/>
          <w:docGrid w:linePitch="360"/>
        </w:sectPr>
      </w:pPr>
    </w:p>
    <w:p w14:paraId="68107BB0" w14:textId="77777777" w:rsidR="00B92678" w:rsidRDefault="00B92678" w:rsidP="00B92678">
      <w:pPr>
        <w:spacing w:line="480" w:lineRule="auto"/>
        <w:ind w:firstLine="720"/>
        <w:jc w:val="both"/>
      </w:pPr>
      <w:r>
        <w:t>Section 1. Chapter 57 of the New York city charter is amended by adding a new section 1405 to read as follows:</w:t>
      </w:r>
    </w:p>
    <w:p w14:paraId="5B6606AC" w14:textId="77777777" w:rsidR="00B92678" w:rsidRDefault="00B92678" w:rsidP="00B92678">
      <w:pPr>
        <w:spacing w:line="480" w:lineRule="auto"/>
        <w:ind w:firstLine="720"/>
        <w:jc w:val="both"/>
        <w:rPr>
          <w:u w:val="single"/>
        </w:rPr>
      </w:pPr>
      <w:r w:rsidRPr="00AA6952">
        <w:rPr>
          <w:u w:val="single"/>
        </w:rPr>
        <w:t xml:space="preserve">§ 1405. Borough commissioners. </w:t>
      </w:r>
      <w:r>
        <w:rPr>
          <w:u w:val="single"/>
        </w:rPr>
        <w:t>a. For each borough, t</w:t>
      </w:r>
      <w:r w:rsidRPr="00FB6063">
        <w:rPr>
          <w:u w:val="single"/>
        </w:rPr>
        <w:t xml:space="preserve">he commissioner </w:t>
      </w:r>
      <w:r>
        <w:rPr>
          <w:u w:val="single"/>
        </w:rPr>
        <w:t xml:space="preserve">of environmental protection </w:t>
      </w:r>
      <w:r w:rsidRPr="00FB6063">
        <w:rPr>
          <w:u w:val="single"/>
        </w:rPr>
        <w:t>shall assign a borough commissioner, who shall</w:t>
      </w:r>
      <w:r>
        <w:rPr>
          <w:u w:val="single"/>
        </w:rPr>
        <w:t>:</w:t>
      </w:r>
    </w:p>
    <w:p w14:paraId="741AD85C" w14:textId="77777777" w:rsidR="00B92678" w:rsidRDefault="00B92678" w:rsidP="00B92678">
      <w:pPr>
        <w:spacing w:line="480" w:lineRule="auto"/>
        <w:ind w:firstLine="720"/>
        <w:jc w:val="both"/>
        <w:rPr>
          <w:u w:val="single"/>
        </w:rPr>
      </w:pPr>
      <w:r>
        <w:rPr>
          <w:u w:val="single"/>
        </w:rPr>
        <w:t xml:space="preserve">1. Inform the commissioner of environmental protection regarding </w:t>
      </w:r>
      <w:r w:rsidRPr="00FB6063">
        <w:rPr>
          <w:u w:val="single"/>
        </w:rPr>
        <w:t>programs, personnel, and facilities</w:t>
      </w:r>
      <w:r>
        <w:rPr>
          <w:u w:val="single"/>
        </w:rPr>
        <w:t xml:space="preserve"> within the borough to which such borough commissioner is assigned;</w:t>
      </w:r>
      <w:r w:rsidRPr="00FB6063">
        <w:rPr>
          <w:u w:val="single"/>
        </w:rPr>
        <w:t xml:space="preserve"> </w:t>
      </w:r>
      <w:r>
        <w:rPr>
          <w:u w:val="single"/>
        </w:rPr>
        <w:t>and</w:t>
      </w:r>
    </w:p>
    <w:p w14:paraId="44EB467F" w14:textId="77777777" w:rsidR="00B92678" w:rsidRDefault="00B92678" w:rsidP="00B92678">
      <w:pPr>
        <w:spacing w:line="480" w:lineRule="auto"/>
        <w:ind w:firstLine="720"/>
        <w:jc w:val="both"/>
        <w:rPr>
          <w:u w:val="single"/>
        </w:rPr>
      </w:pPr>
      <w:r>
        <w:rPr>
          <w:u w:val="single"/>
        </w:rPr>
        <w:t>2. C</w:t>
      </w:r>
      <w:r w:rsidRPr="00FB6063">
        <w:rPr>
          <w:u w:val="single"/>
        </w:rPr>
        <w:t>onsult when appropriate with the relevant borough president</w:t>
      </w:r>
      <w:r>
        <w:rPr>
          <w:u w:val="single"/>
        </w:rPr>
        <w:t>, other borough commissioners of the department and community boards</w:t>
      </w:r>
      <w:r w:rsidRPr="00FB6063">
        <w:rPr>
          <w:u w:val="single"/>
        </w:rPr>
        <w:t>.</w:t>
      </w:r>
    </w:p>
    <w:p w14:paraId="10FC4065" w14:textId="77777777" w:rsidR="00B92678" w:rsidRPr="00AA6952" w:rsidRDefault="00B92678" w:rsidP="00B92678">
      <w:pPr>
        <w:spacing w:line="480" w:lineRule="auto"/>
        <w:ind w:firstLine="720"/>
        <w:jc w:val="both"/>
      </w:pPr>
      <w:r>
        <w:rPr>
          <w:u w:val="single"/>
        </w:rPr>
        <w:t>b. Nothing in this section shall prohibit the commissioner of environmental protection from assigning as borough commissioner under this section an employee who is also assigned to a position in the department pursuant to subdivision f of section 2704 or subdivision a of section 2706.</w:t>
      </w:r>
    </w:p>
    <w:p w14:paraId="194FEB78" w14:textId="77777777" w:rsidR="00B92678" w:rsidRDefault="00B92678" w:rsidP="00F71423">
      <w:pPr>
        <w:spacing w:line="480" w:lineRule="auto"/>
        <w:ind w:firstLine="720"/>
        <w:jc w:val="both"/>
        <w:rPr>
          <w:u w:val="single"/>
        </w:rPr>
      </w:pPr>
      <w:r>
        <w:t>§ 2. This local law takes effect 90 days after it becomes law.</w:t>
      </w:r>
    </w:p>
    <w:p w14:paraId="6D89833C" w14:textId="77777777" w:rsidR="00F71423" w:rsidRDefault="00F71423" w:rsidP="00F71423">
      <w:pPr>
        <w:jc w:val="both"/>
        <w:rPr>
          <w:sz w:val="18"/>
          <w:szCs w:val="18"/>
        </w:rPr>
      </w:pPr>
    </w:p>
    <w:p w14:paraId="4F7C784D" w14:textId="77777777" w:rsidR="00F71423" w:rsidRDefault="00F71423" w:rsidP="00F71423">
      <w:pPr>
        <w:jc w:val="both"/>
        <w:rPr>
          <w:sz w:val="18"/>
          <w:szCs w:val="18"/>
        </w:rPr>
      </w:pPr>
    </w:p>
    <w:p w14:paraId="75200433" w14:textId="77777777" w:rsidR="00F71423" w:rsidRDefault="00F71423" w:rsidP="00F71423">
      <w:pPr>
        <w:jc w:val="both"/>
        <w:rPr>
          <w:sz w:val="18"/>
          <w:szCs w:val="18"/>
        </w:rPr>
      </w:pPr>
    </w:p>
    <w:p w14:paraId="684E1DBF" w14:textId="77777777" w:rsidR="00F71423" w:rsidRDefault="00F71423" w:rsidP="00F71423">
      <w:pPr>
        <w:jc w:val="both"/>
        <w:rPr>
          <w:sz w:val="18"/>
          <w:szCs w:val="18"/>
        </w:rPr>
      </w:pPr>
      <w:r>
        <w:rPr>
          <w:sz w:val="18"/>
          <w:szCs w:val="18"/>
        </w:rPr>
        <w:t>JB/KS</w:t>
      </w:r>
    </w:p>
    <w:p w14:paraId="17D82718" w14:textId="77777777" w:rsidR="00F71423" w:rsidRDefault="00F71423" w:rsidP="00F71423">
      <w:pPr>
        <w:jc w:val="both"/>
        <w:rPr>
          <w:sz w:val="18"/>
          <w:szCs w:val="18"/>
        </w:rPr>
      </w:pPr>
      <w:r>
        <w:rPr>
          <w:sz w:val="18"/>
          <w:szCs w:val="18"/>
        </w:rPr>
        <w:t>LS #18126</w:t>
      </w:r>
    </w:p>
    <w:p w14:paraId="5A607D1D" w14:textId="77777777" w:rsidR="00F71423" w:rsidRDefault="00F71423" w:rsidP="00F71423">
      <w:pPr>
        <w:rPr>
          <w:sz w:val="18"/>
          <w:szCs w:val="18"/>
        </w:rPr>
      </w:pPr>
      <w:r>
        <w:rPr>
          <w:sz w:val="18"/>
          <w:szCs w:val="18"/>
        </w:rPr>
        <w:t>12/1/</w:t>
      </w:r>
      <w:proofErr w:type="gramStart"/>
      <w:r>
        <w:rPr>
          <w:sz w:val="18"/>
          <w:szCs w:val="18"/>
        </w:rPr>
        <w:t>21  8:27pm</w:t>
      </w:r>
      <w:proofErr w:type="gramEnd"/>
    </w:p>
    <w:p w14:paraId="22B741A2" w14:textId="77777777" w:rsidR="006C109F" w:rsidRDefault="006C109F" w:rsidP="00F71423">
      <w:pPr>
        <w:spacing w:line="480" w:lineRule="auto"/>
        <w:jc w:val="both"/>
        <w:rPr>
          <w:u w:val="single"/>
        </w:rPr>
      </w:pPr>
    </w:p>
    <w:p w14:paraId="0AC6CAC9" w14:textId="77777777" w:rsidR="002E3638" w:rsidRDefault="002E36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r>
        <w:br w:type="page"/>
      </w:r>
    </w:p>
    <w:p w14:paraId="720D1F65" w14:textId="6EC40FBC" w:rsidR="006C109F" w:rsidRDefault="006C109F" w:rsidP="006C109F">
      <w:pPr>
        <w:pStyle w:val="DoubleSpaceParagaph"/>
        <w:spacing w:line="240" w:lineRule="auto"/>
        <w:ind w:firstLine="0"/>
        <w:jc w:val="center"/>
      </w:pPr>
      <w:r>
        <w:t>Int. No. 2460-A</w:t>
      </w:r>
    </w:p>
    <w:p w14:paraId="7C7A4A51" w14:textId="77777777" w:rsidR="006C109F" w:rsidRDefault="006C109F" w:rsidP="006C109F">
      <w:pPr>
        <w:pStyle w:val="DoubleSpaceParagaph"/>
        <w:spacing w:line="240" w:lineRule="auto"/>
        <w:ind w:firstLine="0"/>
      </w:pPr>
    </w:p>
    <w:p w14:paraId="7A820387" w14:textId="39AFF26F" w:rsidR="006C109F" w:rsidRDefault="006C109F" w:rsidP="006C109F">
      <w:pPr>
        <w:pStyle w:val="DoubleSpaceParagaph"/>
        <w:spacing w:line="240" w:lineRule="auto"/>
        <w:ind w:firstLine="0"/>
      </w:pPr>
      <w:r>
        <w:t>By Council Member</w:t>
      </w:r>
      <w:r w:rsidR="007C3335">
        <w:t>s</w:t>
      </w:r>
      <w:r>
        <w:t xml:space="preserve"> Gennaro</w:t>
      </w:r>
      <w:r w:rsidR="007C3335">
        <w:t xml:space="preserve"> and Kallos</w:t>
      </w:r>
    </w:p>
    <w:p w14:paraId="68CE46DB" w14:textId="77777777" w:rsidR="006C109F" w:rsidRDefault="006C109F" w:rsidP="006C109F">
      <w:pPr>
        <w:pStyle w:val="DoubleSpaceParagaph"/>
        <w:spacing w:line="240" w:lineRule="auto"/>
        <w:ind w:firstLine="0"/>
      </w:pPr>
    </w:p>
    <w:p w14:paraId="4C81204A" w14:textId="77777777" w:rsidR="006C109F" w:rsidRPr="0045227F" w:rsidRDefault="006C109F" w:rsidP="006C109F">
      <w:pPr>
        <w:pStyle w:val="DoubleSpaceParagaph"/>
        <w:spacing w:line="240" w:lineRule="auto"/>
        <w:ind w:firstLine="0"/>
        <w:jc w:val="center"/>
        <w:rPr>
          <w:vanish/>
        </w:rPr>
      </w:pPr>
      <w:r w:rsidRPr="0045227F">
        <w:rPr>
          <w:vanish/>
        </w:rPr>
        <w:t>..Title</w:t>
      </w:r>
    </w:p>
    <w:p w14:paraId="10C0A3D5" w14:textId="77777777" w:rsidR="006C109F" w:rsidRDefault="006C109F" w:rsidP="006C109F">
      <w:pPr>
        <w:pStyle w:val="DoubleSpaceParagaph"/>
        <w:spacing w:line="240" w:lineRule="auto"/>
        <w:ind w:firstLine="0"/>
        <w:jc w:val="center"/>
      </w:pPr>
      <w:r>
        <w:t>A LOCAL LAW</w:t>
      </w:r>
    </w:p>
    <w:p w14:paraId="4959D9E7" w14:textId="77777777" w:rsidR="006C109F" w:rsidRDefault="006C109F" w:rsidP="006C109F">
      <w:pPr>
        <w:pStyle w:val="DoubleSpaceParagaph"/>
        <w:spacing w:line="240" w:lineRule="auto"/>
        <w:ind w:firstLine="0"/>
      </w:pPr>
    </w:p>
    <w:p w14:paraId="17093D40" w14:textId="77777777" w:rsidR="006C109F" w:rsidRDefault="006C109F" w:rsidP="006C109F">
      <w:pPr>
        <w:pStyle w:val="DoubleSpaceParagaph"/>
        <w:spacing w:line="240" w:lineRule="auto"/>
        <w:ind w:firstLine="0"/>
      </w:pPr>
      <w:r>
        <w:t xml:space="preserve">To </w:t>
      </w:r>
      <w:r w:rsidRPr="00E15F7C">
        <w:t>amend the administrative code of the city of New York, in relation to enforcement of environmental remediation plans</w:t>
      </w:r>
      <w:r>
        <w:t xml:space="preserve"> and</w:t>
      </w:r>
      <w:r w:rsidRPr="00E15F7C">
        <w:t xml:space="preserve"> rules of </w:t>
      </w:r>
      <w:r>
        <w:t xml:space="preserve">the office of </w:t>
      </w:r>
      <w:r w:rsidRPr="00E15F7C">
        <w:t>environmental remediation</w:t>
      </w:r>
    </w:p>
    <w:p w14:paraId="587F7AEB" w14:textId="77777777" w:rsidR="006C109F" w:rsidRPr="0045227F" w:rsidRDefault="006C109F" w:rsidP="006C109F">
      <w:pPr>
        <w:pStyle w:val="DoubleSpaceParagaph"/>
        <w:spacing w:line="240" w:lineRule="auto"/>
        <w:ind w:firstLine="0"/>
        <w:rPr>
          <w:vanish/>
        </w:rPr>
      </w:pPr>
      <w:r w:rsidRPr="0045227F">
        <w:rPr>
          <w:vanish/>
        </w:rPr>
        <w:t>..Body</w:t>
      </w:r>
    </w:p>
    <w:p w14:paraId="2D9B6BD4" w14:textId="77777777" w:rsidR="006C109F" w:rsidRDefault="006C109F" w:rsidP="006C109F">
      <w:pPr>
        <w:pStyle w:val="DoubleSpaceParagaph"/>
        <w:spacing w:line="240" w:lineRule="auto"/>
        <w:ind w:firstLine="0"/>
      </w:pPr>
    </w:p>
    <w:p w14:paraId="3E84716B" w14:textId="77777777" w:rsidR="006C109F" w:rsidRDefault="006C109F" w:rsidP="006C109F">
      <w:pPr>
        <w:pStyle w:val="DoubleSpaceParagaph"/>
        <w:ind w:firstLine="0"/>
      </w:pPr>
      <w:r w:rsidRPr="0045227F">
        <w:rPr>
          <w:u w:val="single"/>
        </w:rPr>
        <w:t>Be it enacted by the Council as follows</w:t>
      </w:r>
      <w:r>
        <w:t>:</w:t>
      </w:r>
    </w:p>
    <w:p w14:paraId="79FFE1B2" w14:textId="77777777" w:rsidR="006C109F" w:rsidRDefault="006C109F" w:rsidP="006C109F">
      <w:pPr>
        <w:pStyle w:val="DoubleSpaceParagaph"/>
        <w:ind w:firstLine="0"/>
        <w:sectPr w:rsidR="006C109F" w:rsidSect="006C109F">
          <w:headerReference w:type="default" r:id="rId16"/>
          <w:footerReference w:type="default" r:id="rId17"/>
          <w:footerReference w:type="first" r:id="rId18"/>
          <w:type w:val="continuous"/>
          <w:pgSz w:w="12240" w:h="15840"/>
          <w:pgMar w:top="1440" w:right="1440" w:bottom="965" w:left="1440" w:header="1440" w:footer="965" w:gutter="0"/>
          <w:cols w:space="720"/>
          <w:noEndnote/>
          <w:docGrid w:linePitch="326"/>
        </w:sectPr>
      </w:pPr>
    </w:p>
    <w:p w14:paraId="688262F9" w14:textId="77777777" w:rsidR="006C109F" w:rsidRDefault="006C109F" w:rsidP="006C109F">
      <w:pPr>
        <w:pStyle w:val="DoubleSpaceParagaph"/>
        <w:ind w:firstLine="720"/>
      </w:pPr>
      <w:r w:rsidRPr="00E15F7C">
        <w:t>Section 1</w:t>
      </w:r>
      <w:r>
        <w:t xml:space="preserve">. Section 24-907 of the administrative code of the city of New York, as added by local law number 27 for the year 2009, is amended to read as follows:  </w:t>
      </w:r>
    </w:p>
    <w:p w14:paraId="6D1BC74A" w14:textId="77777777" w:rsidR="006C109F" w:rsidRDefault="006C109F" w:rsidP="006C109F">
      <w:pPr>
        <w:pStyle w:val="DoubleSpaceParagaph"/>
        <w:ind w:firstLine="720"/>
      </w:pPr>
      <w:r w:rsidRPr="00785635">
        <w:rPr>
          <w:color w:val="000000"/>
          <w:szCs w:val="24"/>
        </w:rPr>
        <w:t>§</w:t>
      </w:r>
      <w:r w:rsidRPr="00785635">
        <w:rPr>
          <w:color w:val="000000"/>
          <w:szCs w:val="24"/>
        </w:rPr>
        <w:t> </w:t>
      </w:r>
      <w:r w:rsidRPr="00785635">
        <w:rPr>
          <w:color w:val="000000"/>
          <w:szCs w:val="24"/>
        </w:rPr>
        <w:t>24–907</w:t>
      </w:r>
      <w:r w:rsidRPr="00E15F7C">
        <w:rPr>
          <w:color w:val="000000"/>
          <w:szCs w:val="24"/>
        </w:rPr>
        <w:t> </w:t>
      </w:r>
      <w:r w:rsidRPr="00E15F7C">
        <w:rPr>
          <w:color w:val="000000"/>
          <w:szCs w:val="24"/>
        </w:rPr>
        <w:t>[</w:t>
      </w:r>
      <w:r w:rsidRPr="00E15F7C">
        <w:rPr>
          <w:bCs/>
          <w:color w:val="000000"/>
          <w:szCs w:val="24"/>
        </w:rPr>
        <w:t xml:space="preserve">Civil Penalties] </w:t>
      </w:r>
      <w:r w:rsidRPr="00E15F7C">
        <w:rPr>
          <w:bCs/>
          <w:color w:val="000000"/>
          <w:szCs w:val="24"/>
          <w:u w:val="single"/>
        </w:rPr>
        <w:t>Enforcement</w:t>
      </w:r>
      <w:r w:rsidRPr="00E15F7C">
        <w:rPr>
          <w:color w:val="000000"/>
          <w:szCs w:val="24"/>
        </w:rPr>
        <w:t xml:space="preserve">. </w:t>
      </w:r>
      <w:r w:rsidRPr="00E15F7C">
        <w:rPr>
          <w:b/>
          <w:bCs/>
          <w:color w:val="000000"/>
          <w:szCs w:val="24"/>
        </w:rPr>
        <w:t xml:space="preserve"> </w:t>
      </w:r>
      <w:r w:rsidRPr="00E15F7C">
        <w:rPr>
          <w:color w:val="000000"/>
          <w:szCs w:val="24"/>
          <w:u w:val="single"/>
        </w:rPr>
        <w:t>(a)</w:t>
      </w:r>
      <w:r w:rsidRPr="00E15F7C">
        <w:rPr>
          <w:b/>
          <w:bCs/>
          <w:color w:val="000000"/>
          <w:szCs w:val="24"/>
        </w:rPr>
        <w:t xml:space="preserve"> </w:t>
      </w:r>
      <w:r w:rsidRPr="00E15F7C">
        <w:rPr>
          <w:color w:val="000000"/>
          <w:szCs w:val="24"/>
        </w:rPr>
        <w:t>Any</w:t>
      </w:r>
      <w:r w:rsidRPr="00785635">
        <w:rPr>
          <w:color w:val="000000"/>
          <w:szCs w:val="24"/>
        </w:rPr>
        <w:t xml:space="preserve"> applicant, enrollee, or recipient of a certificate of </w:t>
      </w:r>
      <w:r w:rsidRPr="00785635">
        <w:t>completion who misrepresents any material fact related to the investigation, remediation or site management of a local brownfield site</w:t>
      </w:r>
      <w:r w:rsidRPr="0049222B">
        <w:rPr>
          <w:u w:val="single"/>
        </w:rPr>
        <w:t>;</w:t>
      </w:r>
      <w:r w:rsidRPr="00343037">
        <w:rPr>
          <w:u w:val="single"/>
        </w:rPr>
        <w:t xml:space="preserve"> </w:t>
      </w:r>
      <w:r w:rsidRPr="00785635">
        <w:rPr>
          <w:color w:val="000000"/>
          <w:szCs w:val="24"/>
          <w:u w:val="single"/>
        </w:rPr>
        <w:t xml:space="preserve">or any person or entity </w:t>
      </w:r>
      <w:r>
        <w:rPr>
          <w:color w:val="000000"/>
          <w:szCs w:val="24"/>
          <w:u w:val="single"/>
        </w:rPr>
        <w:t>that</w:t>
      </w:r>
      <w:r w:rsidRPr="00785635">
        <w:rPr>
          <w:color w:val="000000"/>
          <w:szCs w:val="24"/>
          <w:u w:val="single"/>
        </w:rPr>
        <w:t xml:space="preserve"> violates </w:t>
      </w:r>
      <w:r>
        <w:rPr>
          <w:color w:val="000000"/>
          <w:szCs w:val="24"/>
          <w:u w:val="single"/>
        </w:rPr>
        <w:t>any provision of a</w:t>
      </w:r>
      <w:r w:rsidRPr="00785635">
        <w:rPr>
          <w:color w:val="000000"/>
          <w:szCs w:val="24"/>
          <w:u w:val="single"/>
        </w:rPr>
        <w:t xml:space="preserve"> site management plan for a local brownfield site</w:t>
      </w:r>
      <w:r>
        <w:rPr>
          <w:color w:val="000000"/>
          <w:szCs w:val="24"/>
          <w:u w:val="single"/>
        </w:rPr>
        <w:t>;</w:t>
      </w:r>
      <w:r w:rsidRPr="00785635">
        <w:rPr>
          <w:color w:val="000000"/>
          <w:szCs w:val="24"/>
          <w:u w:val="single"/>
        </w:rPr>
        <w:t xml:space="preserve"> </w:t>
      </w:r>
      <w:r w:rsidRPr="00F86732">
        <w:rPr>
          <w:color w:val="000000"/>
          <w:szCs w:val="24"/>
          <w:u w:val="single"/>
        </w:rPr>
        <w:t>or any person or entity that violates any provision of this chapter</w:t>
      </w:r>
      <w:r>
        <w:rPr>
          <w:color w:val="000000"/>
          <w:szCs w:val="24"/>
          <w:u w:val="single"/>
        </w:rPr>
        <w:t xml:space="preserve"> or</w:t>
      </w:r>
      <w:r w:rsidRPr="00F86732">
        <w:rPr>
          <w:color w:val="000000"/>
          <w:szCs w:val="24"/>
          <w:u w:val="single"/>
        </w:rPr>
        <w:t xml:space="preserve"> the rules of the office of environmental remediation</w:t>
      </w:r>
      <w:r>
        <w:rPr>
          <w:color w:val="000000"/>
          <w:szCs w:val="24"/>
          <w:u w:val="single"/>
        </w:rPr>
        <w:t>,</w:t>
      </w:r>
      <w:r>
        <w:rPr>
          <w:color w:val="000000"/>
          <w:szCs w:val="24"/>
        </w:rPr>
        <w:t xml:space="preserve"> </w:t>
      </w:r>
      <w:r w:rsidRPr="00785635">
        <w:t>shall be liable for a civil penalty of not more than twenty-five thousand dollars.</w:t>
      </w:r>
    </w:p>
    <w:p w14:paraId="5DB9641B" w14:textId="77777777" w:rsidR="006C109F" w:rsidRPr="009D06FC" w:rsidRDefault="006C109F" w:rsidP="006C109F">
      <w:pPr>
        <w:pStyle w:val="DoubleSpaceParagaph"/>
        <w:ind w:firstLine="0"/>
      </w:pPr>
      <w:r>
        <w:tab/>
      </w:r>
      <w:r w:rsidRPr="00F86732">
        <w:t>[Such]</w:t>
      </w:r>
      <w:r>
        <w:t xml:space="preserve"> </w:t>
      </w:r>
      <w:r w:rsidRPr="00365563">
        <w:rPr>
          <w:u w:val="single"/>
        </w:rPr>
        <w:t>(b)</w:t>
      </w:r>
      <w:r>
        <w:rPr>
          <w:u w:val="single"/>
        </w:rPr>
        <w:t xml:space="preserve"> </w:t>
      </w:r>
      <w:r w:rsidRPr="009D06FC">
        <w:rPr>
          <w:u w:val="single"/>
        </w:rPr>
        <w:t>A</w:t>
      </w:r>
      <w:r w:rsidRPr="009D06FC">
        <w:t xml:space="preserve"> civil penalty may be recovered </w:t>
      </w:r>
      <w:r w:rsidRPr="009D06FC">
        <w:rPr>
          <w:u w:val="single"/>
        </w:rPr>
        <w:t>in an action in a court of competent jurisdiction or</w:t>
      </w:r>
      <w:r w:rsidRPr="009D06FC">
        <w:t xml:space="preserve"> in a proceeding before </w:t>
      </w:r>
      <w:r>
        <w:t>[</w:t>
      </w:r>
      <w:r w:rsidRPr="009D06FC">
        <w:t>the environmental control board</w:t>
      </w:r>
      <w:r>
        <w:t xml:space="preserve">. Such] </w:t>
      </w:r>
      <w:r w:rsidRPr="00CE4B96">
        <w:rPr>
          <w:u w:val="single"/>
        </w:rPr>
        <w:t>an administrative tribunal within the jurisdiction of the office of administrative trials and hearings pursuant to section 1049</w:t>
      </w:r>
      <w:r>
        <w:rPr>
          <w:u w:val="single"/>
        </w:rPr>
        <w:t>-</w:t>
      </w:r>
      <w:r w:rsidRPr="00CE4B96">
        <w:rPr>
          <w:u w:val="single"/>
        </w:rPr>
        <w:t>a of the charter</w:t>
      </w:r>
      <w:r w:rsidRPr="009D06FC">
        <w:rPr>
          <w:u w:val="single"/>
        </w:rPr>
        <w:t xml:space="preserve">, </w:t>
      </w:r>
      <w:r w:rsidRPr="00B566F0">
        <w:rPr>
          <w:u w:val="single"/>
        </w:rPr>
        <w:t>which</w:t>
      </w:r>
      <w:r>
        <w:t xml:space="preserve"> </w:t>
      </w:r>
      <w:r w:rsidRPr="00B566F0">
        <w:t>proceeding</w:t>
      </w:r>
      <w:r w:rsidRPr="00785635">
        <w:t xml:space="preserve"> shall be commenced by the service of </w:t>
      </w:r>
      <w:r w:rsidRPr="00CE4B96">
        <w:rPr>
          <w:u w:val="single"/>
        </w:rPr>
        <w:t>an administrative summons or</w:t>
      </w:r>
      <w:r>
        <w:t xml:space="preserve"> </w:t>
      </w:r>
      <w:r w:rsidRPr="00785635">
        <w:t xml:space="preserve">a notice of violation returnable </w:t>
      </w:r>
      <w:r w:rsidRPr="009D06FC">
        <w:t>before [the environmental control</w:t>
      </w:r>
      <w:r>
        <w:t xml:space="preserve"> board</w:t>
      </w:r>
      <w:r w:rsidRPr="009D06FC">
        <w:t xml:space="preserve">] </w:t>
      </w:r>
      <w:r w:rsidRPr="009D06FC">
        <w:rPr>
          <w:u w:val="single"/>
        </w:rPr>
        <w:t>such</w:t>
      </w:r>
      <w:r>
        <w:rPr>
          <w:u w:val="single"/>
        </w:rPr>
        <w:t xml:space="preserve"> </w:t>
      </w:r>
      <w:r w:rsidRPr="00CE4B96">
        <w:rPr>
          <w:u w:val="single"/>
        </w:rPr>
        <w:t>tribunal</w:t>
      </w:r>
      <w:r w:rsidRPr="009D06FC">
        <w:t xml:space="preserve">. </w:t>
      </w:r>
    </w:p>
    <w:p w14:paraId="2C425453" w14:textId="77777777" w:rsidR="006C109F" w:rsidRDefault="006C109F" w:rsidP="006C109F">
      <w:pPr>
        <w:pStyle w:val="DoubleSpaceParagaph"/>
        <w:ind w:firstLine="720"/>
      </w:pPr>
      <w:r w:rsidRPr="009D06FC">
        <w:rPr>
          <w:u w:val="single"/>
        </w:rPr>
        <w:t>(</w:t>
      </w:r>
      <w:r>
        <w:rPr>
          <w:u w:val="single"/>
        </w:rPr>
        <w:t>c</w:t>
      </w:r>
      <w:r w:rsidRPr="009D06FC">
        <w:rPr>
          <w:u w:val="single"/>
        </w:rPr>
        <w:t>)</w:t>
      </w:r>
      <w:r w:rsidRPr="00B3502A">
        <w:rPr>
          <w:u w:val="single"/>
        </w:rPr>
        <w:t xml:space="preserve"> </w:t>
      </w:r>
      <w:r w:rsidRPr="009D06FC">
        <w:rPr>
          <w:u w:val="single"/>
        </w:rPr>
        <w:t xml:space="preserve">The director of the office of environmental remediation may designate other city agencies to </w:t>
      </w:r>
      <w:r w:rsidRPr="004906B3">
        <w:rPr>
          <w:u w:val="single"/>
        </w:rPr>
        <w:t>issue such administrative summonses and</w:t>
      </w:r>
      <w:r>
        <w:rPr>
          <w:u w:val="single"/>
        </w:rPr>
        <w:t xml:space="preserve"> </w:t>
      </w:r>
      <w:r w:rsidRPr="009D06FC">
        <w:rPr>
          <w:u w:val="single"/>
        </w:rPr>
        <w:t xml:space="preserve">notices of violation. </w:t>
      </w:r>
      <w:r>
        <w:rPr>
          <w:u w:val="single"/>
        </w:rPr>
        <w:t xml:space="preserve"> </w:t>
      </w:r>
      <w:r w:rsidRPr="009D06FC">
        <w:rPr>
          <w:u w:val="single"/>
        </w:rPr>
        <w:t>Employees or designees of the office are authorized to enter private property</w:t>
      </w:r>
      <w:r>
        <w:rPr>
          <w:u w:val="single"/>
        </w:rPr>
        <w:t>,</w:t>
      </w:r>
      <w:r w:rsidRPr="009D06FC">
        <w:rPr>
          <w:u w:val="single"/>
        </w:rPr>
        <w:t xml:space="preserve"> </w:t>
      </w:r>
      <w:r>
        <w:rPr>
          <w:u w:val="single"/>
        </w:rPr>
        <w:t xml:space="preserve">in accordance with applicable law, </w:t>
      </w:r>
      <w:r w:rsidRPr="009D06FC">
        <w:rPr>
          <w:u w:val="single"/>
        </w:rPr>
        <w:t xml:space="preserve">to inspect for the violations described in this section. </w:t>
      </w:r>
      <w:r>
        <w:rPr>
          <w:u w:val="single"/>
        </w:rPr>
        <w:t xml:space="preserve"> </w:t>
      </w:r>
    </w:p>
    <w:p w14:paraId="07A9B8F1" w14:textId="77777777" w:rsidR="006C109F" w:rsidRDefault="006C109F" w:rsidP="006C109F">
      <w:pPr>
        <w:pStyle w:val="DoubleSpaceParagaph"/>
        <w:ind w:firstLine="720"/>
      </w:pPr>
      <w:proofErr w:type="gramStart"/>
      <w:r>
        <w:t>§  2</w:t>
      </w:r>
      <w:proofErr w:type="gramEnd"/>
      <w:r>
        <w:t>. This local law takes effect 90 days after it becomes law.</w:t>
      </w:r>
    </w:p>
    <w:p w14:paraId="091761E4" w14:textId="77777777" w:rsidR="006C109F" w:rsidRDefault="006C109F" w:rsidP="00F71423">
      <w:pPr>
        <w:spacing w:line="480" w:lineRule="auto"/>
        <w:jc w:val="both"/>
        <w:rPr>
          <w:u w:val="single"/>
        </w:rPr>
      </w:pPr>
    </w:p>
    <w:p w14:paraId="7BCAF1FA" w14:textId="77777777" w:rsidR="006C109F" w:rsidRPr="006C109F" w:rsidRDefault="006C109F" w:rsidP="006C109F">
      <w:pPr>
        <w:jc w:val="both"/>
        <w:rPr>
          <w:sz w:val="20"/>
          <w:szCs w:val="20"/>
        </w:rPr>
      </w:pPr>
      <w:r w:rsidRPr="006C109F">
        <w:rPr>
          <w:sz w:val="20"/>
          <w:szCs w:val="20"/>
        </w:rPr>
        <w:t>KS</w:t>
      </w:r>
    </w:p>
    <w:p w14:paraId="674AE0E7" w14:textId="33B1EE5F" w:rsidR="006C109F" w:rsidRPr="006C109F" w:rsidRDefault="006C109F" w:rsidP="006C109F">
      <w:pPr>
        <w:jc w:val="both"/>
        <w:rPr>
          <w:sz w:val="20"/>
          <w:szCs w:val="20"/>
        </w:rPr>
        <w:sectPr w:rsidR="006C109F" w:rsidRPr="006C109F" w:rsidSect="00811D23">
          <w:type w:val="continuous"/>
          <w:pgSz w:w="12240" w:h="15840"/>
          <w:pgMar w:top="1440" w:right="1440" w:bottom="1440" w:left="1440" w:header="720" w:footer="720" w:gutter="0"/>
          <w:cols w:space="720"/>
          <w:titlePg/>
          <w:docGrid w:linePitch="360"/>
        </w:sectPr>
      </w:pPr>
      <w:r w:rsidRPr="006C109F">
        <w:rPr>
          <w:sz w:val="20"/>
          <w:szCs w:val="20"/>
        </w:rPr>
        <w:t>12/1/21 10:17PM</w:t>
      </w:r>
    </w:p>
    <w:p w14:paraId="18678583" w14:textId="77777777" w:rsidR="00614A83" w:rsidRDefault="00614A83" w:rsidP="00B92678">
      <w:pPr>
        <w:pBdr>
          <w:top w:val="none" w:sz="0" w:space="0" w:color="auto"/>
          <w:left w:val="none" w:sz="0" w:space="0" w:color="auto"/>
          <w:bottom w:val="none" w:sz="0" w:space="0" w:color="auto"/>
          <w:right w:val="none" w:sz="0" w:space="0" w:color="auto"/>
          <w:between w:val="none" w:sz="0" w:space="0" w:color="auto"/>
          <w:bar w:val="none" w:sz="0" w:color="auto"/>
        </w:pBdr>
      </w:pPr>
    </w:p>
    <w:sectPr w:rsidR="00614A83" w:rsidSect="00C07F11">
      <w:footerReference w:type="even" r:id="rId19"/>
      <w:footerReference w:type="default" r:id="rId20"/>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3CEBC" w14:textId="77777777" w:rsidR="007E4CDA" w:rsidRDefault="007E4CDA">
      <w:r>
        <w:separator/>
      </w:r>
    </w:p>
  </w:endnote>
  <w:endnote w:type="continuationSeparator" w:id="0">
    <w:p w14:paraId="4FE810F7" w14:textId="77777777" w:rsidR="007E4CDA" w:rsidRDefault="007E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Roman">
    <w:altName w:val="Times New Roman"/>
    <w:charset w:val="00"/>
    <w:family w:val="auto"/>
    <w:pitch w:val="variable"/>
    <w:sig w:usb0="E00002FF" w:usb1="5000205A" w:usb2="00000000" w:usb3="00000000" w:csb0="0000019F" w:csb1="00000000"/>
  </w:font>
  <w:font w:name="Times">
    <w:panose1 w:val="02020603050405020304"/>
    <w:charset w:val="00"/>
    <w:family w:val="auto"/>
    <w:pitch w:val="variable"/>
    <w:sig w:usb0="E00002FF" w:usb1="5000205A"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3192"/>
      <w:gridCol w:w="3192"/>
      <w:gridCol w:w="3192"/>
    </w:tblGrid>
    <w:tr w:rsidR="00235681" w14:paraId="46DB3C4C" w14:textId="77777777">
      <w:trPr>
        <w:jc w:val="center"/>
      </w:trPr>
      <w:tc>
        <w:tcPr>
          <w:tcW w:w="3192" w:type="dxa"/>
          <w:vAlign w:val="center"/>
        </w:tcPr>
        <w:p w14:paraId="6F0F15F3" w14:textId="77777777" w:rsidR="00235681" w:rsidRDefault="00235681">
          <w:pPr>
            <w:rPr>
              <w:sz w:val="16"/>
            </w:rPr>
          </w:pPr>
        </w:p>
      </w:tc>
      <w:tc>
        <w:tcPr>
          <w:tcW w:w="3192" w:type="dxa"/>
        </w:tcPr>
        <w:p w14:paraId="30CA069C" w14:textId="2E1DA801" w:rsidR="00235681" w:rsidRDefault="00235681">
          <w:pPr>
            <w:jc w:val="center"/>
          </w:pPr>
          <w:r>
            <w:t xml:space="preserve">- </w:t>
          </w:r>
          <w:r>
            <w:fldChar w:fldCharType="begin"/>
          </w:r>
          <w:r>
            <w:instrText xml:space="preserve"> PAGE </w:instrText>
          </w:r>
          <w:r>
            <w:fldChar w:fldCharType="separate"/>
          </w:r>
          <w:r w:rsidR="0003577E">
            <w:rPr>
              <w:noProof/>
            </w:rPr>
            <w:t>4</w:t>
          </w:r>
          <w:r>
            <w:fldChar w:fldCharType="end"/>
          </w:r>
          <w:r>
            <w:t xml:space="preserve"> -</w:t>
          </w:r>
        </w:p>
      </w:tc>
      <w:tc>
        <w:tcPr>
          <w:tcW w:w="3192" w:type="dxa"/>
          <w:vAlign w:val="center"/>
        </w:tcPr>
        <w:p w14:paraId="516C67E9" w14:textId="77777777" w:rsidR="00235681" w:rsidRDefault="00235681">
          <w:pPr>
            <w:jc w:val="right"/>
            <w:rPr>
              <w:sz w:val="16"/>
            </w:rPr>
          </w:pPr>
        </w:p>
      </w:tc>
    </w:tr>
  </w:tbl>
  <w:p w14:paraId="63A5039A" w14:textId="77777777" w:rsidR="00235681" w:rsidRDefault="0023568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9BB3" w14:textId="77777777" w:rsidR="00235681" w:rsidRDefault="00235681">
    <w:pPr>
      <w:spacing w:before="140" w:line="100" w:lineRule="exact"/>
      <w:rPr>
        <w:sz w:val="10"/>
      </w:rPr>
    </w:pPr>
  </w:p>
  <w:p w14:paraId="6450D307" w14:textId="77777777" w:rsidR="00235681" w:rsidRDefault="00235681">
    <w:pPr>
      <w:tabs>
        <w:tab w:val="left" w:pos="1452"/>
        <w:tab w:val="left" w:pos="2244"/>
        <w:tab w:val="left" w:pos="2904"/>
        <w:tab w:val="left" w:pos="5148"/>
        <w:tab w:val="left" w:pos="7260"/>
      </w:tabs>
      <w:jc w:val="both"/>
      <w:rPr>
        <w:spacing w:val="-3"/>
      </w:rPr>
    </w:pPr>
  </w:p>
  <w:p w14:paraId="0BBCABCE" w14:textId="77777777" w:rsidR="00235681" w:rsidRDefault="00235681">
    <w:pPr>
      <w:tabs>
        <w:tab w:val="left" w:pos="1452"/>
        <w:tab w:val="left" w:pos="2244"/>
        <w:tab w:val="left" w:pos="2904"/>
        <w:tab w:val="left" w:pos="5148"/>
        <w:tab w:val="left" w:pos="7260"/>
      </w:tabs>
      <w:jc w:val="both"/>
      <w:rPr>
        <w:spacing w:val="-3"/>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3B75AEDD" w14:textId="4474807F" w:rsidR="00B92678" w:rsidRDefault="00B92678">
        <w:pPr>
          <w:pStyle w:val="Footer"/>
          <w:jc w:val="center"/>
        </w:pPr>
        <w:r>
          <w:fldChar w:fldCharType="begin"/>
        </w:r>
        <w:r>
          <w:instrText xml:space="preserve"> PAGE   \* MERGEFORMAT </w:instrText>
        </w:r>
        <w:r>
          <w:fldChar w:fldCharType="separate"/>
        </w:r>
        <w:r w:rsidR="0003577E">
          <w:rPr>
            <w:noProof/>
          </w:rPr>
          <w:t>13</w:t>
        </w:r>
        <w:r>
          <w:rPr>
            <w:noProof/>
          </w:rPr>
          <w:fldChar w:fldCharType="end"/>
        </w:r>
      </w:p>
    </w:sdtContent>
  </w:sdt>
  <w:p w14:paraId="2CC2151A" w14:textId="77777777" w:rsidR="00B92678" w:rsidRDefault="00B92678"/>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005A3C86" w14:textId="77777777" w:rsidR="00B92678" w:rsidRDefault="00B9267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0D07E81" w14:textId="77777777" w:rsidR="00B92678" w:rsidRDefault="00B9267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492207"/>
      <w:docPartObj>
        <w:docPartGallery w:val="Page Numbers (Bottom of Page)"/>
        <w:docPartUnique/>
      </w:docPartObj>
    </w:sdtPr>
    <w:sdtEndPr>
      <w:rPr>
        <w:noProof/>
      </w:rPr>
    </w:sdtEndPr>
    <w:sdtContent>
      <w:p w14:paraId="313AC072" w14:textId="661CA5E4" w:rsidR="006C109F" w:rsidRDefault="006C109F">
        <w:pPr>
          <w:pStyle w:val="Footer"/>
          <w:jc w:val="center"/>
        </w:pPr>
        <w:r>
          <w:fldChar w:fldCharType="begin"/>
        </w:r>
        <w:r>
          <w:instrText xml:space="preserve"> PAGE   \* MERGEFORMAT </w:instrText>
        </w:r>
        <w:r>
          <w:fldChar w:fldCharType="separate"/>
        </w:r>
        <w:r w:rsidR="0003577E">
          <w:rPr>
            <w:noProof/>
          </w:rPr>
          <w:t>16</w:t>
        </w:r>
        <w:r>
          <w:rPr>
            <w:noProof/>
          </w:rPr>
          <w:fldChar w:fldCharType="end"/>
        </w:r>
      </w:p>
    </w:sdtContent>
  </w:sdt>
  <w:p w14:paraId="35F59AB9" w14:textId="77777777" w:rsidR="006C109F" w:rsidRDefault="006C109F"/>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FCDDF" w14:textId="77777777" w:rsidR="006C109F" w:rsidRDefault="006C109F">
    <w:pPr>
      <w:spacing w:before="140" w:line="100" w:lineRule="exact"/>
      <w:rPr>
        <w:sz w:val="10"/>
      </w:rPr>
    </w:pPr>
  </w:p>
  <w:p w14:paraId="4BC99850" w14:textId="77777777" w:rsidR="006C109F" w:rsidRDefault="006C109F">
    <w:pPr>
      <w:tabs>
        <w:tab w:val="left" w:pos="1452"/>
        <w:tab w:val="left" w:pos="2244"/>
        <w:tab w:val="left" w:pos="2904"/>
        <w:tab w:val="left" w:pos="5148"/>
        <w:tab w:val="left" w:pos="7260"/>
      </w:tabs>
      <w:jc w:val="both"/>
      <w:rPr>
        <w:spacing w:val="-3"/>
      </w:rPr>
    </w:pPr>
  </w:p>
  <w:p w14:paraId="0FE506AA" w14:textId="77777777" w:rsidR="006C109F" w:rsidRDefault="006C109F">
    <w:pPr>
      <w:tabs>
        <w:tab w:val="left" w:pos="1452"/>
        <w:tab w:val="left" w:pos="2244"/>
        <w:tab w:val="left" w:pos="2904"/>
        <w:tab w:val="left" w:pos="5148"/>
        <w:tab w:val="left" w:pos="7260"/>
      </w:tabs>
      <w:jc w:val="both"/>
      <w:rPr>
        <w:spacing w:val="-3"/>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DA1CF" w14:textId="77777777" w:rsidR="00FB2BE7" w:rsidRDefault="00A3568C" w:rsidP="00724F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152D35" w14:textId="77777777" w:rsidR="00FB2BE7" w:rsidRDefault="0003577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AAD10" w14:textId="7D21973A" w:rsidR="00FB2BE7" w:rsidRDefault="00A3568C">
    <w:pPr>
      <w:pStyle w:val="Footer"/>
      <w:jc w:val="center"/>
    </w:pPr>
    <w:r>
      <w:fldChar w:fldCharType="begin"/>
    </w:r>
    <w:r>
      <w:instrText xml:space="preserve"> PAGE   \* MERGEFORMAT </w:instrText>
    </w:r>
    <w:r>
      <w:fldChar w:fldCharType="separate"/>
    </w:r>
    <w:r w:rsidR="0040421A">
      <w:rPr>
        <w:noProof/>
      </w:rPr>
      <w:t>5</w:t>
    </w:r>
    <w:r>
      <w:rPr>
        <w:noProof/>
      </w:rPr>
      <w:fldChar w:fldCharType="end"/>
    </w:r>
  </w:p>
  <w:p w14:paraId="506E0911" w14:textId="77777777" w:rsidR="00FB2BE7" w:rsidRDefault="00035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AC0C8" w14:textId="77777777" w:rsidR="007E4CDA" w:rsidRDefault="007E4CDA">
      <w:r>
        <w:separator/>
      </w:r>
    </w:p>
  </w:footnote>
  <w:footnote w:type="continuationSeparator" w:id="0">
    <w:p w14:paraId="22A0C069" w14:textId="77777777" w:rsidR="007E4CDA" w:rsidRDefault="007E4CDA">
      <w:r>
        <w:continuationSeparator/>
      </w:r>
    </w:p>
  </w:footnote>
  <w:footnote w:type="continuationNotice" w:id="1">
    <w:p w14:paraId="4C133B0C" w14:textId="77777777" w:rsidR="007E4CDA" w:rsidRDefault="007E4CD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2A896" w14:textId="77777777" w:rsidR="006C109F" w:rsidRDefault="006C1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157A"/>
    <w:multiLevelType w:val="hybridMultilevel"/>
    <w:tmpl w:val="7C8EC7A6"/>
    <w:lvl w:ilvl="0" w:tplc="63BEF19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607354"/>
    <w:multiLevelType w:val="hybridMultilevel"/>
    <w:tmpl w:val="8A4E472C"/>
    <w:lvl w:ilvl="0" w:tplc="0D4428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373260"/>
    <w:multiLevelType w:val="hybridMultilevel"/>
    <w:tmpl w:val="2A080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886EAA"/>
    <w:multiLevelType w:val="hybridMultilevel"/>
    <w:tmpl w:val="39828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B6FEE"/>
    <w:multiLevelType w:val="hybridMultilevel"/>
    <w:tmpl w:val="A53468AC"/>
    <w:lvl w:ilvl="0" w:tplc="172C6552">
      <w:start w:val="2"/>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1E7273"/>
    <w:multiLevelType w:val="hybridMultilevel"/>
    <w:tmpl w:val="0FC2FD92"/>
    <w:lvl w:ilvl="0" w:tplc="D40EA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420660"/>
    <w:multiLevelType w:val="hybridMultilevel"/>
    <w:tmpl w:val="5FCEDF52"/>
    <w:lvl w:ilvl="0" w:tplc="D6BEC7D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5101DA"/>
    <w:multiLevelType w:val="multilevel"/>
    <w:tmpl w:val="BCF6C6B6"/>
    <w:lvl w:ilvl="0">
      <w:start w:val="1"/>
      <w:numFmt w:val="decimal"/>
      <w:lvlText w:val="%1."/>
      <w:lvlJc w:val="left"/>
      <w:pPr>
        <w:ind w:left="1080" w:hanging="360"/>
      </w:pPr>
      <w:rPr>
        <w:u w:val="single"/>
      </w:r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8" w15:restartNumberingAfterBreak="0">
    <w:nsid w:val="2FF33F38"/>
    <w:multiLevelType w:val="hybridMultilevel"/>
    <w:tmpl w:val="80629092"/>
    <w:lvl w:ilvl="0" w:tplc="C5968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453A62"/>
    <w:multiLevelType w:val="hybridMultilevel"/>
    <w:tmpl w:val="9D8A317E"/>
    <w:numStyleLink w:val="ImportedStyle1"/>
  </w:abstractNum>
  <w:abstractNum w:abstractNumId="10" w15:restartNumberingAfterBreak="0">
    <w:nsid w:val="378E7084"/>
    <w:multiLevelType w:val="hybridMultilevel"/>
    <w:tmpl w:val="0C7E8472"/>
    <w:lvl w:ilvl="0" w:tplc="9580EC96">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B37B60"/>
    <w:multiLevelType w:val="hybridMultilevel"/>
    <w:tmpl w:val="1870C15E"/>
    <w:lvl w:ilvl="0" w:tplc="50FC43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C055A"/>
    <w:multiLevelType w:val="hybridMultilevel"/>
    <w:tmpl w:val="94A4F6A0"/>
    <w:lvl w:ilvl="0" w:tplc="6134A39E">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57B523F"/>
    <w:multiLevelType w:val="hybridMultilevel"/>
    <w:tmpl w:val="0C465C64"/>
    <w:lvl w:ilvl="0" w:tplc="395CE4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DD54FE"/>
    <w:multiLevelType w:val="hybridMultilevel"/>
    <w:tmpl w:val="9D8A317E"/>
    <w:styleLink w:val="ImportedStyle1"/>
    <w:lvl w:ilvl="0" w:tplc="3694321A">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88C6C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4958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D4DF68">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5E78D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10512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BEB472">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6ADB0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1C609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9F56D74"/>
    <w:multiLevelType w:val="hybridMultilevel"/>
    <w:tmpl w:val="78EEDF00"/>
    <w:lvl w:ilvl="0" w:tplc="2E26B6AC">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FA1732"/>
    <w:multiLevelType w:val="hybridMultilevel"/>
    <w:tmpl w:val="2132DEE8"/>
    <w:lvl w:ilvl="0" w:tplc="FBE41938">
      <w:start w:val="1"/>
      <w:numFmt w:val="decimal"/>
      <w:lvlText w:val="%1."/>
      <w:lvlJc w:val="left"/>
      <w:pPr>
        <w:ind w:left="2430" w:hanging="360"/>
      </w:pPr>
      <w:rPr>
        <w:u w:val="single"/>
      </w:r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start w:val="1"/>
      <w:numFmt w:val="lowerLetter"/>
      <w:lvlText w:val="%5."/>
      <w:lvlJc w:val="left"/>
      <w:pPr>
        <w:ind w:left="5310" w:hanging="360"/>
      </w:pPr>
    </w:lvl>
    <w:lvl w:ilvl="5" w:tplc="0409001B">
      <w:start w:val="1"/>
      <w:numFmt w:val="lowerRoman"/>
      <w:lvlText w:val="%6."/>
      <w:lvlJc w:val="right"/>
      <w:pPr>
        <w:ind w:left="6030" w:hanging="180"/>
      </w:pPr>
    </w:lvl>
    <w:lvl w:ilvl="6" w:tplc="0409000F">
      <w:start w:val="1"/>
      <w:numFmt w:val="decimal"/>
      <w:lvlText w:val="%7."/>
      <w:lvlJc w:val="left"/>
      <w:pPr>
        <w:ind w:left="6750" w:hanging="360"/>
      </w:pPr>
    </w:lvl>
    <w:lvl w:ilvl="7" w:tplc="04090019">
      <w:start w:val="1"/>
      <w:numFmt w:val="lowerLetter"/>
      <w:lvlText w:val="%8."/>
      <w:lvlJc w:val="left"/>
      <w:pPr>
        <w:ind w:left="7470" w:hanging="360"/>
      </w:pPr>
    </w:lvl>
    <w:lvl w:ilvl="8" w:tplc="0409001B">
      <w:start w:val="1"/>
      <w:numFmt w:val="lowerRoman"/>
      <w:lvlText w:val="%9."/>
      <w:lvlJc w:val="right"/>
      <w:pPr>
        <w:ind w:left="8190" w:hanging="180"/>
      </w:pPr>
    </w:lvl>
  </w:abstractNum>
  <w:abstractNum w:abstractNumId="17" w15:restartNumberingAfterBreak="0">
    <w:nsid w:val="60DD4046"/>
    <w:multiLevelType w:val="hybridMultilevel"/>
    <w:tmpl w:val="4A7038AA"/>
    <w:lvl w:ilvl="0" w:tplc="28407D3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67777BFB"/>
    <w:multiLevelType w:val="hybridMultilevel"/>
    <w:tmpl w:val="7AF448B8"/>
    <w:lvl w:ilvl="0" w:tplc="6652F7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9BF10B3"/>
    <w:multiLevelType w:val="hybridMultilevel"/>
    <w:tmpl w:val="1B84F8CE"/>
    <w:lvl w:ilvl="0" w:tplc="E6A6EBE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423714"/>
    <w:multiLevelType w:val="hybridMultilevel"/>
    <w:tmpl w:val="43AA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3A454D"/>
    <w:multiLevelType w:val="hybridMultilevel"/>
    <w:tmpl w:val="13200CEC"/>
    <w:lvl w:ilvl="0" w:tplc="9D06A03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13"/>
  </w:num>
  <w:num w:numId="4">
    <w:abstractNumId w:val="5"/>
  </w:num>
  <w:num w:numId="5">
    <w:abstractNumId w:val="8"/>
  </w:num>
  <w:num w:numId="6">
    <w:abstractNumId w:val="15"/>
  </w:num>
  <w:num w:numId="7">
    <w:abstractNumId w:val="12"/>
  </w:num>
  <w:num w:numId="8">
    <w:abstractNumId w:val="4"/>
  </w:num>
  <w:num w:numId="9">
    <w:abstractNumId w:val="2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7"/>
  </w:num>
  <w:num w:numId="14">
    <w:abstractNumId w:val="10"/>
  </w:num>
  <w:num w:numId="15">
    <w:abstractNumId w:val="11"/>
  </w:num>
  <w:num w:numId="16">
    <w:abstractNumId w:val="0"/>
  </w:num>
  <w:num w:numId="17">
    <w:abstractNumId w:val="7"/>
  </w:num>
  <w:num w:numId="18">
    <w:abstractNumId w:val="1"/>
  </w:num>
  <w:num w:numId="19">
    <w:abstractNumId w:val="20"/>
  </w:num>
  <w:num w:numId="20">
    <w:abstractNumId w:val="3"/>
  </w:num>
  <w:num w:numId="21">
    <w:abstractNumId w:val="19"/>
  </w:num>
  <w:num w:numId="22">
    <w:abstractNumId w:val="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7E2F965-AA68-40BE-B5CF-B802A8B89539}"/>
    <w:docVar w:name="dgnword-eventsink" w:val="206105632"/>
  </w:docVars>
  <w:rsids>
    <w:rsidRoot w:val="002C4D2E"/>
    <w:rsid w:val="0003577E"/>
    <w:rsid w:val="00042DB2"/>
    <w:rsid w:val="00053C2F"/>
    <w:rsid w:val="00070D46"/>
    <w:rsid w:val="00074D15"/>
    <w:rsid w:val="00080852"/>
    <w:rsid w:val="00085CC9"/>
    <w:rsid w:val="000A0332"/>
    <w:rsid w:val="000A38F9"/>
    <w:rsid w:val="000D14E6"/>
    <w:rsid w:val="000D4F4C"/>
    <w:rsid w:val="000D6764"/>
    <w:rsid w:val="000F2C36"/>
    <w:rsid w:val="0011466D"/>
    <w:rsid w:val="0012634B"/>
    <w:rsid w:val="001278B1"/>
    <w:rsid w:val="00127C96"/>
    <w:rsid w:val="0014112F"/>
    <w:rsid w:val="00142E13"/>
    <w:rsid w:val="0017372B"/>
    <w:rsid w:val="0019395F"/>
    <w:rsid w:val="001A40F5"/>
    <w:rsid w:val="001B5556"/>
    <w:rsid w:val="001B61B1"/>
    <w:rsid w:val="001B774D"/>
    <w:rsid w:val="001D196D"/>
    <w:rsid w:val="001D1DA0"/>
    <w:rsid w:val="001E0979"/>
    <w:rsid w:val="001E0D31"/>
    <w:rsid w:val="001E6E7D"/>
    <w:rsid w:val="001F46A3"/>
    <w:rsid w:val="00212B92"/>
    <w:rsid w:val="0021332D"/>
    <w:rsid w:val="00235681"/>
    <w:rsid w:val="00236E12"/>
    <w:rsid w:val="0025785A"/>
    <w:rsid w:val="0027079B"/>
    <w:rsid w:val="00272DE1"/>
    <w:rsid w:val="00273D50"/>
    <w:rsid w:val="00276DEF"/>
    <w:rsid w:val="00284BF9"/>
    <w:rsid w:val="00290DDB"/>
    <w:rsid w:val="00292093"/>
    <w:rsid w:val="00295860"/>
    <w:rsid w:val="00296946"/>
    <w:rsid w:val="002C2733"/>
    <w:rsid w:val="002C4D2E"/>
    <w:rsid w:val="002D3667"/>
    <w:rsid w:val="002E2936"/>
    <w:rsid w:val="002E2AA5"/>
    <w:rsid w:val="002E3638"/>
    <w:rsid w:val="002F6EFF"/>
    <w:rsid w:val="00304B41"/>
    <w:rsid w:val="00312368"/>
    <w:rsid w:val="003166B8"/>
    <w:rsid w:val="00317A21"/>
    <w:rsid w:val="0033238F"/>
    <w:rsid w:val="00353616"/>
    <w:rsid w:val="0035565C"/>
    <w:rsid w:val="003773B0"/>
    <w:rsid w:val="00380028"/>
    <w:rsid w:val="00384340"/>
    <w:rsid w:val="0038546C"/>
    <w:rsid w:val="0039495A"/>
    <w:rsid w:val="003B5626"/>
    <w:rsid w:val="003E45A5"/>
    <w:rsid w:val="003F51A8"/>
    <w:rsid w:val="003F74F5"/>
    <w:rsid w:val="0040421A"/>
    <w:rsid w:val="004054DC"/>
    <w:rsid w:val="00414592"/>
    <w:rsid w:val="004315A8"/>
    <w:rsid w:val="0043172A"/>
    <w:rsid w:val="0043677C"/>
    <w:rsid w:val="00440B3B"/>
    <w:rsid w:val="004800E6"/>
    <w:rsid w:val="00482BAE"/>
    <w:rsid w:val="00483DF4"/>
    <w:rsid w:val="00493DFC"/>
    <w:rsid w:val="004960DE"/>
    <w:rsid w:val="004A0066"/>
    <w:rsid w:val="004C3F20"/>
    <w:rsid w:val="004C7F04"/>
    <w:rsid w:val="004D24E5"/>
    <w:rsid w:val="004D5FEF"/>
    <w:rsid w:val="004E0253"/>
    <w:rsid w:val="005157A8"/>
    <w:rsid w:val="005158E6"/>
    <w:rsid w:val="00531C14"/>
    <w:rsid w:val="00533211"/>
    <w:rsid w:val="005544A1"/>
    <w:rsid w:val="00575234"/>
    <w:rsid w:val="0057767F"/>
    <w:rsid w:val="005813A9"/>
    <w:rsid w:val="005833AF"/>
    <w:rsid w:val="005C0A1B"/>
    <w:rsid w:val="005E3358"/>
    <w:rsid w:val="005E55EC"/>
    <w:rsid w:val="005E5954"/>
    <w:rsid w:val="005F0883"/>
    <w:rsid w:val="005F268B"/>
    <w:rsid w:val="005F6479"/>
    <w:rsid w:val="00614A83"/>
    <w:rsid w:val="00617486"/>
    <w:rsid w:val="00626E82"/>
    <w:rsid w:val="006353A5"/>
    <w:rsid w:val="00637160"/>
    <w:rsid w:val="006455FE"/>
    <w:rsid w:val="00647EBC"/>
    <w:rsid w:val="00655BCD"/>
    <w:rsid w:val="00677452"/>
    <w:rsid w:val="00683B55"/>
    <w:rsid w:val="00695797"/>
    <w:rsid w:val="006A0271"/>
    <w:rsid w:val="006B3A09"/>
    <w:rsid w:val="006C109F"/>
    <w:rsid w:val="006E4819"/>
    <w:rsid w:val="006F4783"/>
    <w:rsid w:val="0070046E"/>
    <w:rsid w:val="007138BD"/>
    <w:rsid w:val="00714BD4"/>
    <w:rsid w:val="0072483D"/>
    <w:rsid w:val="00733605"/>
    <w:rsid w:val="00741077"/>
    <w:rsid w:val="0074715C"/>
    <w:rsid w:val="00747FF5"/>
    <w:rsid w:val="00751346"/>
    <w:rsid w:val="00765210"/>
    <w:rsid w:val="00790CD0"/>
    <w:rsid w:val="007A670C"/>
    <w:rsid w:val="007A7256"/>
    <w:rsid w:val="007B1C01"/>
    <w:rsid w:val="007B59C2"/>
    <w:rsid w:val="007C3335"/>
    <w:rsid w:val="007D6AA5"/>
    <w:rsid w:val="007E3547"/>
    <w:rsid w:val="007E4CDA"/>
    <w:rsid w:val="007E63BB"/>
    <w:rsid w:val="007F0EDD"/>
    <w:rsid w:val="0080767E"/>
    <w:rsid w:val="0081667C"/>
    <w:rsid w:val="0083167D"/>
    <w:rsid w:val="008521A4"/>
    <w:rsid w:val="008A1F22"/>
    <w:rsid w:val="008B6FB8"/>
    <w:rsid w:val="008E637C"/>
    <w:rsid w:val="00905F85"/>
    <w:rsid w:val="009231C0"/>
    <w:rsid w:val="0094660D"/>
    <w:rsid w:val="00951B26"/>
    <w:rsid w:val="009523C1"/>
    <w:rsid w:val="00954BB8"/>
    <w:rsid w:val="00955AF6"/>
    <w:rsid w:val="00964E95"/>
    <w:rsid w:val="0097345D"/>
    <w:rsid w:val="00975B17"/>
    <w:rsid w:val="00981999"/>
    <w:rsid w:val="00986374"/>
    <w:rsid w:val="009B058F"/>
    <w:rsid w:val="009B6639"/>
    <w:rsid w:val="009B7243"/>
    <w:rsid w:val="009C6E45"/>
    <w:rsid w:val="009D0F3B"/>
    <w:rsid w:val="009F3863"/>
    <w:rsid w:val="009F3D9C"/>
    <w:rsid w:val="00A3568C"/>
    <w:rsid w:val="00A405D0"/>
    <w:rsid w:val="00A73241"/>
    <w:rsid w:val="00A803D4"/>
    <w:rsid w:val="00A822F8"/>
    <w:rsid w:val="00A8323E"/>
    <w:rsid w:val="00A869F3"/>
    <w:rsid w:val="00AA17FC"/>
    <w:rsid w:val="00AA3349"/>
    <w:rsid w:val="00AA671D"/>
    <w:rsid w:val="00AA78F5"/>
    <w:rsid w:val="00AC6031"/>
    <w:rsid w:val="00AD7572"/>
    <w:rsid w:val="00AE012D"/>
    <w:rsid w:val="00AE19F7"/>
    <w:rsid w:val="00AF0162"/>
    <w:rsid w:val="00B2295F"/>
    <w:rsid w:val="00B376E8"/>
    <w:rsid w:val="00B57FA9"/>
    <w:rsid w:val="00B756E7"/>
    <w:rsid w:val="00B815FE"/>
    <w:rsid w:val="00B84C9C"/>
    <w:rsid w:val="00B87F81"/>
    <w:rsid w:val="00B92678"/>
    <w:rsid w:val="00BC2826"/>
    <w:rsid w:val="00BC407C"/>
    <w:rsid w:val="00BD1477"/>
    <w:rsid w:val="00BD2C8C"/>
    <w:rsid w:val="00BD6CFF"/>
    <w:rsid w:val="00BE284E"/>
    <w:rsid w:val="00BE70E7"/>
    <w:rsid w:val="00BF0ED9"/>
    <w:rsid w:val="00C0421D"/>
    <w:rsid w:val="00C07F11"/>
    <w:rsid w:val="00C3571F"/>
    <w:rsid w:val="00C44E48"/>
    <w:rsid w:val="00C47749"/>
    <w:rsid w:val="00C64923"/>
    <w:rsid w:val="00C7629B"/>
    <w:rsid w:val="00C97F0F"/>
    <w:rsid w:val="00CA04EF"/>
    <w:rsid w:val="00CD0B32"/>
    <w:rsid w:val="00CE4FD6"/>
    <w:rsid w:val="00CE521C"/>
    <w:rsid w:val="00D162DD"/>
    <w:rsid w:val="00D34AE1"/>
    <w:rsid w:val="00D352A2"/>
    <w:rsid w:val="00D45E35"/>
    <w:rsid w:val="00D54E49"/>
    <w:rsid w:val="00D67377"/>
    <w:rsid w:val="00D74C0B"/>
    <w:rsid w:val="00D83F2D"/>
    <w:rsid w:val="00D95088"/>
    <w:rsid w:val="00D96D4E"/>
    <w:rsid w:val="00DA28B1"/>
    <w:rsid w:val="00DB26F3"/>
    <w:rsid w:val="00DD3AD4"/>
    <w:rsid w:val="00DE5252"/>
    <w:rsid w:val="00E127BD"/>
    <w:rsid w:val="00E27DA0"/>
    <w:rsid w:val="00E33D3D"/>
    <w:rsid w:val="00E479A6"/>
    <w:rsid w:val="00E54512"/>
    <w:rsid w:val="00E64224"/>
    <w:rsid w:val="00E6659C"/>
    <w:rsid w:val="00E6750E"/>
    <w:rsid w:val="00E806E9"/>
    <w:rsid w:val="00E93139"/>
    <w:rsid w:val="00EA73F0"/>
    <w:rsid w:val="00EB5A6D"/>
    <w:rsid w:val="00EC2B8F"/>
    <w:rsid w:val="00EC4E63"/>
    <w:rsid w:val="00ED135D"/>
    <w:rsid w:val="00ED4133"/>
    <w:rsid w:val="00ED5B75"/>
    <w:rsid w:val="00ED7A4C"/>
    <w:rsid w:val="00EE37C7"/>
    <w:rsid w:val="00EE3C94"/>
    <w:rsid w:val="00F02D8E"/>
    <w:rsid w:val="00F1497A"/>
    <w:rsid w:val="00F16B6D"/>
    <w:rsid w:val="00F206D3"/>
    <w:rsid w:val="00F349C6"/>
    <w:rsid w:val="00F43975"/>
    <w:rsid w:val="00F60D91"/>
    <w:rsid w:val="00F662FF"/>
    <w:rsid w:val="00F66473"/>
    <w:rsid w:val="00F71423"/>
    <w:rsid w:val="00F9093E"/>
    <w:rsid w:val="00F931AA"/>
    <w:rsid w:val="00FA5B4F"/>
    <w:rsid w:val="00FC5B69"/>
    <w:rsid w:val="00FE1CC6"/>
    <w:rsid w:val="00FE74D4"/>
    <w:rsid w:val="00FF0C55"/>
    <w:rsid w:val="00FF3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5DB3B"/>
  <w15:docId w15:val="{7ABD86CC-E2DB-4D14-BF59-D4BC479F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BD1477"/>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styleId="Footer">
    <w:name w:val="footer"/>
    <w:link w:val="FooterChar"/>
    <w:uiPriority w:val="99"/>
    <w:pPr>
      <w:pBdr>
        <w:top w:val="nil"/>
        <w:left w:val="nil"/>
        <w:bottom w:val="nil"/>
        <w:right w:val="nil"/>
        <w:between w:val="nil"/>
        <w:bar w:val="nil"/>
      </w:pBdr>
      <w:tabs>
        <w:tab w:val="center" w:pos="4680"/>
        <w:tab w:val="right" w:pos="9360"/>
      </w:tabs>
    </w:pPr>
    <w:rPr>
      <w:rFonts w:ascii="Calibri" w:eastAsia="Calibri" w:hAnsi="Calibri" w:cs="Calibri"/>
      <w:color w:val="000000"/>
      <w:sz w:val="22"/>
      <w:szCs w:val="22"/>
      <w:u w:color="000000"/>
      <w:bdr w:val="nil"/>
    </w:rPr>
  </w:style>
  <w:style w:type="paragraph" w:customStyle="1" w:styleId="Body">
    <w:name w:val="Body"/>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FootnoteText">
    <w:name w:val="footnote text"/>
    <w:pPr>
      <w:pBdr>
        <w:top w:val="nil"/>
        <w:left w:val="nil"/>
        <w:bottom w:val="nil"/>
        <w:right w:val="nil"/>
        <w:between w:val="nil"/>
        <w:bar w:val="nil"/>
      </w:pBdr>
    </w:pPr>
    <w:rPr>
      <w:rFonts w:eastAsia="Times New Roman"/>
      <w:color w:val="000000"/>
      <w:u w:color="000000"/>
      <w:bdr w:val="nil"/>
    </w:rPr>
  </w:style>
  <w:style w:type="character" w:customStyle="1" w:styleId="Hyperlink0">
    <w:name w:val="Hyperlink.0"/>
    <w:rPr>
      <w:color w:val="0000FF"/>
      <w:u w:val="single" w:color="0000FF"/>
    </w:rPr>
  </w:style>
  <w:style w:type="paragraph" w:customStyle="1" w:styleId="Default">
    <w:name w:val="Default"/>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ListParagraph">
    <w:name w:val="List Paragraph"/>
    <w:uiPriority w:val="34"/>
    <w:qFormat/>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numbering" w:customStyle="1" w:styleId="ImportedStyle1">
    <w:name w:val="Imported Style 1"/>
    <w:pPr>
      <w:numPr>
        <w:numId w:val="1"/>
      </w:numPr>
    </w:pPr>
  </w:style>
  <w:style w:type="paragraph" w:styleId="NoSpacing">
    <w:name w:val="No Spacing"/>
    <w:uiPriority w:val="1"/>
    <w:qFormat/>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Hyperlink1">
    <w:name w:val="Hyperlink.1"/>
    <w:rPr>
      <w:rFonts w:ascii="Calibri Light" w:eastAsia="Calibri Light" w:hAnsi="Calibri Light" w:cs="Calibri Light"/>
      <w:color w:val="0000FF"/>
      <w:u w:val="single" w:color="0000FF"/>
    </w:rPr>
  </w:style>
  <w:style w:type="character" w:customStyle="1" w:styleId="Hyperlink2">
    <w:name w:val="Hyperlink.2"/>
    <w:rPr>
      <w:color w:val="0000FF"/>
      <w:sz w:val="18"/>
      <w:szCs w:val="18"/>
      <w:u w:val="single" w:color="0000FF"/>
    </w:rPr>
  </w:style>
  <w:style w:type="paragraph" w:styleId="HTMLPreformatted">
    <w:name w:val="HTML Preformatted"/>
    <w:link w:val="HTMLPreformattedChar"/>
    <w:uiPriority w:val="99"/>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bdr w:val="nil"/>
    </w:rPr>
  </w:style>
  <w:style w:type="paragraph" w:customStyle="1" w:styleId="BodyA">
    <w:name w:val="Body A"/>
    <w:pPr>
      <w:pBdr>
        <w:top w:val="nil"/>
        <w:left w:val="nil"/>
        <w:bottom w:val="nil"/>
        <w:right w:val="nil"/>
        <w:between w:val="nil"/>
        <w:bar w:val="nil"/>
      </w:pBdr>
      <w:ind w:firstLine="720"/>
    </w:pPr>
    <w:rPr>
      <w:rFonts w:eastAsia="Times New Roman"/>
      <w:color w:val="000000"/>
      <w:sz w:val="24"/>
      <w:szCs w:val="24"/>
      <w:u w:color="000000"/>
      <w:bdr w:val="nil"/>
    </w:rPr>
  </w:style>
  <w:style w:type="paragraph" w:styleId="BodyText">
    <w:name w:val="Body Text"/>
    <w:pPr>
      <w:pBdr>
        <w:top w:val="nil"/>
        <w:left w:val="nil"/>
        <w:bottom w:val="nil"/>
        <w:right w:val="nil"/>
        <w:between w:val="nil"/>
        <w:bar w:val="nil"/>
      </w:pBdr>
      <w:spacing w:line="480" w:lineRule="auto"/>
      <w:ind w:firstLine="720"/>
      <w:jc w:val="both"/>
    </w:pPr>
    <w:rPr>
      <w:rFonts w:cs="Arial Unicode MS"/>
      <w:color w:val="000000"/>
      <w:sz w:val="24"/>
      <w:szCs w:val="24"/>
      <w:u w:color="000000"/>
      <w:bdr w:val="nil"/>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uiPriority w:val="99"/>
    <w:unhideWhenUsed/>
    <w:rPr>
      <w:sz w:val="16"/>
      <w:szCs w:val="16"/>
    </w:rPr>
  </w:style>
  <w:style w:type="paragraph" w:styleId="BalloonText">
    <w:name w:val="Balloon Text"/>
    <w:basedOn w:val="Normal"/>
    <w:link w:val="BalloonTextChar"/>
    <w:uiPriority w:val="99"/>
    <w:semiHidden/>
    <w:unhideWhenUsed/>
    <w:rsid w:val="00E93139"/>
    <w:rPr>
      <w:rFonts w:ascii="Segoe UI" w:hAnsi="Segoe UI" w:cs="Segoe UI"/>
      <w:sz w:val="18"/>
      <w:szCs w:val="18"/>
    </w:rPr>
  </w:style>
  <w:style w:type="character" w:customStyle="1" w:styleId="BalloonTextChar">
    <w:name w:val="Balloon Text Char"/>
    <w:link w:val="BalloonText"/>
    <w:uiPriority w:val="99"/>
    <w:semiHidden/>
    <w:rsid w:val="00E93139"/>
    <w:rPr>
      <w:rFonts w:ascii="Segoe UI" w:hAnsi="Segoe UI" w:cs="Segoe UI"/>
      <w:sz w:val="18"/>
      <w:szCs w:val="18"/>
    </w:rPr>
  </w:style>
  <w:style w:type="character" w:styleId="FootnoteReference">
    <w:name w:val="footnote reference"/>
    <w:semiHidden/>
    <w:unhideWhenUsed/>
    <w:rsid w:val="00E93139"/>
    <w:rPr>
      <w:vertAlign w:val="superscript"/>
    </w:rPr>
  </w:style>
  <w:style w:type="paragraph" w:styleId="NormalWeb">
    <w:name w:val="Normal (Web)"/>
    <w:basedOn w:val="Normal"/>
    <w:uiPriority w:val="99"/>
    <w:unhideWhenUsed/>
    <w:rsid w:val="00F349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Header">
    <w:name w:val="header"/>
    <w:basedOn w:val="Normal"/>
    <w:link w:val="HeaderChar"/>
    <w:uiPriority w:val="99"/>
    <w:unhideWhenUsed/>
    <w:rsid w:val="00975B17"/>
    <w:pPr>
      <w:tabs>
        <w:tab w:val="center" w:pos="4680"/>
        <w:tab w:val="right" w:pos="9360"/>
      </w:tabs>
    </w:pPr>
  </w:style>
  <w:style w:type="character" w:customStyle="1" w:styleId="HeaderChar">
    <w:name w:val="Header Char"/>
    <w:link w:val="Header"/>
    <w:uiPriority w:val="99"/>
    <w:rsid w:val="00975B17"/>
    <w:rPr>
      <w:sz w:val="24"/>
      <w:szCs w:val="24"/>
      <w:bdr w:val="nil"/>
    </w:rPr>
  </w:style>
  <w:style w:type="character" w:customStyle="1" w:styleId="FooterChar">
    <w:name w:val="Footer Char"/>
    <w:link w:val="Footer"/>
    <w:uiPriority w:val="99"/>
    <w:rsid w:val="00975B17"/>
    <w:rPr>
      <w:rFonts w:ascii="Calibri" w:eastAsia="Calibri" w:hAnsi="Calibri" w:cs="Calibri"/>
      <w:color w:val="000000"/>
      <w:sz w:val="22"/>
      <w:szCs w:val="22"/>
      <w:u w:color="000000"/>
      <w:bdr w:val="nil"/>
    </w:rPr>
  </w:style>
  <w:style w:type="character" w:styleId="LineNumber">
    <w:name w:val="line number"/>
    <w:basedOn w:val="DefaultParagraphFont"/>
    <w:uiPriority w:val="99"/>
    <w:semiHidden/>
    <w:unhideWhenUsed/>
    <w:rsid w:val="0081667C"/>
  </w:style>
  <w:style w:type="paragraph" w:customStyle="1" w:styleId="text-preview">
    <w:name w:val="text-preview"/>
    <w:basedOn w:val="Normal"/>
    <w:rsid w:val="00042D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1Char">
    <w:name w:val="Heading 1 Char"/>
    <w:link w:val="Heading1"/>
    <w:uiPriority w:val="9"/>
    <w:rsid w:val="00BD1477"/>
    <w:rPr>
      <w:rFonts w:ascii="Calibri Light" w:eastAsia="Times New Roman" w:hAnsi="Calibri Light" w:cs="Times New Roman"/>
      <w:b/>
      <w:bCs/>
      <w:kern w:val="32"/>
      <w:sz w:val="32"/>
      <w:szCs w:val="32"/>
      <w:bdr w:val="nil"/>
    </w:rPr>
  </w:style>
  <w:style w:type="character" w:styleId="SubtleReference">
    <w:name w:val="Subtle Reference"/>
    <w:uiPriority w:val="31"/>
    <w:qFormat/>
    <w:rsid w:val="00BD1477"/>
    <w:rPr>
      <w:smallCaps/>
      <w:color w:val="5A5A5A"/>
    </w:rPr>
  </w:style>
  <w:style w:type="paragraph" w:styleId="CommentSubject">
    <w:name w:val="annotation subject"/>
    <w:basedOn w:val="CommentText"/>
    <w:next w:val="CommentText"/>
    <w:link w:val="CommentSubjectChar"/>
    <w:uiPriority w:val="99"/>
    <w:semiHidden/>
    <w:unhideWhenUsed/>
    <w:rsid w:val="00BD2C8C"/>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Calibri" w:eastAsia="Calibri" w:hAnsi="Calibri"/>
      <w:b/>
      <w:bCs/>
      <w:bdr w:val="none" w:sz="0" w:space="0" w:color="auto"/>
    </w:rPr>
  </w:style>
  <w:style w:type="character" w:customStyle="1" w:styleId="CommentSubjectChar">
    <w:name w:val="Comment Subject Char"/>
    <w:link w:val="CommentSubject"/>
    <w:uiPriority w:val="99"/>
    <w:semiHidden/>
    <w:rsid w:val="00BD2C8C"/>
    <w:rPr>
      <w:rFonts w:ascii="Calibri" w:eastAsia="Calibri" w:hAnsi="Calibri"/>
      <w:b/>
      <w:bCs/>
    </w:rPr>
  </w:style>
  <w:style w:type="paragraph" w:styleId="Revision">
    <w:name w:val="Revision"/>
    <w:hidden/>
    <w:uiPriority w:val="99"/>
    <w:semiHidden/>
    <w:rsid w:val="00BD2C8C"/>
    <w:rPr>
      <w:rFonts w:ascii="Calibri" w:eastAsia="Calibri" w:hAnsi="Calibri"/>
      <w:sz w:val="22"/>
      <w:szCs w:val="22"/>
    </w:rPr>
  </w:style>
  <w:style w:type="paragraph" w:customStyle="1" w:styleId="DoubleSpaceParagaph">
    <w:name w:val="Double Space Paragaph"/>
    <w:aliases w:val="DS"/>
    <w:basedOn w:val="Normal"/>
    <w:rsid w:val="00BE70E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480" w:lineRule="auto"/>
      <w:ind w:firstLine="1440"/>
      <w:jc w:val="both"/>
    </w:pPr>
    <w:rPr>
      <w:rFonts w:eastAsia="Times New Roman"/>
      <w:szCs w:val="20"/>
      <w:bdr w:val="none" w:sz="0" w:space="0" w:color="auto"/>
    </w:rPr>
  </w:style>
  <w:style w:type="character" w:styleId="FollowedHyperlink">
    <w:name w:val="FollowedHyperlink"/>
    <w:basedOn w:val="DefaultParagraphFont"/>
    <w:uiPriority w:val="99"/>
    <w:semiHidden/>
    <w:unhideWhenUsed/>
    <w:rsid w:val="007A670C"/>
    <w:rPr>
      <w:color w:val="954F72" w:themeColor="followedHyperlink"/>
      <w:u w:val="single"/>
    </w:rPr>
  </w:style>
  <w:style w:type="character" w:customStyle="1" w:styleId="UnresolvedMention1">
    <w:name w:val="Unresolved Mention1"/>
    <w:basedOn w:val="DefaultParagraphFont"/>
    <w:uiPriority w:val="99"/>
    <w:semiHidden/>
    <w:unhideWhenUsed/>
    <w:rsid w:val="00A8323E"/>
    <w:rPr>
      <w:color w:val="605E5C"/>
      <w:shd w:val="clear" w:color="auto" w:fill="E1DFDD"/>
    </w:rPr>
  </w:style>
  <w:style w:type="character" w:customStyle="1" w:styleId="UnresolvedMention2">
    <w:name w:val="Unresolved Mention2"/>
    <w:basedOn w:val="DefaultParagraphFont"/>
    <w:uiPriority w:val="99"/>
    <w:semiHidden/>
    <w:unhideWhenUsed/>
    <w:rsid w:val="00A822F8"/>
    <w:rPr>
      <w:color w:val="605E5C"/>
      <w:shd w:val="clear" w:color="auto" w:fill="E1DFDD"/>
    </w:rPr>
  </w:style>
  <w:style w:type="character" w:customStyle="1" w:styleId="UnresolvedMention3">
    <w:name w:val="Unresolved Mention3"/>
    <w:basedOn w:val="DefaultParagraphFont"/>
    <w:uiPriority w:val="99"/>
    <w:semiHidden/>
    <w:unhideWhenUsed/>
    <w:rsid w:val="002F6EFF"/>
    <w:rPr>
      <w:color w:val="605E5C"/>
      <w:shd w:val="clear" w:color="auto" w:fill="E1DFDD"/>
    </w:rPr>
  </w:style>
  <w:style w:type="character" w:customStyle="1" w:styleId="normaltextrun">
    <w:name w:val="normaltextrun"/>
    <w:basedOn w:val="DefaultParagraphFont"/>
    <w:rsid w:val="000D6764"/>
  </w:style>
  <w:style w:type="character" w:styleId="PageNumber">
    <w:name w:val="page number"/>
    <w:basedOn w:val="DefaultParagraphFont"/>
    <w:rsid w:val="00C07F11"/>
  </w:style>
  <w:style w:type="character" w:customStyle="1" w:styleId="HTMLPreformattedChar">
    <w:name w:val="HTML Preformatted Char"/>
    <w:link w:val="HTMLPreformatted"/>
    <w:uiPriority w:val="99"/>
    <w:rsid w:val="00C07F11"/>
    <w:rPr>
      <w:rFonts w:ascii="Courier New" w:hAnsi="Courier New" w:cs="Arial Unicode MS"/>
      <w:color w:val="000000"/>
      <w:u w:color="000000"/>
      <w:bdr w:val="nil"/>
    </w:rPr>
  </w:style>
  <w:style w:type="character" w:customStyle="1" w:styleId="UnresolvedMention4">
    <w:name w:val="Unresolved Mention4"/>
    <w:basedOn w:val="DefaultParagraphFont"/>
    <w:uiPriority w:val="99"/>
    <w:semiHidden/>
    <w:unhideWhenUsed/>
    <w:rsid w:val="00AC6031"/>
    <w:rPr>
      <w:color w:val="605E5C"/>
      <w:shd w:val="clear" w:color="auto" w:fill="E1DFDD"/>
    </w:rPr>
  </w:style>
  <w:style w:type="character" w:customStyle="1" w:styleId="UnresolvedMention5">
    <w:name w:val="Unresolved Mention5"/>
    <w:basedOn w:val="DefaultParagraphFont"/>
    <w:uiPriority w:val="99"/>
    <w:semiHidden/>
    <w:unhideWhenUsed/>
    <w:rsid w:val="00790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59424">
      <w:bodyDiv w:val="1"/>
      <w:marLeft w:val="0"/>
      <w:marRight w:val="0"/>
      <w:marTop w:val="0"/>
      <w:marBottom w:val="0"/>
      <w:divBdr>
        <w:top w:val="none" w:sz="0" w:space="0" w:color="auto"/>
        <w:left w:val="none" w:sz="0" w:space="0" w:color="auto"/>
        <w:bottom w:val="none" w:sz="0" w:space="0" w:color="auto"/>
        <w:right w:val="none" w:sz="0" w:space="0" w:color="auto"/>
      </w:divBdr>
      <w:divsChild>
        <w:div w:id="34044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600092">
              <w:marLeft w:val="0"/>
              <w:marRight w:val="0"/>
              <w:marTop w:val="0"/>
              <w:marBottom w:val="0"/>
              <w:divBdr>
                <w:top w:val="none" w:sz="0" w:space="0" w:color="auto"/>
                <w:left w:val="none" w:sz="0" w:space="0" w:color="auto"/>
                <w:bottom w:val="none" w:sz="0" w:space="0" w:color="auto"/>
                <w:right w:val="none" w:sz="0" w:space="0" w:color="auto"/>
              </w:divBdr>
              <w:divsChild>
                <w:div w:id="618990759">
                  <w:marLeft w:val="0"/>
                  <w:marRight w:val="0"/>
                  <w:marTop w:val="0"/>
                  <w:marBottom w:val="0"/>
                  <w:divBdr>
                    <w:top w:val="none" w:sz="0" w:space="0" w:color="auto"/>
                    <w:left w:val="none" w:sz="0" w:space="0" w:color="auto"/>
                    <w:bottom w:val="none" w:sz="0" w:space="0" w:color="auto"/>
                    <w:right w:val="none" w:sz="0" w:space="0" w:color="auto"/>
                  </w:divBdr>
                  <w:divsChild>
                    <w:div w:id="1415710978">
                      <w:marLeft w:val="0"/>
                      <w:marRight w:val="0"/>
                      <w:marTop w:val="0"/>
                      <w:marBottom w:val="0"/>
                      <w:divBdr>
                        <w:top w:val="none" w:sz="0" w:space="0" w:color="auto"/>
                        <w:left w:val="none" w:sz="0" w:space="0" w:color="auto"/>
                        <w:bottom w:val="none" w:sz="0" w:space="0" w:color="auto"/>
                        <w:right w:val="none" w:sz="0" w:space="0" w:color="auto"/>
                      </w:divBdr>
                      <w:divsChild>
                        <w:div w:id="281427954">
                          <w:marLeft w:val="0"/>
                          <w:marRight w:val="0"/>
                          <w:marTop w:val="0"/>
                          <w:marBottom w:val="0"/>
                          <w:divBdr>
                            <w:top w:val="none" w:sz="0" w:space="0" w:color="auto"/>
                            <w:left w:val="none" w:sz="0" w:space="0" w:color="auto"/>
                            <w:bottom w:val="none" w:sz="0" w:space="0" w:color="auto"/>
                            <w:right w:val="none" w:sz="0" w:space="0" w:color="auto"/>
                          </w:divBdr>
                          <w:divsChild>
                            <w:div w:id="293484572">
                              <w:marLeft w:val="0"/>
                              <w:marRight w:val="0"/>
                              <w:marTop w:val="0"/>
                              <w:marBottom w:val="0"/>
                              <w:divBdr>
                                <w:top w:val="none" w:sz="0" w:space="0" w:color="auto"/>
                                <w:left w:val="none" w:sz="0" w:space="0" w:color="auto"/>
                                <w:bottom w:val="none" w:sz="0" w:space="0" w:color="auto"/>
                                <w:right w:val="none" w:sz="0" w:space="0" w:color="auto"/>
                              </w:divBdr>
                              <w:divsChild>
                                <w:div w:id="786973427">
                                  <w:marLeft w:val="0"/>
                                  <w:marRight w:val="0"/>
                                  <w:marTop w:val="0"/>
                                  <w:marBottom w:val="0"/>
                                  <w:divBdr>
                                    <w:top w:val="none" w:sz="0" w:space="0" w:color="auto"/>
                                    <w:left w:val="none" w:sz="0" w:space="0" w:color="auto"/>
                                    <w:bottom w:val="none" w:sz="0" w:space="0" w:color="auto"/>
                                    <w:right w:val="none" w:sz="0" w:space="0" w:color="auto"/>
                                  </w:divBdr>
                                  <w:divsChild>
                                    <w:div w:id="1140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875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nyc.gov/3rJetot"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on.nyc.gov/3lI4Brv"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s://on.nyc.gov/3DxK7Yj"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4B794-C963-4DE2-B283-A23894116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2946</Words>
  <Characters>16795</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19702</CharactersWithSpaces>
  <SharedDoc>false</SharedDoc>
  <HLinks>
    <vt:vector size="6" baseType="variant">
      <vt:variant>
        <vt:i4>8192051</vt:i4>
      </vt:variant>
      <vt:variant>
        <vt:i4>0</vt:i4>
      </vt:variant>
      <vt:variant>
        <vt:i4>0</vt:i4>
      </vt:variant>
      <vt:variant>
        <vt:i4>5</vt:i4>
      </vt:variant>
      <vt:variant>
        <vt:lpwstr>https://legistar.council.nyc.gov/MeetingDetail.aspx?ID=619511&amp;GUID=2D15D569-1BFD-439A-90C3-39AE8EEE4A0B&amp;Options=info&amp;Search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Nadia</dc:creator>
  <cp:keywords/>
  <dc:description/>
  <cp:lastModifiedBy>DelFranco, Ruthie</cp:lastModifiedBy>
  <cp:revision>2</cp:revision>
  <cp:lastPrinted>2021-02-10T18:44:00Z</cp:lastPrinted>
  <dcterms:created xsi:type="dcterms:W3CDTF">2021-12-09T02:06:00Z</dcterms:created>
  <dcterms:modified xsi:type="dcterms:W3CDTF">2021-12-09T02:06:00Z</dcterms:modified>
</cp:coreProperties>
</file>