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F328F" w14:textId="77777777" w:rsidR="00567D6C" w:rsidDel="00843BB9" w:rsidRDefault="00567D6C">
      <w:pPr>
        <w:widowControl w:val="0"/>
        <w:pBdr>
          <w:top w:val="nil"/>
          <w:left w:val="nil"/>
          <w:bottom w:val="nil"/>
          <w:right w:val="nil"/>
          <w:between w:val="nil"/>
        </w:pBdr>
        <w:spacing w:line="276" w:lineRule="auto"/>
        <w:jc w:val="left"/>
        <w:rPr>
          <w:rFonts w:ascii="Arial" w:eastAsia="Arial" w:hAnsi="Arial" w:cs="Arial"/>
          <w:color w:val="000000"/>
          <w:sz w:val="22"/>
          <w:szCs w:val="22"/>
        </w:rPr>
      </w:pPr>
      <w:bookmarkStart w:id="0" w:name="_GoBack"/>
      <w:bookmarkEnd w:id="0"/>
    </w:p>
    <w:tbl>
      <w:tblPr>
        <w:tblW w:w="10873" w:type="dxa"/>
        <w:jc w:val="center"/>
        <w:tblLayout w:type="fixed"/>
        <w:tblLook w:val="0600" w:firstRow="0" w:lastRow="0" w:firstColumn="0" w:lastColumn="0" w:noHBand="1" w:noVBand="1"/>
      </w:tblPr>
      <w:tblGrid>
        <w:gridCol w:w="5759"/>
        <w:gridCol w:w="5114"/>
      </w:tblGrid>
      <w:tr w:rsidR="00567D6C" w14:paraId="3EADCB89" w14:textId="77777777" w:rsidTr="00A66AA4">
        <w:trPr>
          <w:trHeight w:val="1715"/>
          <w:jc w:val="center"/>
        </w:trPr>
        <w:tc>
          <w:tcPr>
            <w:tcW w:w="5759" w:type="dxa"/>
            <w:tcBorders>
              <w:bottom w:val="single" w:sz="4" w:space="0" w:color="000000" w:themeColor="text1"/>
            </w:tcBorders>
          </w:tcPr>
          <w:p w14:paraId="4483784F"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014FF59D" wp14:editId="738E3597">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396" t="-970" r="-1396" b="-970"/>
                          <a:stretch>
                            <a:fillRect/>
                          </a:stretch>
                        </pic:blipFill>
                        <pic:spPr>
                          <a:xfrm>
                            <a:off x="0" y="0"/>
                            <a:ext cx="1362075" cy="1371600"/>
                          </a:xfrm>
                          <a:prstGeom prst="rect">
                            <a:avLst/>
                          </a:prstGeom>
                          <a:ln/>
                        </pic:spPr>
                      </pic:pic>
                    </a:graphicData>
                  </a:graphic>
                </wp:inline>
              </w:drawing>
            </w:r>
          </w:p>
        </w:tc>
        <w:tc>
          <w:tcPr>
            <w:tcW w:w="5114" w:type="dxa"/>
            <w:tcBorders>
              <w:bottom w:val="single" w:sz="4" w:space="0" w:color="000000" w:themeColor="text1"/>
            </w:tcBorders>
          </w:tcPr>
          <w:p w14:paraId="02AB38CF" w14:textId="77777777" w:rsidR="00567D6C" w:rsidRDefault="00263651">
            <w:pPr>
              <w:rPr>
                <w:b/>
                <w:smallCaps/>
                <w:sz w:val="22"/>
                <w:szCs w:val="22"/>
              </w:rPr>
            </w:pPr>
            <w:r>
              <w:rPr>
                <w:b/>
                <w:smallCaps/>
                <w:sz w:val="22"/>
                <w:szCs w:val="22"/>
              </w:rPr>
              <w:t>The Council of the City of New York</w:t>
            </w:r>
          </w:p>
          <w:p w14:paraId="7DAF02F6" w14:textId="77777777" w:rsidR="00567D6C" w:rsidRDefault="00263651">
            <w:pPr>
              <w:rPr>
                <w:b/>
                <w:smallCaps/>
                <w:sz w:val="22"/>
                <w:szCs w:val="22"/>
              </w:rPr>
            </w:pPr>
            <w:r>
              <w:rPr>
                <w:b/>
                <w:smallCaps/>
                <w:sz w:val="22"/>
                <w:szCs w:val="22"/>
              </w:rPr>
              <w:t>Finance Division</w:t>
            </w:r>
          </w:p>
          <w:p w14:paraId="3E118630" w14:textId="77777777" w:rsidR="00567D6C" w:rsidRPr="00C22FD1" w:rsidRDefault="00263651">
            <w:pPr>
              <w:spacing w:before="120"/>
              <w:rPr>
                <w:b/>
                <w:smallCaps/>
                <w:sz w:val="22"/>
                <w:szCs w:val="22"/>
              </w:rPr>
            </w:pPr>
            <w:r w:rsidRPr="00C22FD1">
              <w:rPr>
                <w:b/>
                <w:smallCaps/>
                <w:sz w:val="22"/>
                <w:szCs w:val="22"/>
              </w:rPr>
              <w:t>Latonia Mckinney, Director</w:t>
            </w:r>
          </w:p>
          <w:p w14:paraId="4155C2B8" w14:textId="77777777" w:rsidR="00567D6C" w:rsidRPr="00A66AA4" w:rsidRDefault="00263651">
            <w:pPr>
              <w:spacing w:before="120"/>
              <w:rPr>
                <w:b/>
                <w:smallCaps/>
                <w:sz w:val="22"/>
                <w:szCs w:val="22"/>
              </w:rPr>
            </w:pPr>
            <w:r w:rsidRPr="00C22FD1">
              <w:rPr>
                <w:b/>
                <w:smallCaps/>
                <w:sz w:val="22"/>
                <w:szCs w:val="22"/>
              </w:rPr>
              <w:t>Fiscal Impact Statement</w:t>
            </w:r>
          </w:p>
          <w:p w14:paraId="121BDA2C" w14:textId="4CC55BBB" w:rsidR="00567D6C" w:rsidRPr="00A66AA4" w:rsidRDefault="00263651" w:rsidP="4E2AFC5C">
            <w:pPr>
              <w:spacing w:before="120"/>
              <w:rPr>
                <w:b/>
                <w:smallCaps/>
                <w:sz w:val="22"/>
                <w:szCs w:val="22"/>
              </w:rPr>
            </w:pPr>
            <w:r w:rsidRPr="00A66AA4">
              <w:rPr>
                <w:b/>
                <w:smallCaps/>
                <w:sz w:val="22"/>
                <w:szCs w:val="22"/>
              </w:rPr>
              <w:t>Proposed Intro. No:  1</w:t>
            </w:r>
            <w:r w:rsidR="00C22FD1">
              <w:rPr>
                <w:b/>
                <w:smallCaps/>
                <w:sz w:val="22"/>
                <w:szCs w:val="22"/>
              </w:rPr>
              <w:t>724</w:t>
            </w:r>
            <w:r w:rsidRPr="00A66AA4">
              <w:rPr>
                <w:b/>
                <w:smallCaps/>
                <w:sz w:val="22"/>
                <w:szCs w:val="22"/>
              </w:rPr>
              <w:t>-A</w:t>
            </w:r>
          </w:p>
          <w:p w14:paraId="518D8ED8" w14:textId="77777777" w:rsidR="00567D6C" w:rsidRDefault="00263651">
            <w:pPr>
              <w:tabs>
                <w:tab w:val="left" w:pos="-1440"/>
              </w:tabs>
              <w:spacing w:before="120"/>
              <w:ind w:left="1440" w:hanging="1440"/>
              <w:jc w:val="left"/>
              <w:rPr>
                <w:color w:val="FF0000"/>
                <w:sz w:val="22"/>
                <w:szCs w:val="22"/>
              </w:rPr>
            </w:pPr>
            <w:r>
              <w:rPr>
                <w:b/>
                <w:smallCaps/>
                <w:sz w:val="22"/>
                <w:szCs w:val="22"/>
              </w:rPr>
              <w:t>Committee</w:t>
            </w:r>
            <w:r>
              <w:rPr>
                <w:sz w:val="22"/>
                <w:szCs w:val="22"/>
              </w:rPr>
              <w:t xml:space="preserve">:  </w:t>
            </w:r>
            <w:r>
              <w:rPr>
                <w:b/>
                <w:sz w:val="22"/>
                <w:szCs w:val="22"/>
              </w:rPr>
              <w:t>Transportation</w:t>
            </w:r>
          </w:p>
        </w:tc>
      </w:tr>
      <w:tr w:rsidR="00567D6C" w:rsidRPr="007F6867" w14:paraId="1E5C658B" w14:textId="77777777" w:rsidTr="00A66AA4">
        <w:trPr>
          <w:trHeight w:val="1454"/>
          <w:jc w:val="center"/>
        </w:trPr>
        <w:tc>
          <w:tcPr>
            <w:tcW w:w="5759" w:type="dxa"/>
            <w:tcBorders>
              <w:top w:val="single" w:sz="4" w:space="0" w:color="000000" w:themeColor="text1"/>
            </w:tcBorders>
          </w:tcPr>
          <w:p w14:paraId="655F8DF2" w14:textId="3E02FDD5" w:rsidR="00567D6C" w:rsidRPr="007F6867" w:rsidRDefault="00263651">
            <w:pPr>
              <w:pBdr>
                <w:top w:val="nil"/>
                <w:left w:val="nil"/>
                <w:bottom w:val="nil"/>
                <w:right w:val="nil"/>
                <w:between w:val="nil"/>
              </w:pBdr>
            </w:pPr>
            <w:r w:rsidRPr="6135DCAC">
              <w:rPr>
                <w:b/>
                <w:bCs/>
                <w:smallCaps/>
                <w:color w:val="000000" w:themeColor="text1"/>
              </w:rPr>
              <w:t>Title:</w:t>
            </w:r>
            <w:r w:rsidRPr="6135DCAC">
              <w:rPr>
                <w:color w:val="000000" w:themeColor="text1"/>
              </w:rPr>
              <w:t xml:space="preserve"> </w:t>
            </w:r>
            <w:r w:rsidR="00805137" w:rsidRPr="00805137">
              <w:rPr>
                <w:color w:val="000000" w:themeColor="text1"/>
              </w:rPr>
              <w:t xml:space="preserve">A Local Law to amend the administrative code of the city of New York, in relation to creating a demonstration program to use photographic evidence to impose liability on vehicle owners for passing a stopped school bus and providing for the repeal of such provision upon the expiration thereof </w:t>
            </w:r>
          </w:p>
        </w:tc>
        <w:tc>
          <w:tcPr>
            <w:tcW w:w="5114" w:type="dxa"/>
            <w:tcBorders>
              <w:top w:val="single" w:sz="4" w:space="0" w:color="000000" w:themeColor="text1"/>
            </w:tcBorders>
          </w:tcPr>
          <w:p w14:paraId="1DD563A5" w14:textId="5DB4E3D4" w:rsidR="00567D6C" w:rsidRPr="007F6867" w:rsidRDefault="00263651" w:rsidP="004100C2">
            <w:pPr>
              <w:widowControl w:val="0"/>
            </w:pPr>
            <w:r w:rsidRPr="6135DCAC">
              <w:rPr>
                <w:b/>
                <w:bCs/>
                <w:smallCaps/>
              </w:rPr>
              <w:t>Sponsors</w:t>
            </w:r>
            <w:r w:rsidRPr="6135DCAC">
              <w:rPr>
                <w:b/>
                <w:bCs/>
              </w:rPr>
              <w:t xml:space="preserve">: </w:t>
            </w:r>
            <w:r w:rsidR="00805137" w:rsidRPr="00805137">
              <w:t xml:space="preserve">Kallos, </w:t>
            </w:r>
            <w:r w:rsidR="004100C2">
              <w:t xml:space="preserve">Rodriguez, Treyger, Holden, Ayala, Rivera, Brannan, Cornegy, Powers, Rosenthal, Van Bramer, Gennaro and </w:t>
            </w:r>
            <w:r w:rsidR="00805137" w:rsidRPr="00805137">
              <w:t>Dinowitz</w:t>
            </w:r>
          </w:p>
        </w:tc>
      </w:tr>
    </w:tbl>
    <w:p w14:paraId="4475F597" w14:textId="3269E2C4" w:rsidR="00567D6C" w:rsidRPr="007F6867" w:rsidRDefault="00263651" w:rsidP="4E2AFC5C">
      <w:pPr>
        <w:pBdr>
          <w:top w:val="nil"/>
          <w:left w:val="nil"/>
          <w:bottom w:val="nil"/>
          <w:right w:val="nil"/>
          <w:between w:val="nil"/>
        </w:pBdr>
        <w:spacing w:before="120"/>
        <w:rPr>
          <w:u w:val="single"/>
        </w:rPr>
      </w:pPr>
      <w:r w:rsidRPr="6135DCAC">
        <w:rPr>
          <w:b/>
          <w:bCs/>
          <w:smallCaps/>
        </w:rPr>
        <w:t>Summary of Legislation:</w:t>
      </w:r>
      <w:r>
        <w:t xml:space="preserve">  </w:t>
      </w:r>
      <w:r w:rsidR="00805137" w:rsidRPr="00805137">
        <w:t>Proposed Intro. No. 2417-A would create a demonstration program to monitor vehicle operators, using images from stationary cameras or cameras affixed to the sides of school buses, for failure to stop for a school bus displaying a red visual signal. Under this program, liability and penalties would</w:t>
      </w:r>
      <w:r w:rsidR="005D4D8C">
        <w:t xml:space="preserve"> </w:t>
      </w:r>
      <w:r w:rsidR="00805137" w:rsidRPr="00805137">
        <w:t>be imposed on the owners of such vehicles.</w:t>
      </w:r>
      <w:r w:rsidR="00805137">
        <w:t xml:space="preserve"> </w:t>
      </w:r>
    </w:p>
    <w:p w14:paraId="7C5B6BA8" w14:textId="51D07799" w:rsidR="00567D6C" w:rsidRPr="007F6867" w:rsidRDefault="00263651" w:rsidP="6135DCAC">
      <w:pPr>
        <w:spacing w:before="120"/>
        <w:rPr>
          <w:smallCaps/>
        </w:rPr>
      </w:pPr>
      <w:r w:rsidRPr="6135DCAC">
        <w:rPr>
          <w:b/>
          <w:bCs/>
          <w:smallCaps/>
          <w:color w:val="000000" w:themeColor="text1"/>
        </w:rPr>
        <w:t>Effective Date:</w:t>
      </w:r>
      <w:r w:rsidRPr="6135DCAC">
        <w:rPr>
          <w:color w:val="000000" w:themeColor="text1"/>
        </w:rPr>
        <w:t xml:space="preserve"> </w:t>
      </w:r>
      <w:r w:rsidR="00805137" w:rsidRPr="00805137">
        <w:rPr>
          <w:color w:val="000000" w:themeColor="text1"/>
        </w:rPr>
        <w:t xml:space="preserve">This local law </w:t>
      </w:r>
      <w:r w:rsidR="004100C2">
        <w:rPr>
          <w:color w:val="000000" w:themeColor="text1"/>
        </w:rPr>
        <w:t xml:space="preserve">would </w:t>
      </w:r>
      <w:r w:rsidR="00805137" w:rsidRPr="00805137">
        <w:rPr>
          <w:color w:val="000000" w:themeColor="text1"/>
        </w:rPr>
        <w:t xml:space="preserve">take effect 90 days after it becomes a law and expire and </w:t>
      </w:r>
      <w:r w:rsidR="004100C2">
        <w:rPr>
          <w:color w:val="000000" w:themeColor="text1"/>
        </w:rPr>
        <w:t>be</w:t>
      </w:r>
      <w:r w:rsidR="004100C2" w:rsidRPr="00805137">
        <w:rPr>
          <w:color w:val="000000" w:themeColor="text1"/>
        </w:rPr>
        <w:t xml:space="preserve"> </w:t>
      </w:r>
      <w:r w:rsidR="00805137" w:rsidRPr="00805137">
        <w:rPr>
          <w:color w:val="000000" w:themeColor="text1"/>
        </w:rPr>
        <w:t xml:space="preserve">deemed repealed on December 1, 2024. </w:t>
      </w:r>
    </w:p>
    <w:p w14:paraId="5A3E0903" w14:textId="65ED3CA1" w:rsidR="00567D6C" w:rsidRPr="007F6867" w:rsidRDefault="00263651" w:rsidP="6135DCAC">
      <w:pPr>
        <w:spacing w:before="120"/>
        <w:rPr>
          <w:smallCaps/>
        </w:rPr>
      </w:pPr>
      <w:r w:rsidRPr="6135DCAC">
        <w:rPr>
          <w:b/>
          <w:bCs/>
          <w:smallCaps/>
        </w:rPr>
        <w:t xml:space="preserve">Fiscal Year In Which Full Fiscal Impact Anticipated: </w:t>
      </w:r>
      <w:r w:rsidRPr="6135DCAC">
        <w:rPr>
          <w:smallCaps/>
        </w:rPr>
        <w:t>F</w:t>
      </w:r>
      <w:r>
        <w:t xml:space="preserve">iscal </w:t>
      </w:r>
      <w:r w:rsidRPr="6135DCAC">
        <w:rPr>
          <w:smallCaps/>
        </w:rPr>
        <w:t>202</w:t>
      </w:r>
      <w:r w:rsidR="00805137">
        <w:rPr>
          <w:smallCaps/>
        </w:rPr>
        <w:t>3</w:t>
      </w:r>
    </w:p>
    <w:p w14:paraId="18EC9108" w14:textId="77777777" w:rsidR="00567D6C" w:rsidRPr="007F6867" w:rsidRDefault="00263651" w:rsidP="3E61AE50">
      <w:pPr>
        <w:pBdr>
          <w:top w:val="single" w:sz="4" w:space="1" w:color="000000"/>
        </w:pBdr>
        <w:spacing w:before="240"/>
        <w:rPr>
          <w:b/>
          <w:bCs/>
          <w:smallCaps/>
        </w:rPr>
      </w:pPr>
      <w:r w:rsidRPr="3E61AE50">
        <w:rPr>
          <w:b/>
          <w:bCs/>
          <w:smallCaps/>
        </w:rPr>
        <w:t>Fiscal Impact Statement:</w:t>
      </w:r>
    </w:p>
    <w:tbl>
      <w:tblPr>
        <w:tblW w:w="7386" w:type="dxa"/>
        <w:jc w:val="center"/>
        <w:tblLayout w:type="fixed"/>
        <w:tblCellMar>
          <w:left w:w="141" w:type="dxa"/>
          <w:right w:w="141" w:type="dxa"/>
        </w:tblCellMar>
        <w:tblLook w:val="0000" w:firstRow="0" w:lastRow="0" w:firstColumn="0" w:lastColumn="0" w:noHBand="0" w:noVBand="0"/>
      </w:tblPr>
      <w:tblGrid>
        <w:gridCol w:w="1797"/>
        <w:gridCol w:w="1863"/>
        <w:gridCol w:w="1863"/>
        <w:gridCol w:w="1863"/>
      </w:tblGrid>
      <w:tr w:rsidR="00567D6C" w:rsidRPr="007F6867" w14:paraId="64EAE6BE" w14:textId="77777777" w:rsidTr="00A66AA4">
        <w:trPr>
          <w:trHeight w:val="1126"/>
          <w:jc w:val="center"/>
        </w:trPr>
        <w:tc>
          <w:tcPr>
            <w:tcW w:w="1797"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684AAAF" w14:textId="77777777" w:rsidR="00567D6C" w:rsidRPr="007F6867" w:rsidRDefault="00567D6C">
            <w:pPr>
              <w:spacing w:line="201" w:lineRule="auto"/>
              <w:jc w:val="center"/>
            </w:pPr>
          </w:p>
          <w:p w14:paraId="6A94E00D" w14:textId="77777777" w:rsidR="00567D6C" w:rsidRPr="007F6867" w:rsidRDefault="00567D6C" w:rsidP="3E61AE50">
            <w:pPr>
              <w:jc w:val="center"/>
              <w:rPr>
                <w:b/>
                <w:bCs/>
              </w:rPr>
            </w:pPr>
          </w:p>
        </w:tc>
        <w:tc>
          <w:tcPr>
            <w:tcW w:w="186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C6442D0" w14:textId="593BDA7B" w:rsidR="00567D6C" w:rsidRPr="007F6867" w:rsidRDefault="00263651" w:rsidP="3E61AE50">
            <w:pPr>
              <w:jc w:val="center"/>
              <w:rPr>
                <w:b/>
                <w:bCs/>
              </w:rPr>
            </w:pPr>
            <w:r w:rsidRPr="3E61AE50">
              <w:rPr>
                <w:b/>
                <w:bCs/>
              </w:rPr>
              <w:t>Effective FY2</w:t>
            </w:r>
            <w:r w:rsidR="00805137">
              <w:rPr>
                <w:b/>
                <w:bCs/>
              </w:rPr>
              <w:t>2</w:t>
            </w:r>
          </w:p>
          <w:p w14:paraId="5D641B93" w14:textId="77777777" w:rsidR="00567D6C" w:rsidRPr="007F6867" w:rsidRDefault="00567D6C" w:rsidP="3E61AE50">
            <w:pPr>
              <w:jc w:val="center"/>
              <w:rPr>
                <w:b/>
                <w:bCs/>
              </w:rPr>
            </w:pPr>
          </w:p>
        </w:tc>
        <w:tc>
          <w:tcPr>
            <w:tcW w:w="186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482B389" w14:textId="68399366" w:rsidR="00567D6C" w:rsidRPr="007F6867" w:rsidRDefault="00263651">
            <w:pPr>
              <w:jc w:val="center"/>
              <w:rPr>
                <w:b/>
                <w:bCs/>
              </w:rPr>
            </w:pPr>
            <w:r w:rsidRPr="3E61AE50">
              <w:rPr>
                <w:b/>
                <w:bCs/>
              </w:rPr>
              <w:t>FY Succeeding Effective FY2</w:t>
            </w:r>
            <w:r w:rsidR="00805137">
              <w:rPr>
                <w:b/>
                <w:bCs/>
              </w:rPr>
              <w:t>3</w:t>
            </w:r>
          </w:p>
        </w:tc>
        <w:tc>
          <w:tcPr>
            <w:tcW w:w="1863"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052E8682" w14:textId="03D88D6B" w:rsidR="00567D6C" w:rsidRPr="007F6867" w:rsidRDefault="00263651">
            <w:pPr>
              <w:jc w:val="center"/>
              <w:rPr>
                <w:b/>
                <w:bCs/>
              </w:rPr>
            </w:pPr>
            <w:r w:rsidRPr="3E61AE50">
              <w:rPr>
                <w:b/>
                <w:bCs/>
              </w:rPr>
              <w:t>Full Fiscal Impact FY2</w:t>
            </w:r>
            <w:r w:rsidR="00805137">
              <w:rPr>
                <w:b/>
                <w:bCs/>
              </w:rPr>
              <w:t>3</w:t>
            </w:r>
          </w:p>
        </w:tc>
      </w:tr>
      <w:tr w:rsidR="00567D6C" w:rsidRPr="007F6867" w14:paraId="60BD7D1B" w14:textId="77777777" w:rsidTr="00A66AA4">
        <w:trPr>
          <w:trHeight w:val="273"/>
          <w:jc w:val="center"/>
        </w:trPr>
        <w:tc>
          <w:tcPr>
            <w:tcW w:w="1797"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2A2E5BC" w14:textId="77777777" w:rsidR="00567D6C" w:rsidRPr="007F6867" w:rsidRDefault="00263651" w:rsidP="3E61AE50">
            <w:pPr>
              <w:jc w:val="center"/>
              <w:rPr>
                <w:b/>
                <w:bCs/>
              </w:rPr>
            </w:pPr>
            <w:r w:rsidRPr="3E61AE50">
              <w:rPr>
                <w:b/>
                <w:bCs/>
              </w:rPr>
              <w:t>Revenues</w:t>
            </w:r>
          </w:p>
        </w:tc>
        <w:tc>
          <w:tcPr>
            <w:tcW w:w="186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E54278D" w14:textId="77777777" w:rsidR="00567D6C" w:rsidRPr="007F6867" w:rsidRDefault="00263651">
            <w:pPr>
              <w:jc w:val="center"/>
            </w:pPr>
            <w:r>
              <w:t>$0</w:t>
            </w:r>
          </w:p>
        </w:tc>
        <w:tc>
          <w:tcPr>
            <w:tcW w:w="186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D7E2649" w14:textId="77777777" w:rsidR="00567D6C" w:rsidRPr="007F6867" w:rsidRDefault="00263651">
            <w:pPr>
              <w:jc w:val="center"/>
            </w:pPr>
            <w:r>
              <w:t>$0</w:t>
            </w:r>
          </w:p>
        </w:tc>
        <w:tc>
          <w:tcPr>
            <w:tcW w:w="1863"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4B8FA519" w14:textId="77777777" w:rsidR="00567D6C" w:rsidRPr="007F6867" w:rsidRDefault="00263651">
            <w:pPr>
              <w:jc w:val="center"/>
            </w:pPr>
            <w:r>
              <w:t>$0</w:t>
            </w:r>
          </w:p>
        </w:tc>
      </w:tr>
      <w:tr w:rsidR="00567D6C" w:rsidRPr="007F6867" w14:paraId="6C37437C" w14:textId="77777777" w:rsidTr="00A66AA4">
        <w:trPr>
          <w:trHeight w:val="289"/>
          <w:jc w:val="center"/>
        </w:trPr>
        <w:tc>
          <w:tcPr>
            <w:tcW w:w="1797"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0756A85" w14:textId="77777777" w:rsidR="00567D6C" w:rsidRPr="007F6867" w:rsidRDefault="00263651" w:rsidP="3E61AE50">
            <w:pPr>
              <w:jc w:val="center"/>
              <w:rPr>
                <w:b/>
                <w:bCs/>
              </w:rPr>
            </w:pPr>
            <w:r w:rsidRPr="3E61AE50">
              <w:rPr>
                <w:b/>
                <w:bCs/>
              </w:rPr>
              <w:t>Expenditures</w:t>
            </w:r>
          </w:p>
        </w:tc>
        <w:tc>
          <w:tcPr>
            <w:tcW w:w="186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38457DF" w14:textId="77777777" w:rsidR="00567D6C" w:rsidRPr="007F6867" w:rsidRDefault="00263651">
            <w:pPr>
              <w:jc w:val="center"/>
            </w:pPr>
            <w:r>
              <w:t>$0</w:t>
            </w:r>
          </w:p>
        </w:tc>
        <w:tc>
          <w:tcPr>
            <w:tcW w:w="186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72BBA89" w14:textId="77777777" w:rsidR="00567D6C" w:rsidRPr="007F6867" w:rsidRDefault="00263651">
            <w:pPr>
              <w:jc w:val="center"/>
            </w:pPr>
            <w:r>
              <w:t>$0</w:t>
            </w:r>
          </w:p>
        </w:tc>
        <w:tc>
          <w:tcPr>
            <w:tcW w:w="1863"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43A00046" w14:textId="77777777" w:rsidR="00567D6C" w:rsidRPr="007F6867" w:rsidRDefault="00263651">
            <w:pPr>
              <w:jc w:val="center"/>
            </w:pPr>
            <w:r>
              <w:t>$0</w:t>
            </w:r>
          </w:p>
        </w:tc>
      </w:tr>
      <w:tr w:rsidR="00567D6C" w:rsidRPr="007F6867" w14:paraId="63B80D10" w14:textId="77777777" w:rsidTr="00A66AA4">
        <w:trPr>
          <w:trHeight w:val="334"/>
          <w:jc w:val="center"/>
        </w:trPr>
        <w:tc>
          <w:tcPr>
            <w:tcW w:w="1797"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F24E5E2" w14:textId="77777777" w:rsidR="00567D6C" w:rsidRPr="007F6867" w:rsidRDefault="00263651" w:rsidP="3E61AE50">
            <w:pPr>
              <w:spacing w:after="58"/>
              <w:jc w:val="center"/>
              <w:rPr>
                <w:b/>
                <w:bCs/>
              </w:rPr>
            </w:pPr>
            <w:r w:rsidRPr="3E61AE50">
              <w:rPr>
                <w:b/>
                <w:bCs/>
              </w:rPr>
              <w:t>Net</w:t>
            </w:r>
          </w:p>
        </w:tc>
        <w:tc>
          <w:tcPr>
            <w:tcW w:w="1863"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6593D010" w14:textId="77777777" w:rsidR="00567D6C" w:rsidRPr="007F6867" w:rsidRDefault="00263651">
            <w:pPr>
              <w:jc w:val="center"/>
            </w:pPr>
            <w:r>
              <w:t>$0</w:t>
            </w:r>
          </w:p>
        </w:tc>
        <w:tc>
          <w:tcPr>
            <w:tcW w:w="1863"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72A1E228" w14:textId="77777777" w:rsidR="00567D6C" w:rsidRPr="007F6867" w:rsidRDefault="00263651">
            <w:pPr>
              <w:jc w:val="center"/>
            </w:pPr>
            <w:r>
              <w:t>$0</w:t>
            </w:r>
          </w:p>
        </w:tc>
        <w:tc>
          <w:tcPr>
            <w:tcW w:w="186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6E0B65" w14:textId="77777777" w:rsidR="00567D6C" w:rsidRPr="007F6867" w:rsidRDefault="00263651">
            <w:pPr>
              <w:jc w:val="center"/>
            </w:pPr>
            <w:r>
              <w:t>$0</w:t>
            </w:r>
          </w:p>
        </w:tc>
      </w:tr>
    </w:tbl>
    <w:p w14:paraId="14D13D13" w14:textId="13E48E9B" w:rsidR="00567D6C" w:rsidRPr="007F6867" w:rsidRDefault="00263651" w:rsidP="00A66AA4">
      <w:pPr>
        <w:spacing w:before="120"/>
        <w:rPr>
          <w:b/>
          <w:bCs/>
          <w:smallCaps/>
        </w:rPr>
      </w:pPr>
      <w:r w:rsidRPr="3E61AE50">
        <w:rPr>
          <w:b/>
          <w:bCs/>
          <w:smallCaps/>
        </w:rPr>
        <w:t xml:space="preserve">Impact on Revenues: </w:t>
      </w:r>
      <w:r w:rsidR="00805137" w:rsidRPr="00805137">
        <w:t>It is estimated that there would be no impact on revenues resulting from the enactment of this legislation as full compliant with the provisions of this legislation is anticipated.</w:t>
      </w:r>
      <w:r w:rsidR="00805137">
        <w:t xml:space="preserve"> </w:t>
      </w:r>
    </w:p>
    <w:p w14:paraId="13C13D14" w14:textId="4588FBC1" w:rsidR="00567D6C" w:rsidRPr="007F6867" w:rsidRDefault="00263651" w:rsidP="6135DCAC">
      <w:pPr>
        <w:spacing w:before="240"/>
        <w:rPr>
          <w:b/>
          <w:bCs/>
          <w:smallCaps/>
        </w:rPr>
      </w:pPr>
      <w:r w:rsidRPr="6135DCAC">
        <w:rPr>
          <w:b/>
          <w:bCs/>
          <w:smallCaps/>
        </w:rPr>
        <w:t>Impact on Expenditures:</w:t>
      </w:r>
      <w:r>
        <w:t xml:space="preserve"> </w:t>
      </w:r>
      <w:r w:rsidR="00805137" w:rsidRPr="00805137">
        <w:t xml:space="preserve">It is anticipated that there would be no impact on expenditures resulting from the enactment of this legislation. </w:t>
      </w:r>
      <w:r w:rsidR="004100C2">
        <w:t>In</w:t>
      </w:r>
      <w:r w:rsidR="00805137" w:rsidRPr="00805137">
        <w:t xml:space="preserve"> the event that the City would bear the cost for the required camera it is likely that there would be additional capital costs associated with the implementation of this local law. However, that amount of capital cost is undetermined at this time.</w:t>
      </w:r>
      <w:r w:rsidR="00805137">
        <w:t xml:space="preserve"> </w:t>
      </w:r>
    </w:p>
    <w:p w14:paraId="7750DA04" w14:textId="77777777" w:rsidR="00567D6C" w:rsidRPr="007F6867" w:rsidRDefault="00263651">
      <w:pPr>
        <w:spacing w:before="240"/>
      </w:pPr>
      <w:r w:rsidRPr="6135DCAC">
        <w:rPr>
          <w:b/>
          <w:bCs/>
          <w:smallCaps/>
        </w:rPr>
        <w:t>Source of Funds to Cover Estimated Costs:</w:t>
      </w:r>
      <w:r>
        <w:t xml:space="preserve"> N/A</w:t>
      </w:r>
    </w:p>
    <w:p w14:paraId="73C8BCAB" w14:textId="77777777" w:rsidR="00C53A72" w:rsidRDefault="00C53A72" w:rsidP="3E61AE50">
      <w:pPr>
        <w:spacing w:before="240"/>
        <w:contextualSpacing/>
        <w:rPr>
          <w:b/>
          <w:bCs/>
          <w:smallCaps/>
        </w:rPr>
      </w:pPr>
    </w:p>
    <w:p w14:paraId="76FAD7A4" w14:textId="53B73750" w:rsidR="00567D6C" w:rsidRPr="00A66AA4" w:rsidDel="00C53A72" w:rsidRDefault="00263651" w:rsidP="3E61AE50">
      <w:pPr>
        <w:spacing w:before="240"/>
        <w:contextualSpacing/>
      </w:pPr>
      <w:r w:rsidRPr="3E61AE50">
        <w:rPr>
          <w:b/>
          <w:bCs/>
          <w:smallCaps/>
        </w:rPr>
        <w:t>Source of Information:</w:t>
      </w:r>
      <w:r w:rsidRPr="007F6867">
        <w:t xml:space="preserve">   New York City Council Finance Division</w:t>
      </w:r>
    </w:p>
    <w:p w14:paraId="0E57172B" w14:textId="77777777" w:rsidR="00567D6C" w:rsidRPr="007F6867" w:rsidRDefault="00263651">
      <w:pPr>
        <w:spacing w:before="240"/>
        <w:rPr>
          <w:smallCaps/>
        </w:rPr>
      </w:pPr>
      <w:r w:rsidRPr="3E61AE50">
        <w:rPr>
          <w:b/>
          <w:bCs/>
          <w:smallCaps/>
        </w:rPr>
        <w:t xml:space="preserve">Estimate Prepared by:    </w:t>
      </w:r>
      <w:r w:rsidRPr="00A66AA4">
        <w:rPr>
          <w:b/>
          <w:smallCaps/>
        </w:rPr>
        <w:tab/>
      </w:r>
      <w:r w:rsidRPr="007F6867">
        <w:t>John Basile, Senior Financial Analyst</w:t>
      </w:r>
    </w:p>
    <w:p w14:paraId="3E208305" w14:textId="77777777" w:rsidR="00567D6C" w:rsidRPr="007F6867" w:rsidRDefault="00263651">
      <w:r w:rsidRPr="00A66AA4">
        <w:rPr>
          <w:b/>
          <w:smallCaps/>
        </w:rPr>
        <w:tab/>
      </w:r>
      <w:r w:rsidRPr="00A66AA4">
        <w:rPr>
          <w:b/>
          <w:smallCaps/>
        </w:rPr>
        <w:tab/>
      </w:r>
      <w:r w:rsidRPr="00A66AA4">
        <w:rPr>
          <w:b/>
          <w:smallCaps/>
        </w:rPr>
        <w:tab/>
      </w:r>
      <w:r w:rsidRPr="00A66AA4">
        <w:rPr>
          <w:b/>
          <w:smallCaps/>
        </w:rPr>
        <w:tab/>
      </w:r>
      <w:r w:rsidRPr="00A66AA4">
        <w:rPr>
          <w:b/>
          <w:smallCaps/>
        </w:rPr>
        <w:tab/>
      </w:r>
    </w:p>
    <w:p w14:paraId="004F2BB7" w14:textId="77777777" w:rsidR="00567D6C" w:rsidRPr="007F6867" w:rsidRDefault="00263651">
      <w:r w:rsidRPr="007F6867">
        <w:rPr>
          <w:b/>
          <w:bCs/>
          <w:smallCaps/>
        </w:rPr>
        <w:t>Estimate Reviewed by:</w:t>
      </w:r>
      <w:r w:rsidR="5472CC86" w:rsidRPr="007F6867">
        <w:rPr>
          <w:b/>
          <w:bCs/>
          <w:smallCaps/>
        </w:rPr>
        <w:t xml:space="preserve">  </w:t>
      </w:r>
      <w:r w:rsidRPr="00A66AA4">
        <w:rPr>
          <w:b/>
          <w:smallCaps/>
        </w:rPr>
        <w:tab/>
      </w:r>
      <w:r w:rsidRPr="007F6867">
        <w:t>Nathan Toth, Deputy Director</w:t>
      </w:r>
    </w:p>
    <w:p w14:paraId="784CB73C" w14:textId="77777777" w:rsidR="00567D6C" w:rsidRPr="007F6867" w:rsidRDefault="00263651">
      <w:r w:rsidRPr="00A66AA4">
        <w:rPr>
          <w:b/>
          <w:smallCaps/>
        </w:rPr>
        <w:tab/>
      </w:r>
      <w:r w:rsidRPr="00A66AA4">
        <w:rPr>
          <w:b/>
          <w:smallCaps/>
        </w:rPr>
        <w:tab/>
      </w:r>
      <w:r w:rsidRPr="00A66AA4">
        <w:rPr>
          <w:b/>
          <w:smallCaps/>
        </w:rPr>
        <w:tab/>
      </w:r>
      <w:r w:rsidRPr="00A66AA4">
        <w:rPr>
          <w:b/>
          <w:smallCaps/>
        </w:rPr>
        <w:tab/>
      </w:r>
      <w:r w:rsidRPr="007F6867">
        <w:t>Chima Obichere, Unit Head</w:t>
      </w:r>
    </w:p>
    <w:p w14:paraId="321E7C00" w14:textId="294A5F67" w:rsidR="00567D6C" w:rsidRPr="007F6867" w:rsidRDefault="00263651">
      <w:r w:rsidRPr="00A66AA4">
        <w:tab/>
      </w:r>
      <w:r w:rsidRPr="00A66AA4">
        <w:tab/>
      </w:r>
      <w:r w:rsidRPr="00A66AA4">
        <w:tab/>
      </w:r>
      <w:r w:rsidRPr="00A66AA4">
        <w:tab/>
      </w:r>
      <w:r w:rsidR="004100C2" w:rsidRPr="00575C53">
        <w:t>Stephanie Ruiz</w:t>
      </w:r>
      <w:r w:rsidRPr="00575C53">
        <w:t xml:space="preserve">, </w:t>
      </w:r>
      <w:r w:rsidR="00074F27">
        <w:t xml:space="preserve">Assistant </w:t>
      </w:r>
      <w:r w:rsidRPr="00575C53">
        <w:t>Counsel</w:t>
      </w:r>
      <w:r w:rsidRPr="007F6867">
        <w:t xml:space="preserve"> </w:t>
      </w:r>
    </w:p>
    <w:p w14:paraId="5687CFF5" w14:textId="3D6FB73D" w:rsidR="00567D6C" w:rsidRPr="007F6867" w:rsidRDefault="00263651" w:rsidP="4E2AFC5C">
      <w:pPr>
        <w:spacing w:before="240" w:after="240"/>
      </w:pPr>
      <w:r w:rsidRPr="6135DCAC">
        <w:rPr>
          <w:b/>
          <w:bCs/>
          <w:smallCaps/>
        </w:rPr>
        <w:lastRenderedPageBreak/>
        <w:t>Legislative History:</w:t>
      </w:r>
      <w:r>
        <w:t xml:space="preserve"> </w:t>
      </w:r>
      <w:r w:rsidR="00F80C02">
        <w:t xml:space="preserve">This legislation was </w:t>
      </w:r>
      <w:r w:rsidR="3F9E3089">
        <w:t xml:space="preserve">first introduced </w:t>
      </w:r>
      <w:r w:rsidR="00CF173A">
        <w:t>to the full</w:t>
      </w:r>
      <w:r w:rsidR="3F9E3089">
        <w:t xml:space="preserve"> Council</w:t>
      </w:r>
      <w:r w:rsidR="2C4EC21D">
        <w:t xml:space="preserve"> as Intro. No. 1</w:t>
      </w:r>
      <w:r w:rsidR="00805137">
        <w:t>724</w:t>
      </w:r>
      <w:r w:rsidR="1E081EB5">
        <w:t xml:space="preserve"> </w:t>
      </w:r>
      <w:r w:rsidR="3F9E3089">
        <w:t xml:space="preserve">on </w:t>
      </w:r>
      <w:r w:rsidR="00805137">
        <w:t>September</w:t>
      </w:r>
      <w:r w:rsidR="6477BF60">
        <w:t xml:space="preserve"> 2</w:t>
      </w:r>
      <w:r w:rsidR="001E4482">
        <w:t>5</w:t>
      </w:r>
      <w:r w:rsidR="6477BF60">
        <w:t>, 201</w:t>
      </w:r>
      <w:r w:rsidR="001E4482">
        <w:t>9</w:t>
      </w:r>
      <w:r w:rsidR="6477BF60">
        <w:t xml:space="preserve"> </w:t>
      </w:r>
      <w:r w:rsidR="3F9E3089">
        <w:t xml:space="preserve">and the bill was </w:t>
      </w:r>
      <w:r w:rsidR="5175DB5C">
        <w:t>referred</w:t>
      </w:r>
      <w:r w:rsidR="3F9E3089">
        <w:t xml:space="preserve"> to the Committee</w:t>
      </w:r>
      <w:r w:rsidR="404BEADA">
        <w:t xml:space="preserve"> on Transportation (Committee).  </w:t>
      </w:r>
      <w:r w:rsidR="00CF173A">
        <w:t>A hearing was held by the Committee</w:t>
      </w:r>
      <w:r w:rsidR="0D79498F">
        <w:t xml:space="preserve"> </w:t>
      </w:r>
      <w:r w:rsidR="1A45FE4E">
        <w:t xml:space="preserve">on </w:t>
      </w:r>
      <w:r w:rsidR="001E4482">
        <w:t>December</w:t>
      </w:r>
      <w:r w:rsidR="43D96AE2">
        <w:t xml:space="preserve"> </w:t>
      </w:r>
      <w:r w:rsidR="001E4482">
        <w:t>16</w:t>
      </w:r>
      <w:r w:rsidR="1A45FE4E">
        <w:t>, 20</w:t>
      </w:r>
      <w:r w:rsidR="0A74F5C5">
        <w:t xml:space="preserve">19 and the bill was laid over.  The legislation has been amended and the amended version, Proposed Intro. No. </w:t>
      </w:r>
      <w:r w:rsidR="7AF2E893">
        <w:t>1</w:t>
      </w:r>
      <w:r w:rsidR="001E4482">
        <w:t>724</w:t>
      </w:r>
      <w:r w:rsidR="0A74F5C5">
        <w:t xml:space="preserve">-A, will be considered by the Committee </w:t>
      </w:r>
      <w:r w:rsidR="00CF173A">
        <w:t xml:space="preserve">on </w:t>
      </w:r>
      <w:r w:rsidR="001E4482">
        <w:t>December</w:t>
      </w:r>
      <w:r w:rsidR="0A74F5C5">
        <w:t xml:space="preserve"> </w:t>
      </w:r>
      <w:r w:rsidR="001E4482">
        <w:t>8</w:t>
      </w:r>
      <w:r w:rsidR="0A74F5C5">
        <w:t>, 202</w:t>
      </w:r>
      <w:r w:rsidR="001E4482">
        <w:t>1</w:t>
      </w:r>
      <w:r w:rsidR="0A74F5C5">
        <w:t>. Upon a successful vote by the Committee, Proposed Intro. No. 1</w:t>
      </w:r>
      <w:r w:rsidR="001E4482">
        <w:t>724</w:t>
      </w:r>
      <w:r w:rsidR="0A74F5C5">
        <w:t xml:space="preserve">-A will be submitted to the full Council for a vote on </w:t>
      </w:r>
      <w:r w:rsidR="001E4482">
        <w:t>December</w:t>
      </w:r>
      <w:r w:rsidR="0A74F5C5">
        <w:t xml:space="preserve"> </w:t>
      </w:r>
      <w:r w:rsidR="001E4482">
        <w:t>9</w:t>
      </w:r>
      <w:r w:rsidR="0A74F5C5">
        <w:t>, 202</w:t>
      </w:r>
      <w:r w:rsidR="001E4482">
        <w:t>1</w:t>
      </w:r>
      <w:r w:rsidR="0A74F5C5">
        <w:t>.</w:t>
      </w:r>
    </w:p>
    <w:p w14:paraId="3341E08B" w14:textId="00849989" w:rsidR="00567D6C" w:rsidRPr="007F6867" w:rsidRDefault="00263651" w:rsidP="4E2AFC5C">
      <w:pPr>
        <w:spacing w:before="240" w:after="240"/>
      </w:pPr>
      <w:r w:rsidRPr="6135DCAC">
        <w:rPr>
          <w:b/>
          <w:bCs/>
          <w:smallCaps/>
        </w:rPr>
        <w:t xml:space="preserve">Date Prepared: </w:t>
      </w:r>
      <w:r w:rsidR="00805137">
        <w:t>December</w:t>
      </w:r>
      <w:r w:rsidR="4B7B0FAF">
        <w:t xml:space="preserve"> </w:t>
      </w:r>
      <w:r w:rsidR="00805137">
        <w:t>8</w:t>
      </w:r>
      <w:r>
        <w:t>, 202</w:t>
      </w:r>
      <w:r w:rsidR="00805137">
        <w:t>1</w:t>
      </w:r>
    </w:p>
    <w:sectPr w:rsidR="00567D6C" w:rsidRPr="007F6867">
      <w:footerReference w:type="default" r:id="rId7"/>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C01C" w14:textId="77777777" w:rsidR="005A775D" w:rsidRDefault="005A775D">
      <w:r>
        <w:separator/>
      </w:r>
    </w:p>
  </w:endnote>
  <w:endnote w:type="continuationSeparator" w:id="0">
    <w:p w14:paraId="7C7FCB7E" w14:textId="77777777" w:rsidR="005A775D" w:rsidRDefault="005A775D">
      <w:r>
        <w:continuationSeparator/>
      </w:r>
    </w:p>
  </w:endnote>
  <w:endnote w:type="continuationNotice" w:id="1">
    <w:p w14:paraId="3ED58EFB" w14:textId="77777777" w:rsidR="005A775D" w:rsidRDefault="005A7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D9D" w14:textId="7A02C168" w:rsidR="00567D6C" w:rsidRDefault="6135DCAC" w:rsidP="1612B12A">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6135DCAC">
      <w:rPr>
        <w:rFonts w:ascii="Cambria" w:eastAsia="Cambria" w:hAnsi="Cambria" w:cs="Cambria"/>
        <w:color w:val="000000" w:themeColor="text1"/>
      </w:rPr>
      <w:t>Proposed Intro. No. 1</w:t>
    </w:r>
    <w:r w:rsidR="00805137">
      <w:rPr>
        <w:rFonts w:ascii="Cambria" w:eastAsia="Cambria" w:hAnsi="Cambria" w:cs="Cambria"/>
        <w:color w:val="000000" w:themeColor="text1"/>
      </w:rPr>
      <w:t>724</w:t>
    </w:r>
    <w:r w:rsidRPr="6135DCAC">
      <w:rPr>
        <w:rFonts w:ascii="Cambria" w:eastAsia="Cambria" w:hAnsi="Cambria" w:cs="Cambria"/>
        <w:color w:val="000000" w:themeColor="text1"/>
      </w:rPr>
      <w:t xml:space="preserve">-A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022C" w14:textId="77777777" w:rsidR="005A775D" w:rsidRDefault="005A775D">
      <w:r>
        <w:separator/>
      </w:r>
    </w:p>
  </w:footnote>
  <w:footnote w:type="continuationSeparator" w:id="0">
    <w:p w14:paraId="760B9745" w14:textId="77777777" w:rsidR="005A775D" w:rsidRDefault="005A775D">
      <w:r>
        <w:continuationSeparator/>
      </w:r>
    </w:p>
  </w:footnote>
  <w:footnote w:type="continuationNotice" w:id="1">
    <w:p w14:paraId="4D78509D" w14:textId="77777777" w:rsidR="005A775D" w:rsidRDefault="005A77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14BB1"/>
    <w:rsid w:val="000477DC"/>
    <w:rsid w:val="00073141"/>
    <w:rsid w:val="00074F27"/>
    <w:rsid w:val="000D2D66"/>
    <w:rsid w:val="001004F4"/>
    <w:rsid w:val="0015435A"/>
    <w:rsid w:val="001A1818"/>
    <w:rsid w:val="001C58FC"/>
    <w:rsid w:val="001E4482"/>
    <w:rsid w:val="001E5A98"/>
    <w:rsid w:val="00200734"/>
    <w:rsid w:val="00257631"/>
    <w:rsid w:val="00263651"/>
    <w:rsid w:val="003468E2"/>
    <w:rsid w:val="003A11CE"/>
    <w:rsid w:val="003D36B5"/>
    <w:rsid w:val="003F76C5"/>
    <w:rsid w:val="004100C2"/>
    <w:rsid w:val="0042026D"/>
    <w:rsid w:val="004633AE"/>
    <w:rsid w:val="00530CA8"/>
    <w:rsid w:val="005379D3"/>
    <w:rsid w:val="00567D6C"/>
    <w:rsid w:val="00575C53"/>
    <w:rsid w:val="00596DAF"/>
    <w:rsid w:val="005A775D"/>
    <w:rsid w:val="005D4D8C"/>
    <w:rsid w:val="005D7919"/>
    <w:rsid w:val="005E5BCF"/>
    <w:rsid w:val="006051F2"/>
    <w:rsid w:val="00623E08"/>
    <w:rsid w:val="00644758"/>
    <w:rsid w:val="006D3964"/>
    <w:rsid w:val="006D5BFC"/>
    <w:rsid w:val="007F6867"/>
    <w:rsid w:val="00805137"/>
    <w:rsid w:val="00843BB9"/>
    <w:rsid w:val="00860EBF"/>
    <w:rsid w:val="008B3D6C"/>
    <w:rsid w:val="008D60FB"/>
    <w:rsid w:val="009C60AA"/>
    <w:rsid w:val="009F1FF5"/>
    <w:rsid w:val="00A009C3"/>
    <w:rsid w:val="00A3290B"/>
    <w:rsid w:val="00A66AA4"/>
    <w:rsid w:val="00B800EF"/>
    <w:rsid w:val="00BC78BC"/>
    <w:rsid w:val="00C22FD1"/>
    <w:rsid w:val="00C53A72"/>
    <w:rsid w:val="00CF173A"/>
    <w:rsid w:val="00D56D03"/>
    <w:rsid w:val="00D96BA6"/>
    <w:rsid w:val="00DB20C9"/>
    <w:rsid w:val="00E17DEA"/>
    <w:rsid w:val="00E908BE"/>
    <w:rsid w:val="00EA2B23"/>
    <w:rsid w:val="00ED3059"/>
    <w:rsid w:val="00F80C02"/>
    <w:rsid w:val="01019A2A"/>
    <w:rsid w:val="019A5036"/>
    <w:rsid w:val="023F0C57"/>
    <w:rsid w:val="0383D6F0"/>
    <w:rsid w:val="04C17C6C"/>
    <w:rsid w:val="08E96D37"/>
    <w:rsid w:val="0A04D6DD"/>
    <w:rsid w:val="0A74F5C5"/>
    <w:rsid w:val="0AF4C7BC"/>
    <w:rsid w:val="0C849C66"/>
    <w:rsid w:val="0C9FDF2C"/>
    <w:rsid w:val="0D79498F"/>
    <w:rsid w:val="0DF9C9C8"/>
    <w:rsid w:val="1119EE69"/>
    <w:rsid w:val="157832F2"/>
    <w:rsid w:val="1612B12A"/>
    <w:rsid w:val="182061DD"/>
    <w:rsid w:val="1895C67B"/>
    <w:rsid w:val="198AF0D4"/>
    <w:rsid w:val="1A45FE4E"/>
    <w:rsid w:val="1E081EB5"/>
    <w:rsid w:val="1E288B03"/>
    <w:rsid w:val="1FD0FC47"/>
    <w:rsid w:val="205F2D5E"/>
    <w:rsid w:val="20D03696"/>
    <w:rsid w:val="261A312D"/>
    <w:rsid w:val="2627CB89"/>
    <w:rsid w:val="27E91495"/>
    <w:rsid w:val="291FCC08"/>
    <w:rsid w:val="299C070B"/>
    <w:rsid w:val="2C4EC21D"/>
    <w:rsid w:val="2EF30020"/>
    <w:rsid w:val="2F190DC3"/>
    <w:rsid w:val="2F96CFCC"/>
    <w:rsid w:val="312D99FA"/>
    <w:rsid w:val="31D1C9D7"/>
    <w:rsid w:val="332330EE"/>
    <w:rsid w:val="36E2B863"/>
    <w:rsid w:val="37A6ACEF"/>
    <w:rsid w:val="3983C6EF"/>
    <w:rsid w:val="3D8E0B4E"/>
    <w:rsid w:val="3E61AE50"/>
    <w:rsid w:val="3F68195C"/>
    <w:rsid w:val="3F9E3089"/>
    <w:rsid w:val="3FC42991"/>
    <w:rsid w:val="40142373"/>
    <w:rsid w:val="404BEADA"/>
    <w:rsid w:val="412F0A03"/>
    <w:rsid w:val="43D96AE2"/>
    <w:rsid w:val="45E83DCA"/>
    <w:rsid w:val="45F6B40B"/>
    <w:rsid w:val="462EDB2C"/>
    <w:rsid w:val="46A3C576"/>
    <w:rsid w:val="47C32BE9"/>
    <w:rsid w:val="48ED3D11"/>
    <w:rsid w:val="4B7B0FAF"/>
    <w:rsid w:val="4D4C0BD2"/>
    <w:rsid w:val="4E2AFC5C"/>
    <w:rsid w:val="5175DB5C"/>
    <w:rsid w:val="518F9790"/>
    <w:rsid w:val="5472CC86"/>
    <w:rsid w:val="562E5D5E"/>
    <w:rsid w:val="5635F657"/>
    <w:rsid w:val="572D703F"/>
    <w:rsid w:val="59F78A0A"/>
    <w:rsid w:val="5A5C6079"/>
    <w:rsid w:val="5A5D8C3C"/>
    <w:rsid w:val="5C107947"/>
    <w:rsid w:val="5CA7B794"/>
    <w:rsid w:val="5D0E4DC0"/>
    <w:rsid w:val="5D5BD07F"/>
    <w:rsid w:val="5F65435D"/>
    <w:rsid w:val="60449136"/>
    <w:rsid w:val="608AB995"/>
    <w:rsid w:val="6135DCAC"/>
    <w:rsid w:val="620141FD"/>
    <w:rsid w:val="6477BF60"/>
    <w:rsid w:val="65CCAF0F"/>
    <w:rsid w:val="672E86D3"/>
    <w:rsid w:val="67D322DB"/>
    <w:rsid w:val="67F5335F"/>
    <w:rsid w:val="6862EC3A"/>
    <w:rsid w:val="695109E9"/>
    <w:rsid w:val="6956FCBC"/>
    <w:rsid w:val="6A82FDA7"/>
    <w:rsid w:val="6B764A06"/>
    <w:rsid w:val="6BBBB6D6"/>
    <w:rsid w:val="6CBEDE88"/>
    <w:rsid w:val="6D985BF9"/>
    <w:rsid w:val="6DFA2FAD"/>
    <w:rsid w:val="6F96C2CA"/>
    <w:rsid w:val="70788E8C"/>
    <w:rsid w:val="71812CD7"/>
    <w:rsid w:val="718D9ECD"/>
    <w:rsid w:val="72E4444F"/>
    <w:rsid w:val="7301CCED"/>
    <w:rsid w:val="760BA659"/>
    <w:rsid w:val="7820902A"/>
    <w:rsid w:val="7AF2E893"/>
    <w:rsid w:val="7E0052AB"/>
    <w:rsid w:val="7E83CCF1"/>
    <w:rsid w:val="7EB9C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A18D"/>
  <w15:docId w15:val="{32E93A6B-CD7E-41E0-B030-E47B1CB3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100C2"/>
    <w:rPr>
      <w:sz w:val="16"/>
      <w:szCs w:val="16"/>
    </w:rPr>
  </w:style>
  <w:style w:type="paragraph" w:styleId="CommentText">
    <w:name w:val="annotation text"/>
    <w:basedOn w:val="Normal"/>
    <w:link w:val="CommentTextChar"/>
    <w:uiPriority w:val="99"/>
    <w:semiHidden/>
    <w:unhideWhenUsed/>
    <w:rsid w:val="004100C2"/>
    <w:rPr>
      <w:sz w:val="20"/>
      <w:szCs w:val="20"/>
    </w:rPr>
  </w:style>
  <w:style w:type="character" w:customStyle="1" w:styleId="CommentTextChar">
    <w:name w:val="Comment Text Char"/>
    <w:basedOn w:val="DefaultParagraphFont"/>
    <w:link w:val="CommentText"/>
    <w:uiPriority w:val="99"/>
    <w:semiHidden/>
    <w:rsid w:val="004100C2"/>
    <w:rPr>
      <w:sz w:val="20"/>
      <w:szCs w:val="20"/>
    </w:rPr>
  </w:style>
  <w:style w:type="paragraph" w:styleId="CommentSubject">
    <w:name w:val="annotation subject"/>
    <w:basedOn w:val="CommentText"/>
    <w:next w:val="CommentText"/>
    <w:link w:val="CommentSubjectChar"/>
    <w:uiPriority w:val="99"/>
    <w:semiHidden/>
    <w:unhideWhenUsed/>
    <w:rsid w:val="004100C2"/>
    <w:rPr>
      <w:b/>
      <w:bCs/>
    </w:rPr>
  </w:style>
  <w:style w:type="character" w:customStyle="1" w:styleId="CommentSubjectChar">
    <w:name w:val="Comment Subject Char"/>
    <w:basedOn w:val="CommentTextChar"/>
    <w:link w:val="CommentSubject"/>
    <w:uiPriority w:val="99"/>
    <w:semiHidden/>
    <w:rsid w:val="00410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2021-12-08T19:14:00Z</dcterms:created>
  <dcterms:modified xsi:type="dcterms:W3CDTF">2021-12-08T19:14:00Z</dcterms:modified>
</cp:coreProperties>
</file>