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20598" w14:textId="77777777" w:rsidR="00466093" w:rsidRPr="00E0311E" w:rsidRDefault="00466093" w:rsidP="00466093">
      <w:pPr>
        <w:jc w:val="right"/>
        <w:rPr>
          <w:sz w:val="22"/>
          <w:u w:val="single"/>
        </w:rPr>
      </w:pPr>
      <w:bookmarkStart w:id="0" w:name="_GoBack"/>
      <w:bookmarkEnd w:id="0"/>
      <w:r w:rsidRPr="00E0311E">
        <w:rPr>
          <w:sz w:val="22"/>
          <w:u w:val="single"/>
        </w:rPr>
        <w:t xml:space="preserve">Committee on </w:t>
      </w:r>
      <w:r>
        <w:rPr>
          <w:sz w:val="22"/>
          <w:u w:val="single"/>
        </w:rPr>
        <w:t>Health</w:t>
      </w:r>
    </w:p>
    <w:p w14:paraId="2E3DB1B4" w14:textId="77777777" w:rsidR="00466093" w:rsidRPr="00A4359F" w:rsidRDefault="00466093" w:rsidP="00466093">
      <w:pPr>
        <w:jc w:val="right"/>
        <w:rPr>
          <w:i/>
          <w:sz w:val="22"/>
        </w:rPr>
      </w:pPr>
      <w:r>
        <w:rPr>
          <w:sz w:val="22"/>
        </w:rPr>
        <w:t>Sara Liss,</w:t>
      </w:r>
      <w:r w:rsidRPr="00E0311E">
        <w:rPr>
          <w:sz w:val="22"/>
        </w:rPr>
        <w:t xml:space="preserve"> </w:t>
      </w:r>
      <w:r w:rsidRPr="00A4359F">
        <w:rPr>
          <w:i/>
          <w:sz w:val="22"/>
        </w:rPr>
        <w:t xml:space="preserve">Senior Counsel </w:t>
      </w:r>
    </w:p>
    <w:p w14:paraId="0865114E" w14:textId="0C5AD850" w:rsidR="00FD737B" w:rsidRDefault="00FD737B" w:rsidP="181A2C2F">
      <w:pPr>
        <w:jc w:val="right"/>
        <w:rPr>
          <w:sz w:val="22"/>
          <w:szCs w:val="22"/>
        </w:rPr>
      </w:pPr>
      <w:r w:rsidRPr="181A2C2F">
        <w:rPr>
          <w:sz w:val="22"/>
          <w:szCs w:val="22"/>
        </w:rPr>
        <w:t xml:space="preserve">Harbani Ahuja, </w:t>
      </w:r>
      <w:r w:rsidR="00F82BA5" w:rsidRPr="00F82BA5">
        <w:rPr>
          <w:i/>
          <w:sz w:val="22"/>
          <w:szCs w:val="22"/>
        </w:rPr>
        <w:t>Senior</w:t>
      </w:r>
      <w:r w:rsidR="00F82BA5">
        <w:rPr>
          <w:sz w:val="22"/>
          <w:szCs w:val="22"/>
        </w:rPr>
        <w:t xml:space="preserve"> </w:t>
      </w:r>
      <w:r w:rsidRPr="181A2C2F">
        <w:rPr>
          <w:i/>
          <w:iCs/>
          <w:sz w:val="22"/>
          <w:szCs w:val="22"/>
        </w:rPr>
        <w:t>Coun</w:t>
      </w:r>
      <w:r w:rsidR="0AEFE140" w:rsidRPr="181A2C2F">
        <w:rPr>
          <w:i/>
          <w:iCs/>
          <w:sz w:val="22"/>
          <w:szCs w:val="22"/>
        </w:rPr>
        <w:t>s</w:t>
      </w:r>
      <w:r w:rsidRPr="181A2C2F">
        <w:rPr>
          <w:i/>
          <w:iCs/>
          <w:sz w:val="22"/>
          <w:szCs w:val="22"/>
        </w:rPr>
        <w:t>el</w:t>
      </w:r>
    </w:p>
    <w:p w14:paraId="24B2C0A5" w14:textId="77777777" w:rsidR="00466093" w:rsidRPr="00A4359F" w:rsidRDefault="00466093" w:rsidP="00466093">
      <w:pPr>
        <w:jc w:val="right"/>
        <w:rPr>
          <w:i/>
          <w:sz w:val="22"/>
        </w:rPr>
      </w:pPr>
      <w:r>
        <w:rPr>
          <w:sz w:val="22"/>
        </w:rPr>
        <w:t>Emily Balkan</w:t>
      </w:r>
      <w:r w:rsidRPr="00E0311E">
        <w:rPr>
          <w:sz w:val="22"/>
        </w:rPr>
        <w:t xml:space="preserve">, </w:t>
      </w:r>
      <w:r w:rsidRPr="00A4359F">
        <w:rPr>
          <w:i/>
          <w:sz w:val="22"/>
        </w:rPr>
        <w:t xml:space="preserve">Senior Policy Analyst </w:t>
      </w:r>
    </w:p>
    <w:p w14:paraId="22A64004" w14:textId="77777777" w:rsidR="00466093" w:rsidRDefault="00466093" w:rsidP="00466093">
      <w:pPr>
        <w:jc w:val="right"/>
        <w:rPr>
          <w:i/>
          <w:sz w:val="22"/>
        </w:rPr>
      </w:pPr>
      <w:r>
        <w:rPr>
          <w:sz w:val="22"/>
        </w:rPr>
        <w:t>La</w:t>
      </w:r>
      <w:r w:rsidR="00FF6586">
        <w:rPr>
          <w:sz w:val="22"/>
        </w:rPr>
        <w:t xml:space="preserve">uren Hunt, </w:t>
      </w:r>
      <w:r w:rsidR="00FF6586" w:rsidRPr="00A4359F">
        <w:rPr>
          <w:i/>
          <w:sz w:val="22"/>
        </w:rPr>
        <w:t>Financial</w:t>
      </w:r>
      <w:r w:rsidRPr="00A4359F">
        <w:rPr>
          <w:i/>
          <w:sz w:val="22"/>
        </w:rPr>
        <w:t xml:space="preserve"> Analyst </w:t>
      </w:r>
    </w:p>
    <w:p w14:paraId="50561DAF" w14:textId="77777777" w:rsidR="003F7AE1" w:rsidRPr="00A4359F" w:rsidRDefault="00FB3AB0" w:rsidP="003F7AE1">
      <w:pPr>
        <w:jc w:val="center"/>
        <w:rPr>
          <w:i/>
          <w:sz w:val="22"/>
        </w:rPr>
      </w:pPr>
      <w:r w:rsidRPr="00A4359F">
        <w:rPr>
          <w:b/>
          <w:noProof/>
        </w:rPr>
        <w:drawing>
          <wp:anchor distT="0" distB="0" distL="114300" distR="114300" simplePos="0" relativeHeight="251658240" behindDoc="0" locked="0" layoutInCell="1" allowOverlap="1" wp14:anchorId="133E97BD" wp14:editId="07777777">
            <wp:simplePos x="0" y="0"/>
            <wp:positionH relativeFrom="page">
              <wp:posOffset>3225800</wp:posOffset>
            </wp:positionH>
            <wp:positionV relativeFrom="page">
              <wp:posOffset>2584450</wp:posOffset>
            </wp:positionV>
            <wp:extent cx="13208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02BDC303" w:rsidR="008E5FF1" w:rsidRPr="00E0311E" w:rsidRDefault="008E5FF1" w:rsidP="00047321">
      <w:pPr>
        <w:pStyle w:val="Heading4A"/>
        <w:suppressAutoHyphens/>
        <w:jc w:val="left"/>
        <w:rPr>
          <w:rFonts w:ascii="Times New Roman" w:hAnsi="Times New Roman"/>
          <w:spacing w:val="-3"/>
        </w:rPr>
      </w:pPr>
    </w:p>
    <w:p w14:paraId="6A05A809" w14:textId="77777777" w:rsidR="008E5FF1" w:rsidRPr="00E0311E" w:rsidRDefault="008E5FF1"/>
    <w:p w14:paraId="5A39BBE3" w14:textId="77777777" w:rsidR="008E5FF1" w:rsidRPr="00E0311E" w:rsidRDefault="008E5FF1"/>
    <w:p w14:paraId="41C8F396" w14:textId="77777777" w:rsidR="008E5FF1" w:rsidRPr="00E0311E" w:rsidRDefault="008E5FF1"/>
    <w:p w14:paraId="72A3D3EC" w14:textId="143DC925" w:rsidR="008E5FF1" w:rsidRDefault="008E5FF1">
      <w:pPr>
        <w:pStyle w:val="Heading4A"/>
        <w:suppressAutoHyphens/>
        <w:rPr>
          <w:rFonts w:ascii="Times New Roman" w:hAnsi="Times New Roman"/>
          <w:spacing w:val="-3"/>
        </w:rPr>
      </w:pPr>
    </w:p>
    <w:p w14:paraId="215A5D65" w14:textId="40D98D56" w:rsidR="00047321" w:rsidRDefault="00047321" w:rsidP="00047321"/>
    <w:p w14:paraId="750FF614" w14:textId="302B29AF" w:rsidR="00047321" w:rsidRDefault="00047321" w:rsidP="00047321"/>
    <w:p w14:paraId="02EAE1DD" w14:textId="04EE970E" w:rsidR="00047321" w:rsidRDefault="00047321" w:rsidP="00047321"/>
    <w:p w14:paraId="5025A9CF" w14:textId="1318A2D9" w:rsidR="00047321" w:rsidRDefault="00047321" w:rsidP="00047321"/>
    <w:p w14:paraId="332C183A" w14:textId="77777777" w:rsidR="00047321" w:rsidRPr="00047321" w:rsidRDefault="00047321" w:rsidP="00047321"/>
    <w:p w14:paraId="0D0B940D" w14:textId="6D0AE644" w:rsidR="008E5FF1" w:rsidRDefault="008E5FF1" w:rsidP="00A4359F">
      <w:pPr>
        <w:pStyle w:val="Heading4A"/>
        <w:suppressAutoHyphens/>
        <w:jc w:val="left"/>
        <w:rPr>
          <w:rFonts w:ascii="Times New Roman" w:hAnsi="Times New Roman"/>
          <w:spacing w:val="-3"/>
          <w:u w:val="none"/>
        </w:rPr>
      </w:pPr>
    </w:p>
    <w:p w14:paraId="5630B610" w14:textId="4EDD3345" w:rsidR="00047321" w:rsidRDefault="00047321" w:rsidP="00047321"/>
    <w:p w14:paraId="1704C279" w14:textId="77777777" w:rsidR="00047321" w:rsidRPr="00047321" w:rsidRDefault="00047321" w:rsidP="00047321"/>
    <w:p w14:paraId="6F3DA698" w14:textId="77777777" w:rsidR="008E5FF1" w:rsidRPr="00A4359F" w:rsidRDefault="008E5FF1">
      <w:pPr>
        <w:pStyle w:val="Heading4A"/>
        <w:suppressAutoHyphens/>
        <w:rPr>
          <w:rFonts w:ascii="Times New Roman" w:hAnsi="Times New Roman"/>
          <w:b/>
          <w:spacing w:val="-3"/>
          <w:u w:val="none"/>
        </w:rPr>
      </w:pPr>
      <w:r w:rsidRPr="00A4359F">
        <w:rPr>
          <w:rFonts w:ascii="Times New Roman" w:hAnsi="Times New Roman"/>
          <w:b/>
          <w:spacing w:val="-3"/>
          <w:u w:val="none"/>
        </w:rPr>
        <w:t>The Council of the City of New York</w:t>
      </w:r>
    </w:p>
    <w:p w14:paraId="0E27B00A" w14:textId="77777777" w:rsidR="008E5FF1" w:rsidRPr="00A4359F" w:rsidRDefault="008E5FF1">
      <w:pPr>
        <w:tabs>
          <w:tab w:val="center" w:pos="4680"/>
        </w:tabs>
        <w:suppressAutoHyphens/>
        <w:jc w:val="center"/>
        <w:rPr>
          <w:b/>
          <w:spacing w:val="-3"/>
        </w:rPr>
      </w:pPr>
    </w:p>
    <w:p w14:paraId="5D852ABF" w14:textId="77777777" w:rsidR="00A4359F"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 xml:space="preserve">COMMITTEE REPORT </w:t>
      </w:r>
    </w:p>
    <w:p w14:paraId="31F86C91" w14:textId="77777777" w:rsidR="008E5FF1"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OF THE HUMAN SERVICES DIVISION</w:t>
      </w:r>
    </w:p>
    <w:p w14:paraId="0D82D2C3" w14:textId="77777777" w:rsidR="008E5FF1" w:rsidRPr="00A4359F" w:rsidRDefault="008E5FF1">
      <w:pPr>
        <w:tabs>
          <w:tab w:val="center" w:pos="4680"/>
        </w:tabs>
        <w:suppressAutoHyphens/>
        <w:jc w:val="center"/>
        <w:rPr>
          <w:i/>
          <w:spacing w:val="-3"/>
        </w:rPr>
      </w:pPr>
      <w:r w:rsidRPr="00E0311E">
        <w:rPr>
          <w:spacing w:val="-3"/>
        </w:rPr>
        <w:t xml:space="preserve">Jeffrey Baker, </w:t>
      </w:r>
      <w:r w:rsidRPr="00A4359F">
        <w:rPr>
          <w:i/>
          <w:spacing w:val="-3"/>
        </w:rPr>
        <w:t>Legislative Director</w:t>
      </w:r>
    </w:p>
    <w:p w14:paraId="3741AC3A" w14:textId="77777777" w:rsidR="008E5FF1" w:rsidRPr="00A4359F" w:rsidRDefault="008E5FF1">
      <w:pPr>
        <w:tabs>
          <w:tab w:val="center" w:pos="4680"/>
        </w:tabs>
        <w:suppressAutoHyphens/>
        <w:jc w:val="center"/>
        <w:rPr>
          <w:i/>
          <w:spacing w:val="-3"/>
        </w:rPr>
      </w:pPr>
      <w:r w:rsidRPr="00E0311E">
        <w:rPr>
          <w:spacing w:val="-3"/>
        </w:rPr>
        <w:t xml:space="preserve">Andrea Vazquez, </w:t>
      </w:r>
      <w:r w:rsidR="00A4359F">
        <w:rPr>
          <w:i/>
          <w:spacing w:val="-3"/>
        </w:rPr>
        <w:t xml:space="preserve">Deputy Director, </w:t>
      </w:r>
      <w:r w:rsidRPr="00A4359F">
        <w:rPr>
          <w:i/>
          <w:spacing w:val="-3"/>
        </w:rPr>
        <w:t>Human Services</w:t>
      </w:r>
      <w:r w:rsidR="00A4359F">
        <w:rPr>
          <w:i/>
          <w:spacing w:val="-3"/>
        </w:rPr>
        <w:t xml:space="preserve"> Division</w:t>
      </w:r>
    </w:p>
    <w:p w14:paraId="44EAFD9C" w14:textId="14A2EF6B" w:rsidR="008E5FF1" w:rsidRPr="00E0311E" w:rsidRDefault="008E5FF1">
      <w:pPr>
        <w:jc w:val="center"/>
      </w:pPr>
    </w:p>
    <w:p w14:paraId="3F741270" w14:textId="77777777" w:rsidR="00FF6586" w:rsidRPr="00A4359F" w:rsidRDefault="00FF6586" w:rsidP="00FF6586">
      <w:pPr>
        <w:tabs>
          <w:tab w:val="center" w:pos="4680"/>
        </w:tabs>
        <w:suppressAutoHyphens/>
        <w:jc w:val="center"/>
        <w:rPr>
          <w:b/>
          <w:spacing w:val="-3"/>
          <w:u w:val="single"/>
        </w:rPr>
      </w:pPr>
      <w:r w:rsidRPr="00A4359F">
        <w:rPr>
          <w:b/>
          <w:spacing w:val="-3"/>
          <w:u w:val="single"/>
        </w:rPr>
        <w:t>COMMITTEE ON HEALTH</w:t>
      </w:r>
    </w:p>
    <w:p w14:paraId="4A47285C" w14:textId="77777777" w:rsidR="00FF6586" w:rsidRPr="00E0311E" w:rsidRDefault="00FF6586" w:rsidP="00FF6586">
      <w:pPr>
        <w:tabs>
          <w:tab w:val="center" w:pos="4680"/>
        </w:tabs>
        <w:suppressAutoHyphens/>
        <w:jc w:val="center"/>
        <w:rPr>
          <w:spacing w:val="-3"/>
        </w:rPr>
      </w:pPr>
      <w:r w:rsidRPr="00E0311E">
        <w:rPr>
          <w:spacing w:val="-3"/>
        </w:rPr>
        <w:t xml:space="preserve">Hon. </w:t>
      </w:r>
      <w:r>
        <w:rPr>
          <w:spacing w:val="-3"/>
        </w:rPr>
        <w:t>Mark Levine</w:t>
      </w:r>
      <w:r w:rsidRPr="00E0311E">
        <w:rPr>
          <w:spacing w:val="-3"/>
        </w:rPr>
        <w:t xml:space="preserve">, </w:t>
      </w:r>
      <w:r w:rsidRPr="00A4359F">
        <w:rPr>
          <w:i/>
          <w:spacing w:val="-3"/>
        </w:rPr>
        <w:t>Chair</w:t>
      </w:r>
    </w:p>
    <w:p w14:paraId="4B94D5A5" w14:textId="77777777" w:rsidR="008E5FF1" w:rsidRPr="00E0311E" w:rsidRDefault="008E5FF1">
      <w:pPr>
        <w:jc w:val="center"/>
      </w:pPr>
    </w:p>
    <w:p w14:paraId="587CB258" w14:textId="28AA5C89" w:rsidR="008E5FF1" w:rsidRPr="00FF6586" w:rsidRDefault="00F82BA5" w:rsidP="00FF6586">
      <w:pPr>
        <w:pStyle w:val="Heading3AA"/>
        <w:rPr>
          <w:rFonts w:ascii="Times New Roman" w:hAnsi="Times New Roman"/>
        </w:rPr>
      </w:pPr>
      <w:r>
        <w:rPr>
          <w:rFonts w:ascii="Times New Roman" w:hAnsi="Times New Roman"/>
        </w:rPr>
        <w:t>December 8</w:t>
      </w:r>
      <w:r w:rsidR="00047321">
        <w:rPr>
          <w:rFonts w:ascii="Times New Roman" w:hAnsi="Times New Roman"/>
        </w:rPr>
        <w:t>, 2021</w:t>
      </w:r>
    </w:p>
    <w:p w14:paraId="1299C43A" w14:textId="0AD7F130" w:rsidR="00A4359F" w:rsidRDefault="00A4359F" w:rsidP="00047321">
      <w:pPr>
        <w:jc w:val="both"/>
        <w:rPr>
          <w:spacing w:val="-3"/>
        </w:rPr>
      </w:pPr>
    </w:p>
    <w:p w14:paraId="4DDBEF00" w14:textId="77777777" w:rsidR="007D0013" w:rsidRPr="00CE6761" w:rsidRDefault="007D0013" w:rsidP="003C1005">
      <w:pPr>
        <w:ind w:left="5040" w:hanging="5040"/>
        <w:jc w:val="both"/>
        <w:rPr>
          <w:spacing w:val="-3"/>
        </w:rPr>
      </w:pPr>
    </w:p>
    <w:p w14:paraId="7275B6BB" w14:textId="65E062D9" w:rsidR="003C1005" w:rsidRPr="00091683" w:rsidRDefault="00047321" w:rsidP="1745A64D">
      <w:pPr>
        <w:ind w:left="5040" w:hanging="5040"/>
        <w:jc w:val="both"/>
      </w:pPr>
      <w:r>
        <w:rPr>
          <w:b/>
          <w:bCs/>
          <w:u w:val="single"/>
        </w:rPr>
        <w:t xml:space="preserve">Proposed </w:t>
      </w:r>
      <w:r w:rsidR="5F127B32" w:rsidRPr="00CD54EB">
        <w:rPr>
          <w:b/>
          <w:bCs/>
          <w:u w:val="single"/>
        </w:rPr>
        <w:t xml:space="preserve">Int. No. </w:t>
      </w:r>
      <w:r w:rsidR="00F82BA5">
        <w:rPr>
          <w:b/>
          <w:bCs/>
          <w:u w:val="single"/>
        </w:rPr>
        <w:t>1625-B</w:t>
      </w:r>
      <w:r w:rsidR="5F127B32" w:rsidRPr="00CD54EB">
        <w:rPr>
          <w:b/>
          <w:bCs/>
        </w:rPr>
        <w:t xml:space="preserve">:                    </w:t>
      </w:r>
      <w:r w:rsidR="00BD06B6" w:rsidRPr="00CD54EB">
        <w:rPr>
          <w:b/>
          <w:bCs/>
        </w:rPr>
        <w:tab/>
      </w:r>
      <w:r>
        <w:rPr>
          <w:color w:val="000000"/>
        </w:rPr>
        <w:t xml:space="preserve">By Council Members </w:t>
      </w:r>
      <w:r w:rsidR="00F82BA5" w:rsidRPr="00E27550">
        <w:rPr>
          <w:color w:val="000000"/>
        </w:rPr>
        <w:t>Rivera, Chin, Ampry-Samuel, Adams, Ayala, Levine, Rose, Moya, Louis, Rosenthal, Barron, Lander, Koslowitz, Cumbo, Gibson, Cornegy and Kallos</w:t>
      </w:r>
    </w:p>
    <w:p w14:paraId="6739360A" w14:textId="77777777" w:rsidR="003C1005" w:rsidRPr="00091683" w:rsidRDefault="003C1005" w:rsidP="1745A64D">
      <w:pPr>
        <w:ind w:left="5040" w:hanging="5040"/>
        <w:jc w:val="both"/>
      </w:pPr>
    </w:p>
    <w:p w14:paraId="72906AB0" w14:textId="19683D50" w:rsidR="003C1005" w:rsidRPr="00CD54EB" w:rsidRDefault="5F127B32" w:rsidP="1745A64D">
      <w:pPr>
        <w:ind w:left="5040" w:hanging="5040"/>
        <w:jc w:val="both"/>
      </w:pPr>
      <w:r w:rsidRPr="00CD54EB">
        <w:rPr>
          <w:b/>
          <w:bCs/>
          <w:u w:val="single"/>
        </w:rPr>
        <w:t>Title:</w:t>
      </w:r>
      <w:r w:rsidR="00BD06B6" w:rsidRPr="00CD54EB">
        <w:rPr>
          <w:b/>
          <w:bCs/>
        </w:rPr>
        <w:tab/>
      </w:r>
      <w:r w:rsidR="00F82BA5" w:rsidRPr="00E27550">
        <w:rPr>
          <w:color w:val="000000"/>
        </w:rPr>
        <w:t xml:space="preserve">to amend the administrative code of the city of New York, in relation to requiring the department of health and mental hygiene to make available FDA-approved methods of </w:t>
      </w:r>
      <w:r w:rsidR="00F82BA5">
        <w:rPr>
          <w:color w:val="000000"/>
        </w:rPr>
        <w:t>non-surgical</w:t>
      </w:r>
      <w:r w:rsidR="00F82BA5" w:rsidRPr="00E27550">
        <w:rPr>
          <w:color w:val="000000"/>
        </w:rPr>
        <w:t xml:space="preserve"> contraception and long</w:t>
      </w:r>
      <w:r w:rsidR="00F82BA5">
        <w:rPr>
          <w:color w:val="000000"/>
        </w:rPr>
        <w:t>-</w:t>
      </w:r>
      <w:r w:rsidR="00F82BA5" w:rsidRPr="00E27550">
        <w:rPr>
          <w:color w:val="000000"/>
        </w:rPr>
        <w:t>acting reversible contraception at its health centers, health stations, health clinics and other health facilities</w:t>
      </w:r>
    </w:p>
    <w:p w14:paraId="0A6F702E" w14:textId="77777777" w:rsidR="003C1005" w:rsidRPr="00CD54EB" w:rsidRDefault="003C1005" w:rsidP="1745A64D">
      <w:pPr>
        <w:ind w:left="5040" w:hanging="5040"/>
        <w:jc w:val="both"/>
        <w:rPr>
          <w:b/>
          <w:bCs/>
          <w:u w:val="single"/>
        </w:rPr>
      </w:pPr>
    </w:p>
    <w:p w14:paraId="70F2C5BF" w14:textId="2F656239" w:rsidR="00047321" w:rsidRPr="00047321" w:rsidRDefault="5F127B32" w:rsidP="00047321">
      <w:pPr>
        <w:ind w:left="5040" w:hanging="5040"/>
        <w:jc w:val="both"/>
      </w:pPr>
      <w:r w:rsidRPr="00CD54EB">
        <w:rPr>
          <w:b/>
          <w:bCs/>
          <w:u w:val="single"/>
        </w:rPr>
        <w:t>Administrative Code:</w:t>
      </w:r>
      <w:r w:rsidR="00BD06B6" w:rsidRPr="00CD54EB">
        <w:rPr>
          <w:b/>
          <w:bCs/>
        </w:rPr>
        <w:tab/>
      </w:r>
      <w:r w:rsidR="00F82BA5">
        <w:t xml:space="preserve">Amends § </w:t>
      </w:r>
      <w:r w:rsidR="00F82BA5" w:rsidRPr="00E27550">
        <w:rPr>
          <w:color w:val="000000"/>
        </w:rPr>
        <w:t>17-184</w:t>
      </w:r>
    </w:p>
    <w:p w14:paraId="6B562306" w14:textId="1F7CF122" w:rsidR="003C1005" w:rsidRPr="00CD54EB" w:rsidRDefault="003C1005" w:rsidP="1745A64D">
      <w:pPr>
        <w:jc w:val="both"/>
        <w:rPr>
          <w:u w:val="single"/>
        </w:rPr>
      </w:pPr>
    </w:p>
    <w:p w14:paraId="76EC6592" w14:textId="0DF6AABC" w:rsidR="00725629" w:rsidRPr="00047321" w:rsidRDefault="0084251B" w:rsidP="00047321">
      <w:pPr>
        <w:pStyle w:val="ColorfulList-Accent11"/>
        <w:numPr>
          <w:ilvl w:val="0"/>
          <w:numId w:val="5"/>
        </w:numPr>
        <w:spacing w:line="480" w:lineRule="auto"/>
        <w:ind w:hanging="720"/>
        <w:jc w:val="both"/>
        <w:rPr>
          <w:rFonts w:ascii="Times New Roman" w:hAnsi="Times New Roman"/>
          <w:b/>
          <w:szCs w:val="24"/>
          <w:u w:val="single"/>
        </w:rPr>
      </w:pPr>
      <w:r>
        <w:rPr>
          <w:rFonts w:ascii="Times New Roman" w:hAnsi="Times New Roman"/>
          <w:b/>
          <w:szCs w:val="24"/>
          <w:u w:val="single"/>
        </w:rPr>
        <w:t>INTRODUCTION</w:t>
      </w:r>
    </w:p>
    <w:p w14:paraId="7A841B8A" w14:textId="369B86C1" w:rsidR="00047321" w:rsidRPr="005D2DB1" w:rsidRDefault="00047321" w:rsidP="00031A34">
      <w:pPr>
        <w:spacing w:line="480" w:lineRule="auto"/>
        <w:ind w:firstLine="720"/>
        <w:jc w:val="both"/>
      </w:pPr>
      <w:r>
        <w:t xml:space="preserve">On </w:t>
      </w:r>
      <w:r w:rsidR="00F82BA5">
        <w:t>December 8</w:t>
      </w:r>
      <w:r>
        <w:t xml:space="preserve">, 2021, the Committee on Health, chaired by Council Member Mark Levine, will hold a vote on Proposed Introduction Number </w:t>
      </w:r>
      <w:r w:rsidR="00F82BA5">
        <w:t>1625-B (Proposed Int. No. 1625</w:t>
      </w:r>
      <w:r w:rsidR="00BE17C5">
        <w:t>-B</w:t>
      </w:r>
      <w:r>
        <w:t xml:space="preserve">). The legislation was previously heard </w:t>
      </w:r>
      <w:r w:rsidRPr="00D74E25">
        <w:rPr>
          <w:bCs/>
        </w:rPr>
        <w:t xml:space="preserve">at a </w:t>
      </w:r>
      <w:r>
        <w:rPr>
          <w:bCs/>
        </w:rPr>
        <w:t xml:space="preserve">joint </w:t>
      </w:r>
      <w:r w:rsidRPr="00D74E25">
        <w:rPr>
          <w:bCs/>
        </w:rPr>
        <w:t>hearing of this Committee</w:t>
      </w:r>
      <w:r>
        <w:rPr>
          <w:bCs/>
        </w:rPr>
        <w:t xml:space="preserve"> with the Committee on Women and Gender Equity,</w:t>
      </w:r>
      <w:r w:rsidRPr="00D74E25">
        <w:rPr>
          <w:bCs/>
        </w:rPr>
        <w:t xml:space="preserve"> </w:t>
      </w:r>
      <w:r>
        <w:t xml:space="preserve">chaired by Council Member Helen Rosenthal, </w:t>
      </w:r>
      <w:r w:rsidRPr="00D74E25">
        <w:rPr>
          <w:bCs/>
        </w:rPr>
        <w:t xml:space="preserve">on </w:t>
      </w:r>
      <w:r>
        <w:t xml:space="preserve">October 28, 2020, </w:t>
      </w:r>
      <w:r w:rsidRPr="00D74E25">
        <w:rPr>
          <w:bCs/>
        </w:rPr>
        <w:t>at which the C</w:t>
      </w:r>
      <w:r>
        <w:rPr>
          <w:bCs/>
        </w:rPr>
        <w:t xml:space="preserve">ommittee received testimony from </w:t>
      </w:r>
      <w:r>
        <w:t>the New York City (NYC) Department of Health and Mental Hygiene (DOHMH), the NYC Commission on Gender Equity (CGE), advocacy groups, health professionals and other interested parties.</w:t>
      </w:r>
    </w:p>
    <w:p w14:paraId="38A9835A" w14:textId="77777777" w:rsidR="00522DEF" w:rsidRPr="005D2DB1" w:rsidRDefault="007B2FB7" w:rsidP="0084251B">
      <w:pPr>
        <w:pStyle w:val="ColorfulList-Accent11"/>
        <w:numPr>
          <w:ilvl w:val="0"/>
          <w:numId w:val="5"/>
        </w:numPr>
        <w:spacing w:before="120" w:line="480" w:lineRule="auto"/>
        <w:ind w:hanging="720"/>
        <w:jc w:val="both"/>
        <w:rPr>
          <w:rFonts w:ascii="Times New Roman" w:hAnsi="Times New Roman"/>
          <w:b/>
          <w:szCs w:val="24"/>
          <w:u w:val="single"/>
        </w:rPr>
      </w:pPr>
      <w:r w:rsidRPr="005D2DB1">
        <w:rPr>
          <w:rFonts w:ascii="Times New Roman" w:hAnsi="Times New Roman"/>
          <w:b/>
          <w:szCs w:val="24"/>
          <w:u w:val="single"/>
        </w:rPr>
        <w:t>BACKGROUND</w:t>
      </w:r>
    </w:p>
    <w:p w14:paraId="469EC53B" w14:textId="77777777" w:rsidR="00CF24CC" w:rsidRPr="00CF24CC" w:rsidRDefault="00CF24CC" w:rsidP="00CF24CC">
      <w:pPr>
        <w:widowControl w:val="0"/>
        <w:autoSpaceDE w:val="0"/>
        <w:autoSpaceDN w:val="0"/>
        <w:adjustRightInd w:val="0"/>
        <w:spacing w:line="480" w:lineRule="auto"/>
        <w:jc w:val="both"/>
        <w:rPr>
          <w:i/>
          <w:iCs/>
          <w:color w:val="000000"/>
        </w:rPr>
      </w:pPr>
      <w:r w:rsidRPr="00CF24CC">
        <w:rPr>
          <w:i/>
          <w:iCs/>
          <w:color w:val="000000"/>
        </w:rPr>
        <w:t>Reproductive Health</w:t>
      </w:r>
    </w:p>
    <w:p w14:paraId="5C9CBBCA" w14:textId="4943CFAE" w:rsidR="00FC1BF9" w:rsidRPr="005D2DB1" w:rsidRDefault="00415698" w:rsidP="009E10DC">
      <w:pPr>
        <w:widowControl w:val="0"/>
        <w:autoSpaceDE w:val="0"/>
        <w:autoSpaceDN w:val="0"/>
        <w:adjustRightInd w:val="0"/>
        <w:spacing w:line="480" w:lineRule="auto"/>
        <w:ind w:firstLine="720"/>
        <w:jc w:val="both"/>
        <w:rPr>
          <w:color w:val="000000"/>
        </w:rPr>
      </w:pPr>
      <w:r>
        <w:rPr>
          <w:color w:val="000000"/>
        </w:rPr>
        <w:t xml:space="preserve">Reproductive health, </w:t>
      </w:r>
      <w:r w:rsidR="00600ABB" w:rsidRPr="005D2DB1">
        <w:rPr>
          <w:color w:val="000000"/>
        </w:rPr>
        <w:t xml:space="preserve">broadly </w:t>
      </w:r>
      <w:r w:rsidR="00D66EBF" w:rsidRPr="005D2DB1">
        <w:rPr>
          <w:color w:val="000000"/>
        </w:rPr>
        <w:t xml:space="preserve">defined, </w:t>
      </w:r>
      <w:r w:rsidR="00650EA2" w:rsidRPr="005D2DB1">
        <w:rPr>
          <w:color w:val="000000"/>
        </w:rPr>
        <w:t xml:space="preserve">refers to </w:t>
      </w:r>
      <w:r w:rsidR="000E511C" w:rsidRPr="005D2DB1">
        <w:rPr>
          <w:color w:val="000000"/>
        </w:rPr>
        <w:t xml:space="preserve">the health and social conditions </w:t>
      </w:r>
      <w:r w:rsidR="00650EA2" w:rsidRPr="005D2DB1">
        <w:rPr>
          <w:color w:val="000000"/>
        </w:rPr>
        <w:t xml:space="preserve">of </w:t>
      </w:r>
      <w:r w:rsidR="4D5709B1" w:rsidRPr="005D2DB1">
        <w:rPr>
          <w:color w:val="000000"/>
        </w:rPr>
        <w:t xml:space="preserve">human </w:t>
      </w:r>
      <w:r w:rsidR="00650EA2" w:rsidRPr="005D2DB1">
        <w:rPr>
          <w:color w:val="000000"/>
        </w:rPr>
        <w:t>reproductive systems during all life stages</w:t>
      </w:r>
      <w:r w:rsidR="00FC1BF9" w:rsidRPr="005D2DB1">
        <w:rPr>
          <w:color w:val="000000"/>
        </w:rPr>
        <w:t>.</w:t>
      </w:r>
      <w:r w:rsidR="00650EA2" w:rsidRPr="005D2DB1">
        <w:rPr>
          <w:rStyle w:val="footnotereference0"/>
          <w:color w:val="000000"/>
        </w:rPr>
        <w:footnoteReference w:id="2"/>
      </w:r>
      <w:r w:rsidR="000E511C" w:rsidRPr="005D2DB1">
        <w:rPr>
          <w:color w:val="000000"/>
        </w:rPr>
        <w:t xml:space="preserve"> </w:t>
      </w:r>
      <w:r w:rsidR="00650EA2" w:rsidRPr="005D2DB1">
        <w:t xml:space="preserve">This includes, but is not limited to: </w:t>
      </w:r>
    </w:p>
    <w:p w14:paraId="69FEB325" w14:textId="77777777" w:rsidR="00FC1BF9" w:rsidRPr="005D2DB1" w:rsidRDefault="00FC1BF9" w:rsidP="006720B2">
      <w:pPr>
        <w:numPr>
          <w:ilvl w:val="0"/>
          <w:numId w:val="19"/>
        </w:numPr>
        <w:jc w:val="both"/>
        <w:rPr>
          <w:color w:val="000000"/>
        </w:rPr>
      </w:pPr>
      <w:r w:rsidRPr="005D2DB1">
        <w:t>F</w:t>
      </w:r>
      <w:r w:rsidR="00650EA2" w:rsidRPr="005D2DB1">
        <w:t xml:space="preserve">amily planning services and counseling, </w:t>
      </w:r>
      <w:r w:rsidR="00532E67">
        <w:t>terminating a pregnancy</w:t>
      </w:r>
      <w:r w:rsidR="00650EA2" w:rsidRPr="005D2DB1">
        <w:t xml:space="preserve"> </w:t>
      </w:r>
      <w:r w:rsidR="00532E67" w:rsidRPr="007F483A">
        <w:t xml:space="preserve">(also known as abortion), </w:t>
      </w:r>
      <w:r w:rsidR="00650EA2" w:rsidRPr="005D2DB1">
        <w:t>birth control, emergency contraception, sterilization</w:t>
      </w:r>
      <w:r w:rsidR="000E511C" w:rsidRPr="005D2DB1">
        <w:t xml:space="preserve"> </w:t>
      </w:r>
      <w:r w:rsidR="00650EA2" w:rsidRPr="005D2DB1">
        <w:t xml:space="preserve">and pregnancy testing; </w:t>
      </w:r>
    </w:p>
    <w:p w14:paraId="5D1200EE" w14:textId="77777777" w:rsidR="006630F5" w:rsidRPr="006630F5" w:rsidRDefault="00FC1BF9" w:rsidP="006720B2">
      <w:pPr>
        <w:numPr>
          <w:ilvl w:val="0"/>
          <w:numId w:val="19"/>
        </w:numPr>
        <w:jc w:val="both"/>
        <w:rPr>
          <w:color w:val="000000"/>
        </w:rPr>
      </w:pPr>
      <w:r w:rsidRPr="005D2DB1">
        <w:t>F</w:t>
      </w:r>
      <w:r w:rsidR="00650EA2" w:rsidRPr="005D2DB1">
        <w:t xml:space="preserve">ertility-related medical procedures; </w:t>
      </w:r>
    </w:p>
    <w:p w14:paraId="3B423505" w14:textId="77777777" w:rsidR="006630F5" w:rsidRPr="006630F5" w:rsidRDefault="006630F5" w:rsidP="006720B2">
      <w:pPr>
        <w:numPr>
          <w:ilvl w:val="0"/>
          <w:numId w:val="19"/>
        </w:numPr>
        <w:jc w:val="both"/>
        <w:rPr>
          <w:color w:val="000000"/>
        </w:rPr>
      </w:pPr>
      <w:r>
        <w:t xml:space="preserve">Sexual health education; </w:t>
      </w:r>
    </w:p>
    <w:p w14:paraId="539C8662" w14:textId="77777777" w:rsidR="00FC1BF9" w:rsidRPr="006630F5" w:rsidRDefault="006630F5" w:rsidP="006720B2">
      <w:pPr>
        <w:numPr>
          <w:ilvl w:val="0"/>
          <w:numId w:val="19"/>
        </w:numPr>
        <w:jc w:val="both"/>
        <w:rPr>
          <w:color w:val="000000"/>
        </w:rPr>
      </w:pPr>
      <w:r>
        <w:t xml:space="preserve">Access to medical services and information; </w:t>
      </w:r>
      <w:r w:rsidR="00650EA2" w:rsidRPr="005D2DB1">
        <w:t xml:space="preserve">and </w:t>
      </w:r>
    </w:p>
    <w:p w14:paraId="144A5D23" w14:textId="1C28B0DB" w:rsidR="00650EA2" w:rsidRPr="000F4ECF" w:rsidRDefault="00FC1BF9" w:rsidP="006720B2">
      <w:pPr>
        <w:numPr>
          <w:ilvl w:val="0"/>
          <w:numId w:val="19"/>
        </w:numPr>
        <w:jc w:val="both"/>
        <w:rPr>
          <w:color w:val="000000"/>
        </w:rPr>
      </w:pPr>
      <w:r w:rsidRPr="005D2DB1">
        <w:t>S</w:t>
      </w:r>
      <w:r w:rsidR="00650EA2" w:rsidRPr="005D2DB1">
        <w:t>exually transmitted disease prevention, testing and treatment</w:t>
      </w:r>
      <w:r w:rsidR="0044214F">
        <w:t>.</w:t>
      </w:r>
      <w:r w:rsidRPr="005D2DB1">
        <w:rPr>
          <w:rStyle w:val="footnotereference0"/>
        </w:rPr>
        <w:footnoteReference w:id="3"/>
      </w:r>
      <w:bookmarkStart w:id="1" w:name="co_fnRef_F2359061057_ID0EG4AE_1"/>
      <w:bookmarkEnd w:id="1"/>
      <w:r w:rsidR="00650EA2" w:rsidRPr="005D2DB1">
        <w:t xml:space="preserve"> </w:t>
      </w:r>
    </w:p>
    <w:p w14:paraId="5E768FE1" w14:textId="77777777" w:rsidR="002F62ED" w:rsidRDefault="002F62ED" w:rsidP="009E10DC">
      <w:pPr>
        <w:widowControl w:val="0"/>
        <w:autoSpaceDE w:val="0"/>
        <w:autoSpaceDN w:val="0"/>
        <w:adjustRightInd w:val="0"/>
        <w:spacing w:line="480" w:lineRule="auto"/>
        <w:ind w:firstLine="720"/>
        <w:jc w:val="both"/>
        <w:rPr>
          <w:color w:val="000000"/>
        </w:rPr>
      </w:pPr>
      <w:bookmarkStart w:id="2" w:name="co_fnRef_F1359061057_ID0ES3AE_1"/>
      <w:bookmarkEnd w:id="2"/>
    </w:p>
    <w:p w14:paraId="1C348529" w14:textId="201EF3AA" w:rsidR="004E00F2" w:rsidRDefault="003452AC" w:rsidP="009E10DC">
      <w:pPr>
        <w:widowControl w:val="0"/>
        <w:autoSpaceDE w:val="0"/>
        <w:autoSpaceDN w:val="0"/>
        <w:adjustRightInd w:val="0"/>
        <w:spacing w:line="480" w:lineRule="auto"/>
        <w:ind w:firstLine="720"/>
        <w:jc w:val="both"/>
        <w:rPr>
          <w:color w:val="000000"/>
        </w:rPr>
      </w:pPr>
      <w:r>
        <w:rPr>
          <w:color w:val="000000"/>
        </w:rPr>
        <w:t>While this</w:t>
      </w:r>
      <w:r w:rsidRPr="003452AC">
        <w:rPr>
          <w:color w:val="000000"/>
        </w:rPr>
        <w:t xml:space="preserve"> Committee Report adopts a broader </w:t>
      </w:r>
      <w:r w:rsidR="004E00F2">
        <w:rPr>
          <w:color w:val="000000"/>
        </w:rPr>
        <w:t>definition</w:t>
      </w:r>
      <w:r w:rsidRPr="003452AC">
        <w:rPr>
          <w:color w:val="000000"/>
        </w:rPr>
        <w:t xml:space="preserve"> in the interest of understanding </w:t>
      </w:r>
      <w:r w:rsidR="004E00F2">
        <w:rPr>
          <w:color w:val="000000"/>
        </w:rPr>
        <w:t xml:space="preserve">the full </w:t>
      </w:r>
      <w:r w:rsidRPr="003452AC">
        <w:rPr>
          <w:color w:val="000000"/>
        </w:rPr>
        <w:t xml:space="preserve">spectrum of issues relating to </w:t>
      </w:r>
      <w:r w:rsidR="004E00F2">
        <w:rPr>
          <w:color w:val="000000"/>
        </w:rPr>
        <w:t>reproductive health</w:t>
      </w:r>
      <w:r w:rsidRPr="003452AC">
        <w:rPr>
          <w:color w:val="000000"/>
        </w:rPr>
        <w:t xml:space="preserve">, </w:t>
      </w:r>
      <w:r w:rsidR="004E00F2">
        <w:rPr>
          <w:color w:val="000000"/>
        </w:rPr>
        <w:t xml:space="preserve">it should be noted and is </w:t>
      </w:r>
      <w:r w:rsidRPr="003452AC">
        <w:rPr>
          <w:color w:val="000000"/>
        </w:rPr>
        <w:t xml:space="preserve">perhaps not surprising that many </w:t>
      </w:r>
      <w:r w:rsidRPr="003452AC">
        <w:t xml:space="preserve">definitions of reproductive health focus more </w:t>
      </w:r>
      <w:r w:rsidRPr="003452AC">
        <w:rPr>
          <w:color w:val="000000"/>
        </w:rPr>
        <w:t>narrowly on addressing the reproductive health needs of women.</w:t>
      </w:r>
      <w:r w:rsidRPr="003452AC">
        <w:rPr>
          <w:rStyle w:val="footnotereference0"/>
          <w:color w:val="000000"/>
        </w:rPr>
        <w:footnoteReference w:id="4"/>
      </w:r>
      <w:r w:rsidRPr="003452AC">
        <w:rPr>
          <w:color w:val="000000"/>
        </w:rPr>
        <w:t xml:space="preserve"> </w:t>
      </w:r>
      <w:r w:rsidR="004E00F2">
        <w:rPr>
          <w:color w:val="000000"/>
        </w:rPr>
        <w:t>These definitions</w:t>
      </w:r>
      <w:r w:rsidRPr="003452AC">
        <w:rPr>
          <w:color w:val="000000"/>
        </w:rPr>
        <w:t xml:space="preserve"> include</w:t>
      </w:r>
      <w:r w:rsidR="004E00F2">
        <w:rPr>
          <w:color w:val="000000"/>
        </w:rPr>
        <w:t>,</w:t>
      </w:r>
      <w:r w:rsidRPr="003452AC">
        <w:rPr>
          <w:color w:val="000000"/>
        </w:rPr>
        <w:t xml:space="preserve"> but </w:t>
      </w:r>
      <w:r w:rsidR="004E00F2">
        <w:rPr>
          <w:color w:val="000000"/>
        </w:rPr>
        <w:t>are</w:t>
      </w:r>
      <w:r w:rsidRPr="003452AC">
        <w:rPr>
          <w:color w:val="000000"/>
        </w:rPr>
        <w:t xml:space="preserve"> not limited to</w:t>
      </w:r>
      <w:r w:rsidR="004E00F2">
        <w:rPr>
          <w:color w:val="000000"/>
        </w:rPr>
        <w:t>, those addressing</w:t>
      </w:r>
      <w:r w:rsidRPr="003452AC">
        <w:rPr>
          <w:color w:val="000000"/>
        </w:rPr>
        <w:t xml:space="preserve"> reproductive decisions</w:t>
      </w:r>
      <w:r w:rsidR="004E00F2" w:rsidRPr="003452AC">
        <w:rPr>
          <w:color w:val="000000"/>
        </w:rPr>
        <w:t>—</w:t>
      </w:r>
      <w:r w:rsidRPr="003452AC">
        <w:rPr>
          <w:color w:val="000000"/>
        </w:rPr>
        <w:t>whether a woman seeks to reproduce or avoid reproduction</w:t>
      </w:r>
      <w:r w:rsidR="006630F5">
        <w:rPr>
          <w:color w:val="000000"/>
        </w:rPr>
        <w:t xml:space="preserve">, </w:t>
      </w:r>
      <w:r w:rsidRPr="003452AC">
        <w:rPr>
          <w:color w:val="000000"/>
        </w:rPr>
        <w:t xml:space="preserve">the impact of the process of reproduction on health and </w:t>
      </w:r>
      <w:r w:rsidR="006630F5">
        <w:rPr>
          <w:color w:val="000000"/>
        </w:rPr>
        <w:t xml:space="preserve">the </w:t>
      </w:r>
      <w:r w:rsidRPr="003452AC">
        <w:rPr>
          <w:color w:val="000000"/>
        </w:rPr>
        <w:t>associated issues related to a woman’s autonomy, privacy and agency</w:t>
      </w:r>
      <w:r w:rsidR="004E00F2">
        <w:rPr>
          <w:color w:val="000000"/>
        </w:rPr>
        <w:t xml:space="preserve"> over such decisions</w:t>
      </w:r>
      <w:r w:rsidRPr="003452AC">
        <w:rPr>
          <w:color w:val="000000"/>
        </w:rPr>
        <w:t>.</w:t>
      </w:r>
      <w:r>
        <w:rPr>
          <w:rStyle w:val="footnotereference0"/>
          <w:color w:val="000000"/>
        </w:rPr>
        <w:footnoteReference w:id="5"/>
      </w:r>
      <w:r>
        <w:rPr>
          <w:color w:val="000000"/>
        </w:rPr>
        <w:t xml:space="preserve"> </w:t>
      </w:r>
    </w:p>
    <w:p w14:paraId="42A5A99A" w14:textId="3B3C8FD8" w:rsidR="005D2DB1" w:rsidRPr="003452AC" w:rsidRDefault="00CF24CC" w:rsidP="009E10DC">
      <w:pPr>
        <w:widowControl w:val="0"/>
        <w:autoSpaceDE w:val="0"/>
        <w:autoSpaceDN w:val="0"/>
        <w:adjustRightInd w:val="0"/>
        <w:spacing w:line="480" w:lineRule="auto"/>
        <w:ind w:firstLine="720"/>
        <w:jc w:val="both"/>
        <w:rPr>
          <w:color w:val="000000"/>
        </w:rPr>
      </w:pPr>
      <w:r>
        <w:rPr>
          <w:color w:val="000000"/>
        </w:rPr>
        <w:t>T</w:t>
      </w:r>
      <w:r w:rsidR="00FE1C63" w:rsidRPr="003452AC">
        <w:rPr>
          <w:color w:val="000000"/>
        </w:rPr>
        <w:t>he</w:t>
      </w:r>
      <w:r w:rsidR="00945EB8" w:rsidRPr="009E10DC">
        <w:rPr>
          <w:color w:val="000000"/>
        </w:rPr>
        <w:t xml:space="preserve"> </w:t>
      </w:r>
      <w:r w:rsidR="00945EB8" w:rsidRPr="003452AC">
        <w:rPr>
          <w:color w:val="000000"/>
        </w:rPr>
        <w:t>World Health Organization (WHO)</w:t>
      </w:r>
      <w:r w:rsidR="00AD63BE" w:rsidRPr="003452AC">
        <w:rPr>
          <w:color w:val="000000"/>
        </w:rPr>
        <w:t xml:space="preserve"> identifies </w:t>
      </w:r>
      <w:r w:rsidR="00E63782">
        <w:rPr>
          <w:color w:val="000000"/>
        </w:rPr>
        <w:t>17</w:t>
      </w:r>
      <w:r w:rsidR="00EA5DD1" w:rsidRPr="009E10DC">
        <w:rPr>
          <w:color w:val="000000"/>
        </w:rPr>
        <w:t xml:space="preserve"> </w:t>
      </w:r>
      <w:r w:rsidR="00E63782">
        <w:rPr>
          <w:color w:val="000000"/>
        </w:rPr>
        <w:t>“</w:t>
      </w:r>
      <w:r w:rsidR="00945EB8" w:rsidRPr="009E10DC">
        <w:rPr>
          <w:color w:val="000000"/>
        </w:rPr>
        <w:t>R</w:t>
      </w:r>
      <w:r w:rsidR="002706C2" w:rsidRPr="009E10DC">
        <w:rPr>
          <w:color w:val="000000"/>
        </w:rPr>
        <w:t>eproductive</w:t>
      </w:r>
      <w:r w:rsidR="00EA5DD1" w:rsidRPr="009E10DC">
        <w:rPr>
          <w:color w:val="000000"/>
        </w:rPr>
        <w:t xml:space="preserve"> </w:t>
      </w:r>
      <w:r w:rsidR="00945EB8" w:rsidRPr="009E10DC">
        <w:rPr>
          <w:color w:val="000000"/>
        </w:rPr>
        <w:t>H</w:t>
      </w:r>
      <w:r w:rsidR="00A0385B" w:rsidRPr="009E10DC">
        <w:rPr>
          <w:color w:val="000000"/>
        </w:rPr>
        <w:t>ealth</w:t>
      </w:r>
      <w:r w:rsidR="00EA5DD1" w:rsidRPr="009E10DC">
        <w:rPr>
          <w:color w:val="000000"/>
        </w:rPr>
        <w:t xml:space="preserve"> </w:t>
      </w:r>
      <w:r w:rsidR="00945EB8" w:rsidRPr="009E10DC">
        <w:rPr>
          <w:color w:val="000000"/>
        </w:rPr>
        <w:t>I</w:t>
      </w:r>
      <w:r w:rsidR="00EA5DD1" w:rsidRPr="009E10DC">
        <w:rPr>
          <w:color w:val="000000"/>
        </w:rPr>
        <w:t>ndicators</w:t>
      </w:r>
      <w:r w:rsidR="00E63782">
        <w:rPr>
          <w:color w:val="000000"/>
        </w:rPr>
        <w:t>”</w:t>
      </w:r>
      <w:r w:rsidR="004E00F2">
        <w:rPr>
          <w:color w:val="000000"/>
        </w:rPr>
        <w:t xml:space="preserve"> which </w:t>
      </w:r>
      <w:r>
        <w:rPr>
          <w:color w:val="000000"/>
        </w:rPr>
        <w:t xml:space="preserve">further </w:t>
      </w:r>
      <w:r w:rsidR="004E00F2" w:rsidRPr="003452AC">
        <w:rPr>
          <w:color w:val="000000"/>
        </w:rPr>
        <w:t>provide a framework for assessing the state of reproductive health</w:t>
      </w:r>
      <w:r w:rsidR="00FE1C63" w:rsidRPr="009E10DC">
        <w:rPr>
          <w:color w:val="000000"/>
        </w:rPr>
        <w:t>.</w:t>
      </w:r>
      <w:r w:rsidR="003452AC" w:rsidRPr="003452AC">
        <w:rPr>
          <w:rStyle w:val="footnotereference0"/>
          <w:color w:val="000000"/>
        </w:rPr>
        <w:footnoteReference w:id="6"/>
      </w:r>
      <w:r w:rsidR="00AD63BE" w:rsidRPr="009E10DC">
        <w:rPr>
          <w:color w:val="000000"/>
        </w:rPr>
        <w:t xml:space="preserve"> These</w:t>
      </w:r>
      <w:r w:rsidR="00FB3A0D">
        <w:rPr>
          <w:color w:val="000000"/>
        </w:rPr>
        <w:t xml:space="preserve"> WHO</w:t>
      </w:r>
      <w:r w:rsidR="00AD63BE" w:rsidRPr="009E10DC">
        <w:rPr>
          <w:color w:val="000000"/>
        </w:rPr>
        <w:t xml:space="preserve"> </w:t>
      </w:r>
      <w:r w:rsidR="00E63782">
        <w:rPr>
          <w:color w:val="000000"/>
        </w:rPr>
        <w:t>i</w:t>
      </w:r>
      <w:r w:rsidR="00AD63BE" w:rsidRPr="009E10DC">
        <w:rPr>
          <w:color w:val="000000"/>
        </w:rPr>
        <w:t>ndicators include</w:t>
      </w:r>
      <w:r w:rsidR="00945EB8" w:rsidRPr="009E10DC">
        <w:rPr>
          <w:color w:val="000000"/>
        </w:rPr>
        <w:t>:</w:t>
      </w:r>
    </w:p>
    <w:p w14:paraId="236817F4" w14:textId="77777777" w:rsidR="005D2DB1" w:rsidRPr="003452AC"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 xml:space="preserve">The </w:t>
      </w:r>
      <w:r w:rsidR="006630F5">
        <w:rPr>
          <w:color w:val="000000"/>
        </w:rPr>
        <w:t>t</w:t>
      </w:r>
      <w:r w:rsidR="005D2DB1" w:rsidRPr="003452AC">
        <w:rPr>
          <w:color w:val="000000"/>
        </w:rPr>
        <w:t xml:space="preserve">otal fertility rate; </w:t>
      </w:r>
    </w:p>
    <w:p w14:paraId="48046603" w14:textId="77777777" w:rsidR="005D2DB1" w:rsidRPr="003452AC"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C</w:t>
      </w:r>
      <w:r w:rsidR="005D2DB1" w:rsidRPr="003452AC">
        <w:rPr>
          <w:color w:val="000000"/>
        </w:rPr>
        <w:t xml:space="preserve">ontraceptive prevalence; </w:t>
      </w:r>
    </w:p>
    <w:p w14:paraId="5B854972"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m</w:t>
      </w:r>
      <w:r w:rsidR="005D2DB1" w:rsidRPr="003452AC">
        <w:rPr>
          <w:color w:val="000000"/>
        </w:rPr>
        <w:t xml:space="preserve">aternal mortality ratio; </w:t>
      </w:r>
    </w:p>
    <w:p w14:paraId="63B0B730"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women attended by health personnel during pregnancy; </w:t>
      </w:r>
    </w:p>
    <w:p w14:paraId="751AC87E"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births attended by skilled health personnel; </w:t>
      </w:r>
    </w:p>
    <w:p w14:paraId="2C7BB1E4"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basic obstetric care; </w:t>
      </w:r>
    </w:p>
    <w:p w14:paraId="353A1C9C"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comprehensive obstetric care; </w:t>
      </w:r>
    </w:p>
    <w:p w14:paraId="7AEBDBC6"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 xml:space="preserve">The </w:t>
      </w:r>
      <w:r w:rsidR="00CA6E06">
        <w:rPr>
          <w:color w:val="000000"/>
        </w:rPr>
        <w:t>p</w:t>
      </w:r>
      <w:r w:rsidR="005D2DB1" w:rsidRPr="003452AC">
        <w:rPr>
          <w:color w:val="000000"/>
        </w:rPr>
        <w:t xml:space="preserve">erinatal mortality rate; </w:t>
      </w:r>
    </w:p>
    <w:p w14:paraId="641300B9"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live births with low birth weight; </w:t>
      </w:r>
    </w:p>
    <w:p w14:paraId="6ED16A31"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ositive syphilis serology in pregnant women; </w:t>
      </w:r>
    </w:p>
    <w:p w14:paraId="0224A24C"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anemia in pregnant women; </w:t>
      </w:r>
    </w:p>
    <w:p w14:paraId="52934C87"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obstetric admissions owing to abortion; </w:t>
      </w:r>
    </w:p>
    <w:p w14:paraId="6EF69C1B"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of women with genital cutting</w:t>
      </w:r>
      <w:r w:rsidR="00676231" w:rsidRPr="00C34B25">
        <w:rPr>
          <w:rFonts w:eastAsia="Calibri"/>
          <w:color w:val="000000"/>
        </w:rPr>
        <w:t>, also known as female genital mutilation or female circumcision</w:t>
      </w:r>
      <w:r w:rsidR="00676231">
        <w:rPr>
          <w:rFonts w:eastAsia="Calibri"/>
          <w:color w:val="000000"/>
        </w:rPr>
        <w:t xml:space="preserve"> </w:t>
      </w:r>
      <w:r>
        <w:rPr>
          <w:color w:val="000000"/>
        </w:rPr>
        <w:t>(“FGM/C”)</w:t>
      </w:r>
      <w:r w:rsidR="00676231" w:rsidRPr="0086297A">
        <w:rPr>
          <w:rStyle w:val="footnotereference0"/>
          <w:rFonts w:eastAsia="Calibri"/>
          <w:color w:val="000000"/>
        </w:rPr>
        <w:footnoteReference w:id="7"/>
      </w:r>
      <w:r w:rsidR="005D2DB1" w:rsidRPr="003452AC">
        <w:rPr>
          <w:color w:val="000000"/>
        </w:rPr>
        <w:t xml:space="preserve">; </w:t>
      </w:r>
    </w:p>
    <w:p w14:paraId="5C9E7FEF"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women who report trying for a pregnancy for two years or more; </w:t>
      </w:r>
    </w:p>
    <w:p w14:paraId="68DF14A2"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i</w:t>
      </w:r>
      <w:r w:rsidR="005D2DB1" w:rsidRPr="003452AC">
        <w:rPr>
          <w:color w:val="000000"/>
        </w:rPr>
        <w:t xml:space="preserve">ncidence of urethritis in men; </w:t>
      </w:r>
    </w:p>
    <w:p w14:paraId="66C31CD5" w14:textId="77777777" w:rsidR="005D2DB1" w:rsidRPr="003452AC" w:rsidRDefault="005D2DB1" w:rsidP="00CF24CC">
      <w:pPr>
        <w:widowControl w:val="0"/>
        <w:numPr>
          <w:ilvl w:val="0"/>
          <w:numId w:val="25"/>
        </w:numPr>
        <w:autoSpaceDE w:val="0"/>
        <w:autoSpaceDN w:val="0"/>
        <w:adjustRightInd w:val="0"/>
        <w:spacing w:line="276" w:lineRule="auto"/>
        <w:jc w:val="both"/>
        <w:rPr>
          <w:color w:val="000000"/>
        </w:rPr>
      </w:pPr>
      <w:r w:rsidRPr="003452AC">
        <w:rPr>
          <w:color w:val="000000"/>
        </w:rPr>
        <w:t xml:space="preserve">HIV prevalence in pregnant women; and </w:t>
      </w:r>
    </w:p>
    <w:p w14:paraId="35E4C102" w14:textId="77777777" w:rsidR="001F0C86" w:rsidRPr="006630F5"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K</w:t>
      </w:r>
      <w:r w:rsidR="005D2DB1" w:rsidRPr="003452AC">
        <w:rPr>
          <w:color w:val="000000"/>
        </w:rPr>
        <w:t>nowledge of HIV-prevention practices.</w:t>
      </w:r>
      <w:r w:rsidRPr="003452AC">
        <w:rPr>
          <w:rStyle w:val="footnotereference0"/>
          <w:color w:val="000000"/>
        </w:rPr>
        <w:footnoteReference w:id="8"/>
      </w:r>
      <w:r w:rsidR="005D2DB1" w:rsidRPr="009E10DC">
        <w:rPr>
          <w:color w:val="000000"/>
          <w:shd w:val="clear" w:color="auto" w:fill="FFFFFF"/>
        </w:rPr>
        <w:t xml:space="preserve"> </w:t>
      </w:r>
    </w:p>
    <w:p w14:paraId="738610EB" w14:textId="77777777" w:rsidR="006630F5" w:rsidRPr="009E10DC" w:rsidRDefault="006630F5" w:rsidP="006630F5">
      <w:pPr>
        <w:widowControl w:val="0"/>
        <w:autoSpaceDE w:val="0"/>
        <w:autoSpaceDN w:val="0"/>
        <w:adjustRightInd w:val="0"/>
        <w:ind w:left="720"/>
        <w:jc w:val="both"/>
        <w:rPr>
          <w:color w:val="000000"/>
        </w:rPr>
      </w:pPr>
    </w:p>
    <w:p w14:paraId="281EEA81" w14:textId="65DF2CEE" w:rsidR="0E23DDE6" w:rsidRPr="00C36794" w:rsidRDefault="7AD05969" w:rsidP="00C36794">
      <w:pPr>
        <w:widowControl w:val="0"/>
        <w:autoSpaceDE w:val="0"/>
        <w:autoSpaceDN w:val="0"/>
        <w:adjustRightInd w:val="0"/>
        <w:spacing w:line="480" w:lineRule="auto"/>
        <w:ind w:firstLine="720"/>
        <w:jc w:val="both"/>
      </w:pPr>
      <w:r w:rsidRPr="009E10DC">
        <w:rPr>
          <w:color w:val="000000"/>
          <w:shd w:val="clear" w:color="auto" w:fill="FFFFFF"/>
        </w:rPr>
        <w:t>R</w:t>
      </w:r>
      <w:r w:rsidR="5F25D41D" w:rsidRPr="009E10DC">
        <w:rPr>
          <w:color w:val="000000"/>
        </w:rPr>
        <w:t>esearch has shown that de</w:t>
      </w:r>
      <w:r w:rsidR="6D951C3F" w:rsidRPr="009E10DC">
        <w:rPr>
          <w:color w:val="000000"/>
        </w:rPr>
        <w:t>ficiencies in</w:t>
      </w:r>
      <w:r w:rsidR="3EAED087" w:rsidRPr="009E10DC">
        <w:rPr>
          <w:color w:val="000000"/>
        </w:rPr>
        <w:t xml:space="preserve"> </w:t>
      </w:r>
      <w:r w:rsidR="5F25D41D" w:rsidRPr="009E10DC">
        <w:rPr>
          <w:color w:val="000000"/>
        </w:rPr>
        <w:t xml:space="preserve">these </w:t>
      </w:r>
      <w:r w:rsidR="1DC8FA95">
        <w:rPr>
          <w:color w:val="000000"/>
        </w:rPr>
        <w:t>i</w:t>
      </w:r>
      <w:r w:rsidR="5F25D41D" w:rsidRPr="009E10DC">
        <w:rPr>
          <w:color w:val="000000"/>
        </w:rPr>
        <w:t xml:space="preserve">ndicators are </w:t>
      </w:r>
      <w:r w:rsidRPr="009E10DC">
        <w:rPr>
          <w:color w:val="000000"/>
        </w:rPr>
        <w:t>largely</w:t>
      </w:r>
      <w:r w:rsidR="5F25D41D" w:rsidRPr="009E10DC">
        <w:rPr>
          <w:color w:val="000000"/>
        </w:rPr>
        <w:t xml:space="preserve"> </w:t>
      </w:r>
      <w:r w:rsidR="6D951C3F" w:rsidRPr="009E10DC">
        <w:rPr>
          <w:color w:val="000000"/>
        </w:rPr>
        <w:t>conditions that can be alleviated with a combination of</w:t>
      </w:r>
      <w:r w:rsidRPr="009E10DC">
        <w:rPr>
          <w:color w:val="000000"/>
        </w:rPr>
        <w:t xml:space="preserve"> </w:t>
      </w:r>
      <w:r w:rsidR="6D951C3F" w:rsidRPr="009E10DC">
        <w:rPr>
          <w:color w:val="000000"/>
        </w:rPr>
        <w:t>better access to</w:t>
      </w:r>
      <w:r w:rsidR="3EAED087" w:rsidRPr="009E10DC">
        <w:rPr>
          <w:color w:val="000000"/>
        </w:rPr>
        <w:t xml:space="preserve"> health</w:t>
      </w:r>
      <w:r w:rsidR="6D951C3F" w:rsidRPr="009E10DC">
        <w:rPr>
          <w:color w:val="000000"/>
        </w:rPr>
        <w:t xml:space="preserve"> services, improvement in economic and social conditions and increased </w:t>
      </w:r>
      <w:r w:rsidR="5F25D41D" w:rsidRPr="00CA6E06">
        <w:t>protections for those seeking reproductive health care services</w:t>
      </w:r>
      <w:r w:rsidR="3EAED087" w:rsidRPr="009E10DC">
        <w:rPr>
          <w:color w:val="000000"/>
        </w:rPr>
        <w:t>.</w:t>
      </w:r>
      <w:r w:rsidR="00522DEF" w:rsidRPr="009E10DC">
        <w:rPr>
          <w:rStyle w:val="footnotereference0"/>
          <w:color w:val="000000"/>
        </w:rPr>
        <w:footnoteReference w:id="9"/>
      </w:r>
      <w:r w:rsidR="29065125" w:rsidRPr="00CA6E06">
        <w:t xml:space="preserve"> </w:t>
      </w:r>
      <w:r w:rsidRPr="00CA6E06">
        <w:t>Accordingly</w:t>
      </w:r>
      <w:r w:rsidRPr="1745A64D">
        <w:t>, in recent years</w:t>
      </w:r>
      <w:r w:rsidR="5C632CE4" w:rsidRPr="1745A64D">
        <w:t>, i</w:t>
      </w:r>
      <w:r w:rsidR="426DB8E5" w:rsidRPr="1745A64D">
        <w:t>mportant measures have been established at the federal, state and local levels to ensure that the right to receive reproductive health services are protected</w:t>
      </w:r>
      <w:r w:rsidR="40C37A5F" w:rsidRPr="1745A64D">
        <w:t>, a process often referred to as reproductive justice</w:t>
      </w:r>
      <w:r w:rsidR="426DB8E5" w:rsidRPr="1745A64D">
        <w:t>.</w:t>
      </w:r>
      <w:r w:rsidR="00CA6E06" w:rsidRPr="1745A64D">
        <w:rPr>
          <w:rStyle w:val="footnotereference0"/>
        </w:rPr>
        <w:footnoteReference w:id="10"/>
      </w:r>
      <w:r w:rsidR="426DB8E5" w:rsidRPr="1745A64D">
        <w:t> </w:t>
      </w:r>
      <w:r w:rsidR="24ED7A08" w:rsidRPr="1745A64D">
        <w:t xml:space="preserve">Generally speaking, reproductive justice </w:t>
      </w:r>
      <w:r w:rsidR="45E089EA" w:rsidRPr="1745A64D">
        <w:t xml:space="preserve">seeks </w:t>
      </w:r>
      <w:r w:rsidR="45E089EA" w:rsidRPr="65673E0D">
        <w:t>to ensure</w:t>
      </w:r>
      <w:r w:rsidR="24ED7A08" w:rsidRPr="65673E0D">
        <w:t xml:space="preserve"> r</w:t>
      </w:r>
      <w:r w:rsidR="6B1C1D48" w:rsidRPr="65673E0D">
        <w:t>eproductive rights</w:t>
      </w:r>
      <w:r w:rsidR="24ED7A08" w:rsidRPr="65673E0D">
        <w:t>,</w:t>
      </w:r>
      <w:r w:rsidR="005D3DCC" w:rsidRPr="65673E0D">
        <w:rPr>
          <w:rStyle w:val="footnotereference0"/>
        </w:rPr>
        <w:footnoteReference w:id="11"/>
      </w:r>
      <w:r w:rsidR="24ED7A08" w:rsidRPr="65673E0D">
        <w:t xml:space="preserve"> or </w:t>
      </w:r>
      <w:r w:rsidR="6B1C1D48" w:rsidRPr="65673E0D">
        <w:t>the rights of individuals to have access to sexual and reproductive healthcare and autonomy in sexual and reproductive decision-making</w:t>
      </w:r>
      <w:r w:rsidR="5F25D41D" w:rsidRPr="65673E0D">
        <w:t>.</w:t>
      </w:r>
      <w:r w:rsidR="001F0C86" w:rsidRPr="65673E0D">
        <w:rPr>
          <w:rStyle w:val="FootnoteReference1"/>
          <w:sz w:val="24"/>
        </w:rPr>
        <w:footnoteReference w:id="12"/>
      </w:r>
      <w:r w:rsidR="5F25D41D" w:rsidRPr="65673E0D">
        <w:t xml:space="preserve"> </w:t>
      </w:r>
      <w:r w:rsidR="002F1254">
        <w:rPr>
          <w:color w:val="000000" w:themeColor="text1"/>
        </w:rPr>
        <w:t>T</w:t>
      </w:r>
      <w:r w:rsidR="6D0AC190" w:rsidRPr="65673E0D">
        <w:rPr>
          <w:color w:val="000000" w:themeColor="text1"/>
        </w:rPr>
        <w:t>he Council currently provides approximately $1.3 million in discretionary funding for a range of services related to reproductive and sexual health services.</w:t>
      </w:r>
      <w:r w:rsidR="0E23DDE6" w:rsidRPr="65673E0D">
        <w:rPr>
          <w:rStyle w:val="FootnoteReference"/>
          <w:color w:val="000000" w:themeColor="text1"/>
        </w:rPr>
        <w:footnoteReference w:id="13"/>
      </w:r>
    </w:p>
    <w:p w14:paraId="13284509" w14:textId="38E5B54A" w:rsidR="00B50EC3" w:rsidRPr="00B50EC3" w:rsidRDefault="009E10DC" w:rsidP="00B50EC3">
      <w:pPr>
        <w:pStyle w:val="BodyA"/>
        <w:numPr>
          <w:ilvl w:val="0"/>
          <w:numId w:val="5"/>
        </w:numPr>
        <w:spacing w:after="0" w:line="480" w:lineRule="auto"/>
        <w:jc w:val="both"/>
        <w:rPr>
          <w:rStyle w:val="None"/>
          <w:rFonts w:ascii="Times New Roman" w:eastAsia="Times New Roman" w:hAnsi="Times New Roman" w:cs="Times New Roman"/>
          <w:b/>
          <w:bCs/>
          <w:sz w:val="24"/>
          <w:szCs w:val="24"/>
          <w:u w:val="single"/>
        </w:rPr>
      </w:pPr>
      <w:r w:rsidRPr="00B50EC3">
        <w:rPr>
          <w:rStyle w:val="None"/>
          <w:rFonts w:ascii="Times New Roman" w:eastAsia="Times New Roman" w:hAnsi="Times New Roman" w:cs="Times New Roman"/>
          <w:b/>
          <w:bCs/>
          <w:sz w:val="24"/>
          <w:szCs w:val="24"/>
          <w:u w:val="single"/>
        </w:rPr>
        <w:t>ISSUES AND CONCERNS</w:t>
      </w:r>
    </w:p>
    <w:p w14:paraId="48060908" w14:textId="238EAE4E" w:rsidR="584356F5" w:rsidRDefault="5CBBF0E3" w:rsidP="05EBA5AA">
      <w:pPr>
        <w:numPr>
          <w:ilvl w:val="0"/>
          <w:numId w:val="23"/>
        </w:numPr>
        <w:spacing w:line="480" w:lineRule="auto"/>
        <w:jc w:val="both"/>
        <w:rPr>
          <w:rStyle w:val="None"/>
          <w:i/>
          <w:iCs/>
          <w:color w:val="000000" w:themeColor="text1"/>
          <w:highlight w:val="yellow"/>
        </w:rPr>
      </w:pPr>
      <w:r w:rsidRPr="05EBA5AA">
        <w:rPr>
          <w:rStyle w:val="None"/>
          <w:i/>
          <w:iCs/>
        </w:rPr>
        <w:t>Contraception</w:t>
      </w:r>
      <w:r w:rsidR="2ECFA5C5" w:rsidRPr="05EBA5AA">
        <w:rPr>
          <w:rStyle w:val="None"/>
          <w:i/>
          <w:iCs/>
        </w:rPr>
        <w:t xml:space="preserve"> </w:t>
      </w:r>
      <w:r w:rsidR="4F72E4C5" w:rsidRPr="05EBA5AA">
        <w:rPr>
          <w:rStyle w:val="None"/>
          <w:i/>
          <w:iCs/>
        </w:rPr>
        <w:t xml:space="preserve">/ </w:t>
      </w:r>
      <w:r w:rsidRPr="05EBA5AA">
        <w:rPr>
          <w:rStyle w:val="None"/>
          <w:i/>
          <w:iCs/>
        </w:rPr>
        <w:t>Non-</w:t>
      </w:r>
      <w:r w:rsidR="09D118CD" w:rsidRPr="05EBA5AA">
        <w:rPr>
          <w:rStyle w:val="None"/>
          <w:i/>
          <w:iCs/>
        </w:rPr>
        <w:t>S</w:t>
      </w:r>
      <w:r w:rsidRPr="05EBA5AA">
        <w:rPr>
          <w:rStyle w:val="None"/>
          <w:i/>
          <w:iCs/>
        </w:rPr>
        <w:t xml:space="preserve">urgical &amp; </w:t>
      </w:r>
      <w:r w:rsidR="6C39BEE1" w:rsidRPr="05EBA5AA">
        <w:rPr>
          <w:rStyle w:val="None"/>
          <w:i/>
          <w:iCs/>
        </w:rPr>
        <w:t>L</w:t>
      </w:r>
      <w:r w:rsidRPr="05EBA5AA">
        <w:rPr>
          <w:rStyle w:val="None"/>
          <w:i/>
          <w:iCs/>
        </w:rPr>
        <w:t>ong-</w:t>
      </w:r>
      <w:r w:rsidR="19E19AA4" w:rsidRPr="05EBA5AA">
        <w:rPr>
          <w:rStyle w:val="None"/>
          <w:i/>
          <w:iCs/>
        </w:rPr>
        <w:t>A</w:t>
      </w:r>
      <w:r w:rsidRPr="05EBA5AA">
        <w:rPr>
          <w:rStyle w:val="None"/>
          <w:i/>
          <w:iCs/>
        </w:rPr>
        <w:t>cting Reversible Contraceptives (LARC)</w:t>
      </w:r>
      <w:r w:rsidR="67B66EF4" w:rsidRPr="05EBA5AA">
        <w:rPr>
          <w:rStyle w:val="None"/>
          <w:i/>
          <w:iCs/>
        </w:rPr>
        <w:t xml:space="preserve"> </w:t>
      </w:r>
    </w:p>
    <w:p w14:paraId="0758B439" w14:textId="112F629B" w:rsidR="62F5A57B" w:rsidRDefault="62F5A57B" w:rsidP="05EBA5AA">
      <w:pPr>
        <w:spacing w:line="480" w:lineRule="auto"/>
        <w:ind w:firstLine="720"/>
        <w:jc w:val="both"/>
        <w:rPr>
          <w:vertAlign w:val="superscript"/>
        </w:rPr>
      </w:pPr>
      <w:r w:rsidRPr="05EBA5AA">
        <w:t xml:space="preserve">Long Acting </w:t>
      </w:r>
      <w:r w:rsidR="00824825">
        <w:t xml:space="preserve">Reversible Contraception </w:t>
      </w:r>
      <w:r w:rsidRPr="05EBA5AA">
        <w:t>refers to several FDA-approved methods of birth control that are intended to last for at least several years without req</w:t>
      </w:r>
      <w:r w:rsidRPr="00C36794">
        <w:t>uiring any user action (such as taking a daily pill).</w:t>
      </w:r>
      <w:r w:rsidRPr="00C36794">
        <w:rPr>
          <w:rStyle w:val="FootnoteReference"/>
        </w:rPr>
        <w:footnoteReference w:id="14"/>
      </w:r>
      <w:r w:rsidRPr="00C36794">
        <w:t xml:space="preserve"> </w:t>
      </w:r>
      <w:r w:rsidR="00C36794" w:rsidRPr="00C36794">
        <w:t>Long Acting Reversible Contraceptive (</w:t>
      </w:r>
      <w:r w:rsidRPr="00C36794">
        <w:t>LARC</w:t>
      </w:r>
      <w:r w:rsidR="00C36794" w:rsidRPr="00C36794">
        <w:t>)</w:t>
      </w:r>
      <w:r w:rsidRPr="05EBA5AA">
        <w:t xml:space="preserve"> methods include intrauterine contraceptives, implants, and injections, and are considered the most effective form of birth control in preventing unwanted pregnancy, beside abstinence.</w:t>
      </w:r>
      <w:r w:rsidRPr="05EBA5AA">
        <w:rPr>
          <w:rStyle w:val="FootnoteReference"/>
        </w:rPr>
        <w:footnoteReference w:id="15"/>
      </w:r>
      <w:r w:rsidR="5A993939" w:rsidRPr="05EBA5AA">
        <w:t xml:space="preserve"> </w:t>
      </w:r>
      <w:r w:rsidRPr="05EBA5AA">
        <w:t>Despite its efficacy, only 5.8% of adolescents and women ages 15</w:t>
      </w:r>
      <w:r w:rsidR="006720B2">
        <w:t>–</w:t>
      </w:r>
      <w:r w:rsidRPr="05EBA5AA">
        <w:t>19 have ever used a LARC method, with 3% ever using an IUD and 2.8% ever using a contraceptive implant.</w:t>
      </w:r>
      <w:r w:rsidRPr="05EBA5AA">
        <w:rPr>
          <w:rStyle w:val="FootnoteReference"/>
        </w:rPr>
        <w:footnoteReference w:id="16"/>
      </w:r>
      <w:r w:rsidR="21B4E427" w:rsidRPr="05EBA5AA">
        <w:t xml:space="preserve"> </w:t>
      </w:r>
      <w:r w:rsidRPr="05EBA5AA">
        <w:t xml:space="preserve">Some barriers to use of LARC </w:t>
      </w:r>
      <w:r w:rsidR="00472C25">
        <w:t xml:space="preserve">methods </w:t>
      </w:r>
      <w:r w:rsidRPr="05EBA5AA">
        <w:t>by young women and adolescents include lack of familiarity or understanding about LARC</w:t>
      </w:r>
      <w:r w:rsidR="00472C25">
        <w:t>s</w:t>
      </w:r>
      <w:r w:rsidRPr="05EBA5AA">
        <w:t>, lack of access, low parental acceptance, high costs of initiation, and obstetrician–gynecologists’ and other health care providers’ misconceptions about the safety of LARC use in adolescents.</w:t>
      </w:r>
      <w:r w:rsidRPr="05EBA5AA">
        <w:rPr>
          <w:rStyle w:val="FootnoteReference"/>
        </w:rPr>
        <w:footnoteReference w:id="17"/>
      </w:r>
      <w:r w:rsidRPr="05EBA5AA">
        <w:t xml:space="preserve"> When cost barriers </w:t>
      </w:r>
      <w:r w:rsidR="00472C25">
        <w:t>were</w:t>
      </w:r>
      <w:r w:rsidRPr="05EBA5AA">
        <w:t xml:space="preserve"> eliminated and the LARC method was explained, research found that more than two thirds of females aged 14–20 years chose a LARC method.</w:t>
      </w:r>
      <w:r w:rsidRPr="05EBA5AA">
        <w:rPr>
          <w:rStyle w:val="FootnoteReference"/>
        </w:rPr>
        <w:footnoteReference w:id="18"/>
      </w:r>
    </w:p>
    <w:p w14:paraId="753304D9" w14:textId="2E8F4AEE" w:rsidR="62F5A57B" w:rsidRDefault="62F5A57B" w:rsidP="05EBA5AA">
      <w:pPr>
        <w:spacing w:line="480" w:lineRule="auto"/>
        <w:ind w:firstLine="720"/>
        <w:jc w:val="both"/>
        <w:rPr>
          <w:vertAlign w:val="superscript"/>
        </w:rPr>
      </w:pPr>
      <w:r w:rsidRPr="05EBA5AA">
        <w:t xml:space="preserve">In May 2016, then Speaker Melissa Mark-Viverito published </w:t>
      </w:r>
      <w:r w:rsidR="00C96D4C">
        <w:t>the</w:t>
      </w:r>
      <w:r w:rsidRPr="05EBA5AA">
        <w:t xml:space="preserve"> Young Women’s Initiative (YWI) Report and Recommendations.</w:t>
      </w:r>
      <w:r w:rsidRPr="05EBA5AA">
        <w:rPr>
          <w:rStyle w:val="FootnoteReference"/>
        </w:rPr>
        <w:footnoteReference w:id="19"/>
      </w:r>
      <w:r w:rsidRPr="05EBA5AA">
        <w:t xml:space="preserve"> </w:t>
      </w:r>
      <w:r w:rsidR="00472C25">
        <w:t>One of the</w:t>
      </w:r>
      <w:r w:rsidRPr="05EBA5AA">
        <w:t xml:space="preserve"> recommendations </w:t>
      </w:r>
      <w:r w:rsidR="00472C25">
        <w:t xml:space="preserve">in the report </w:t>
      </w:r>
      <w:r w:rsidRPr="05EBA5AA">
        <w:t>was to “create a dedicated fund for access to contraceptives, including long-acting reversible contraception (LARC), which incorporates culturally relevant counseling, focuses on patient choice and integrates age- and developmentally-appropriate support for young people.”</w:t>
      </w:r>
      <w:r w:rsidRPr="05EBA5AA">
        <w:rPr>
          <w:rStyle w:val="FootnoteReference"/>
        </w:rPr>
        <w:footnoteReference w:id="20"/>
      </w:r>
      <w:r w:rsidRPr="05EBA5AA">
        <w:t xml:space="preserve"> At the time of this announcement, of the 145 School Based Health Centers (SBHCs) serving over 345 schools in the five boroughs of New York City, only 50 high school sites provided comprehensive reproductive health services including </w:t>
      </w:r>
      <w:r w:rsidR="00824825">
        <w:t>“</w:t>
      </w:r>
      <w:r w:rsidRPr="05EBA5AA">
        <w:t>on-site dispensing of hormonal and long-acting reversible contraception.”</w:t>
      </w:r>
      <w:r w:rsidRPr="05EBA5AA">
        <w:rPr>
          <w:rStyle w:val="FootnoteReference"/>
        </w:rPr>
        <w:footnoteReference w:id="21"/>
      </w:r>
      <w:r w:rsidRPr="05EBA5AA">
        <w:t xml:space="preserve"> At around the same time, DOHMH began a “#MaybetheIUD campaign” to promote LARC methods as an accessible option for young people wanting to prevent unwanted pregnancy.</w:t>
      </w:r>
      <w:r w:rsidRPr="05EBA5AA">
        <w:rPr>
          <w:rStyle w:val="FootnoteReference"/>
        </w:rPr>
        <w:footnoteReference w:id="22"/>
      </w:r>
      <w:r w:rsidRPr="05EBA5AA">
        <w:t xml:space="preserve"> The YWI fund utilized Colorado’s privately-funded Colorado Family Planning Initiative as a model.</w:t>
      </w:r>
      <w:r w:rsidRPr="05EBA5AA">
        <w:rPr>
          <w:rStyle w:val="FootnoteReference"/>
        </w:rPr>
        <w:footnoteReference w:id="23"/>
      </w:r>
      <w:r w:rsidRPr="05EBA5AA">
        <w:t xml:space="preserve"> In total, the fund set aside $365,000 to provide LARCs at no cost to clients who were uninsured, ineligible for Medicaid, or otherwise lacking the resources to pay out of pocket.</w:t>
      </w:r>
      <w:r w:rsidRPr="05EBA5AA">
        <w:rPr>
          <w:rStyle w:val="FootnoteReference"/>
        </w:rPr>
        <w:footnoteReference w:id="24"/>
      </w:r>
      <w:r w:rsidRPr="05EBA5AA">
        <w:t xml:space="preserve"> Funding was used to cover applicable LARC service fees or to purchase LARCs, using the Title X Family Planning Program, the 340B Drug Pricing Program, and any other cost-saving programs available.</w:t>
      </w:r>
      <w:r w:rsidRPr="05EBA5AA">
        <w:rPr>
          <w:rStyle w:val="FootnoteReference"/>
        </w:rPr>
        <w:footnoteReference w:id="25"/>
      </w:r>
    </w:p>
    <w:p w14:paraId="2A12EEEF" w14:textId="6C08B7BF" w:rsidR="62F5A57B" w:rsidRDefault="62F5A57B" w:rsidP="05EBA5AA">
      <w:pPr>
        <w:spacing w:line="480" w:lineRule="auto"/>
        <w:ind w:firstLine="720"/>
        <w:jc w:val="both"/>
      </w:pPr>
      <w:r w:rsidRPr="05EBA5AA">
        <w:t>Currently, DOHMH maintains several health clinics centered on patient sexual health, immunization, and Tuberculosis (TB) services.</w:t>
      </w:r>
      <w:r w:rsidRPr="05EBA5AA">
        <w:rPr>
          <w:rStyle w:val="FootnoteReference"/>
        </w:rPr>
        <w:footnoteReference w:id="26"/>
      </w:r>
      <w:r w:rsidRPr="05EBA5AA">
        <w:t xml:space="preserve"> The Department’s eight sexual health clinics provide low- to no-cost services for sexually transmitted infections (STIs), and accept all types of insurance, including:</w:t>
      </w:r>
    </w:p>
    <w:p w14:paraId="5A8AD85C" w14:textId="29E07434" w:rsidR="62F5A57B" w:rsidRDefault="62F5A57B" w:rsidP="05EBA5AA">
      <w:pPr>
        <w:pStyle w:val="ListParagraph"/>
        <w:numPr>
          <w:ilvl w:val="0"/>
          <w:numId w:val="30"/>
        </w:numPr>
      </w:pPr>
      <w:r w:rsidRPr="05EBA5AA">
        <w:t>Medicare Part B</w:t>
      </w:r>
    </w:p>
    <w:p w14:paraId="396CAC10" w14:textId="028E2008" w:rsidR="62F5A57B" w:rsidRDefault="62F5A57B" w:rsidP="05EBA5AA">
      <w:pPr>
        <w:pStyle w:val="ListParagraph"/>
        <w:numPr>
          <w:ilvl w:val="0"/>
          <w:numId w:val="30"/>
        </w:numPr>
      </w:pPr>
      <w:r w:rsidRPr="05EBA5AA">
        <w:t>Fee-for-Service Medicaid</w:t>
      </w:r>
    </w:p>
    <w:p w14:paraId="251D983B" w14:textId="4DDA4E84" w:rsidR="62F5A57B" w:rsidRDefault="62F5A57B" w:rsidP="05EBA5AA">
      <w:pPr>
        <w:pStyle w:val="ListParagraph"/>
        <w:numPr>
          <w:ilvl w:val="0"/>
          <w:numId w:val="30"/>
        </w:numPr>
      </w:pPr>
      <w:r w:rsidRPr="05EBA5AA">
        <w:t>Medicaid Managed Care</w:t>
      </w:r>
    </w:p>
    <w:p w14:paraId="5D93BA02" w14:textId="4B67DC8A" w:rsidR="62F5A57B" w:rsidRDefault="62F5A57B" w:rsidP="05EBA5AA">
      <w:pPr>
        <w:pStyle w:val="ListParagraph"/>
        <w:numPr>
          <w:ilvl w:val="0"/>
          <w:numId w:val="30"/>
        </w:numPr>
      </w:pPr>
      <w:r w:rsidRPr="05EBA5AA">
        <w:t>Affinity Health Plan</w:t>
      </w:r>
    </w:p>
    <w:p w14:paraId="19EC89CA" w14:textId="5918D7DD" w:rsidR="62F5A57B" w:rsidRDefault="62F5A57B" w:rsidP="05EBA5AA">
      <w:pPr>
        <w:pStyle w:val="ListParagraph"/>
        <w:numPr>
          <w:ilvl w:val="0"/>
          <w:numId w:val="30"/>
        </w:numPr>
      </w:pPr>
      <w:r w:rsidRPr="05EBA5AA">
        <w:t>AmeriChoice</w:t>
      </w:r>
    </w:p>
    <w:p w14:paraId="76FDCC9D" w14:textId="15FF87A1" w:rsidR="62F5A57B" w:rsidRDefault="62F5A57B" w:rsidP="05EBA5AA">
      <w:pPr>
        <w:pStyle w:val="ListParagraph"/>
        <w:numPr>
          <w:ilvl w:val="0"/>
          <w:numId w:val="30"/>
        </w:numPr>
      </w:pPr>
      <w:r w:rsidRPr="05EBA5AA">
        <w:t>Amerigroup</w:t>
      </w:r>
    </w:p>
    <w:p w14:paraId="18550D55" w14:textId="319E0315" w:rsidR="62F5A57B" w:rsidRDefault="62F5A57B" w:rsidP="05EBA5AA">
      <w:pPr>
        <w:pStyle w:val="ListParagraph"/>
        <w:numPr>
          <w:ilvl w:val="0"/>
          <w:numId w:val="30"/>
        </w:numPr>
      </w:pPr>
      <w:r w:rsidRPr="05EBA5AA">
        <w:t>EmblemHealth (GHI/HIP)</w:t>
      </w:r>
    </w:p>
    <w:p w14:paraId="6A5C5295" w14:textId="79C83668" w:rsidR="62F5A57B" w:rsidRDefault="62F5A57B" w:rsidP="05EBA5AA">
      <w:pPr>
        <w:pStyle w:val="ListParagraph"/>
        <w:numPr>
          <w:ilvl w:val="0"/>
          <w:numId w:val="30"/>
        </w:numPr>
      </w:pPr>
      <w:r w:rsidRPr="05EBA5AA">
        <w:t>Healthfirst</w:t>
      </w:r>
    </w:p>
    <w:p w14:paraId="15724506" w14:textId="53E60866" w:rsidR="62F5A57B" w:rsidRDefault="62F5A57B" w:rsidP="05EBA5AA">
      <w:pPr>
        <w:pStyle w:val="ListParagraph"/>
        <w:numPr>
          <w:ilvl w:val="0"/>
          <w:numId w:val="30"/>
        </w:numPr>
      </w:pPr>
      <w:r w:rsidRPr="05EBA5AA">
        <w:t>HealthPlus Amerigroup</w:t>
      </w:r>
    </w:p>
    <w:p w14:paraId="23817EE0" w14:textId="7B5AC79F" w:rsidR="62F5A57B" w:rsidRDefault="62F5A57B" w:rsidP="05EBA5AA">
      <w:pPr>
        <w:pStyle w:val="ListParagraph"/>
        <w:numPr>
          <w:ilvl w:val="0"/>
          <w:numId w:val="30"/>
        </w:numPr>
      </w:pPr>
      <w:r w:rsidRPr="05EBA5AA">
        <w:t>MetroPlus.</w:t>
      </w:r>
      <w:r w:rsidRPr="05EBA5AA">
        <w:rPr>
          <w:rStyle w:val="FootnoteReference"/>
        </w:rPr>
        <w:footnoteReference w:id="27"/>
      </w:r>
    </w:p>
    <w:p w14:paraId="40851925" w14:textId="77777777" w:rsidR="006C25BB" w:rsidRDefault="006C25BB" w:rsidP="006720B2">
      <w:pPr>
        <w:spacing w:line="480" w:lineRule="auto"/>
        <w:jc w:val="both"/>
      </w:pPr>
    </w:p>
    <w:p w14:paraId="3BECB4EC" w14:textId="5A5D1896" w:rsidR="05EBA5AA" w:rsidRPr="006720B2" w:rsidRDefault="62F5A57B" w:rsidP="00C36794">
      <w:pPr>
        <w:spacing w:line="480" w:lineRule="auto"/>
        <w:ind w:firstLine="720"/>
        <w:jc w:val="both"/>
      </w:pPr>
      <w:r w:rsidRPr="05EBA5AA">
        <w:t>Additionally, if an interested party has no health insurance or cannot pay the fee, they may still receive health services through these clinics.</w:t>
      </w:r>
      <w:r w:rsidRPr="05EBA5AA">
        <w:rPr>
          <w:rStyle w:val="FootnoteReference"/>
        </w:rPr>
        <w:footnoteReference w:id="28"/>
      </w:r>
      <w:r w:rsidR="42288C80" w:rsidRPr="05EBA5AA">
        <w:rPr>
          <w:vertAlign w:val="superscript"/>
        </w:rPr>
        <w:t xml:space="preserve"> </w:t>
      </w:r>
      <w:r w:rsidR="42288C80" w:rsidRPr="05EBA5AA">
        <w:t xml:space="preserve">Currently, due to the COVID-19 pandemic, these sexual health clinics are only serving patients </w:t>
      </w:r>
      <w:r w:rsidR="6652600A" w:rsidRPr="05EBA5AA">
        <w:t>at a reduced capacity, as sites are being utilized for COVID testing.</w:t>
      </w:r>
      <w:r w:rsidRPr="05EBA5AA">
        <w:rPr>
          <w:rStyle w:val="FootnoteReference"/>
        </w:rPr>
        <w:footnoteReference w:id="29"/>
      </w:r>
    </w:p>
    <w:p w14:paraId="394AFE93" w14:textId="57C56AD6" w:rsidR="00091683" w:rsidRPr="006720B2" w:rsidRDefault="584356F5" w:rsidP="00091683">
      <w:pPr>
        <w:pStyle w:val="ColorfulList-Accent11"/>
        <w:numPr>
          <w:ilvl w:val="0"/>
          <w:numId w:val="23"/>
        </w:numPr>
        <w:spacing w:line="480" w:lineRule="auto"/>
        <w:jc w:val="both"/>
        <w:rPr>
          <w:rStyle w:val="None"/>
          <w:rFonts w:ascii="Times New Roman" w:eastAsia="Times New Roman" w:hAnsi="Times New Roman"/>
          <w:i/>
          <w:iCs/>
        </w:rPr>
      </w:pPr>
      <w:r w:rsidRPr="006720B2">
        <w:rPr>
          <w:rStyle w:val="None"/>
          <w:rFonts w:ascii="Times New Roman" w:eastAsia="Times New Roman" w:hAnsi="Times New Roman"/>
          <w:i/>
          <w:iCs/>
        </w:rPr>
        <w:t>Breastfeeding</w:t>
      </w:r>
    </w:p>
    <w:p w14:paraId="0ED95FB0" w14:textId="77777777" w:rsidR="00091683" w:rsidRPr="00C76DB9" w:rsidRDefault="00091683" w:rsidP="00091683">
      <w:pPr>
        <w:pStyle w:val="NormalWeb"/>
        <w:spacing w:before="0" w:beforeAutospacing="0" w:after="0" w:afterAutospacing="0" w:line="480" w:lineRule="auto"/>
        <w:ind w:firstLine="720"/>
        <w:jc w:val="both"/>
        <w:textAlignment w:val="baseline"/>
        <w:rPr>
          <w:color w:val="000000"/>
        </w:rPr>
      </w:pPr>
      <w:r w:rsidRPr="00C76DB9">
        <w:rPr>
          <w:color w:val="000000"/>
        </w:rPr>
        <w:t>In 2018, the City Council passed Local Law 185, which requires employers covered by the Human Rights Law to provide lactation rooms, as well as refrigerators, in reasonable proximity to work areas for the purposes of expressing and storing breast milk,</w:t>
      </w:r>
      <w:r w:rsidRPr="00C76DB9">
        <w:rPr>
          <w:rStyle w:val="FootnoteReference"/>
          <w:color w:val="000000"/>
        </w:rPr>
        <w:footnoteReference w:id="30"/>
      </w:r>
      <w:r w:rsidRPr="00C76DB9">
        <w:rPr>
          <w:color w:val="000000"/>
        </w:rPr>
        <w:t xml:space="preserve"> and Local Law 186, which requires employers in the City to establish, and distribute to all new employees, policies describing lactation room accommodations, including the process by which an employee can request such accommodation.</w:t>
      </w:r>
      <w:r w:rsidRPr="00C76DB9">
        <w:rPr>
          <w:rStyle w:val="FootnoteReference"/>
          <w:color w:val="000000"/>
        </w:rPr>
        <w:footnoteReference w:id="31"/>
      </w:r>
      <w:r w:rsidRPr="00C76DB9">
        <w:rPr>
          <w:color w:val="000000"/>
        </w:rPr>
        <w:t xml:space="preserve"> Additionally, Local Law 186 requires the NYC Commission on Human Rights to establish and make available a model lactation room accommodation policy.</w:t>
      </w:r>
      <w:r w:rsidRPr="00C76DB9">
        <w:rPr>
          <w:rStyle w:val="FootnoteReference"/>
          <w:color w:val="000000"/>
        </w:rPr>
        <w:footnoteReference w:id="32"/>
      </w:r>
      <w:r w:rsidRPr="00C76DB9">
        <w:rPr>
          <w:color w:val="000000"/>
        </w:rPr>
        <w:t xml:space="preserve"> </w:t>
      </w:r>
    </w:p>
    <w:p w14:paraId="4438A95F" w14:textId="6ECF5221" w:rsidR="00091683" w:rsidRPr="00C76DB9" w:rsidRDefault="00091683" w:rsidP="00091683">
      <w:pPr>
        <w:pStyle w:val="NormalWeb"/>
        <w:spacing w:before="0" w:beforeAutospacing="0" w:after="0" w:afterAutospacing="0" w:line="480" w:lineRule="auto"/>
        <w:ind w:firstLine="720"/>
        <w:jc w:val="both"/>
        <w:textAlignment w:val="baseline"/>
        <w:rPr>
          <w:color w:val="000000"/>
        </w:rPr>
      </w:pPr>
      <w:r w:rsidRPr="00C76DB9">
        <w:rPr>
          <w:color w:val="000000"/>
        </w:rPr>
        <w:t>These laws, which went into effect in March 2019, expand the rights of working mothers in the workplace.</w:t>
      </w:r>
      <w:r w:rsidR="0021759E">
        <w:rPr>
          <w:rStyle w:val="FootnoteReference"/>
          <w:color w:val="000000"/>
        </w:rPr>
        <w:footnoteReference w:id="33"/>
      </w:r>
      <w:r w:rsidRPr="00C76DB9">
        <w:rPr>
          <w:color w:val="000000"/>
        </w:rPr>
        <w:t xml:space="preserve"> This includes acknowledgement of workplace barriers to expressing breast milk, including allowing for milk expression in the work schedule, accommodations to express and store milk, and workplace support.</w:t>
      </w:r>
      <w:r w:rsidR="0021759E">
        <w:rPr>
          <w:rStyle w:val="FootnoteReference"/>
          <w:color w:val="000000"/>
        </w:rPr>
        <w:footnoteReference w:id="34"/>
      </w:r>
      <w:r w:rsidRPr="00C76DB9">
        <w:rPr>
          <w:color w:val="000000"/>
        </w:rPr>
        <w:t xml:space="preserve"> While efforts to improve breastfeeding practices are often stymied by a lack of information, cultural and family traditions, and stigmatization of women in public places and at the workplace, studies consistently show that breast milk is generally safe, clean and includes antibodies,</w:t>
      </w:r>
      <w:r w:rsidRPr="00C76DB9">
        <w:rPr>
          <w:rStyle w:val="FootnoteReference"/>
          <w:color w:val="000000"/>
        </w:rPr>
        <w:footnoteReference w:id="35"/>
      </w:r>
      <w:r w:rsidRPr="00C76DB9">
        <w:rPr>
          <w:color w:val="000000"/>
        </w:rPr>
        <w:t xml:space="preserve"> and that breastfed children are more likely to survive and thrive.</w:t>
      </w:r>
      <w:r w:rsidRPr="00C76DB9">
        <w:rPr>
          <w:rStyle w:val="FootnoteReference"/>
          <w:color w:val="000000"/>
        </w:rPr>
        <w:footnoteReference w:id="36"/>
      </w:r>
      <w:r w:rsidRPr="00C76DB9">
        <w:rPr>
          <w:color w:val="000000"/>
        </w:rPr>
        <w:t xml:space="preserve"> Moreover, breastmilk substitutes constitute a $70 billion industry dominated by a few Americ</w:t>
      </w:r>
      <w:r w:rsidR="006720B2">
        <w:rPr>
          <w:color w:val="000000"/>
        </w:rPr>
        <w:t>an and European companies, and i</w:t>
      </w:r>
      <w:r w:rsidRPr="00C76DB9">
        <w:rPr>
          <w:color w:val="000000"/>
        </w:rPr>
        <w:t>ncreasing breastfeeding rates for infants younger than six months of age to 90 percent in the U.S. could save the American healthcare systems at least $2.45 billion.</w:t>
      </w:r>
      <w:r w:rsidRPr="00C76DB9">
        <w:rPr>
          <w:rStyle w:val="FootnoteReference"/>
          <w:color w:val="000000"/>
        </w:rPr>
        <w:footnoteReference w:id="37"/>
      </w:r>
    </w:p>
    <w:p w14:paraId="34662881" w14:textId="7970AE68" w:rsidR="00091683" w:rsidRPr="006720B2" w:rsidRDefault="00091683" w:rsidP="00C36794">
      <w:pPr>
        <w:pStyle w:val="NormalWeb"/>
        <w:spacing w:before="0" w:beforeAutospacing="0" w:after="0" w:afterAutospacing="0" w:line="480" w:lineRule="auto"/>
        <w:ind w:firstLine="720"/>
        <w:jc w:val="both"/>
        <w:textAlignment w:val="baseline"/>
        <w:rPr>
          <w:rStyle w:val="None"/>
          <w:color w:val="000000"/>
        </w:rPr>
      </w:pPr>
      <w:r w:rsidRPr="00C76DB9">
        <w:rPr>
          <w:color w:val="000000"/>
        </w:rPr>
        <w:t>According to DOHMH, breastfeeding rates differ by race/ethnicity, poverty, neighborhood poverty and age in NYC.</w:t>
      </w:r>
      <w:r w:rsidRPr="00C76DB9">
        <w:rPr>
          <w:rStyle w:val="FootnoteReference"/>
          <w:color w:val="000000"/>
        </w:rPr>
        <w:footnoteReference w:id="38"/>
      </w:r>
      <w:r w:rsidRPr="00C76DB9">
        <w:rPr>
          <w:color w:val="000000"/>
        </w:rPr>
        <w:t xml:space="preserve"> As such, the City has been working to promote breastfeeding through several initiatives, including a Baby Café in Brownsville, Brooklyn, to provide spaces for pregnant and breastfeeding mothers to meet other parents and to learn from lactation consultants on staff, the compilation of an online</w:t>
      </w:r>
      <w:r w:rsidR="006C25BB">
        <w:rPr>
          <w:color w:val="000000"/>
        </w:rPr>
        <w:t xml:space="preserve"> </w:t>
      </w:r>
      <w:r w:rsidRPr="00C76DB9">
        <w:rPr>
          <w:color w:val="000000"/>
        </w:rPr>
        <w:t>accessible breastfeeding toolkit for businesses, as well as a list of breastfeeding-friend</w:t>
      </w:r>
      <w:r w:rsidR="006C25BB">
        <w:rPr>
          <w:color w:val="000000"/>
        </w:rPr>
        <w:t>ly</w:t>
      </w:r>
      <w:r w:rsidRPr="00C76DB9">
        <w:rPr>
          <w:color w:val="000000"/>
        </w:rPr>
        <w:t xml:space="preserve"> spaces throughout the five boroughs.</w:t>
      </w:r>
      <w:r w:rsidRPr="00C76DB9">
        <w:rPr>
          <w:rStyle w:val="FootnoteReference"/>
          <w:color w:val="000000"/>
        </w:rPr>
        <w:footnoteReference w:id="39"/>
      </w:r>
      <w:r w:rsidRPr="00C76DB9">
        <w:rPr>
          <w:color w:val="000000"/>
        </w:rPr>
        <w:t xml:space="preserve"> Improving access helps to normalize breastfeeding, which is beneficial for both mother and baby.</w:t>
      </w:r>
      <w:r w:rsidRPr="00C76DB9">
        <w:rPr>
          <w:rStyle w:val="FootnoteReference"/>
          <w:color w:val="000000"/>
        </w:rPr>
        <w:footnoteReference w:id="40"/>
      </w:r>
    </w:p>
    <w:p w14:paraId="7FD8E12E" w14:textId="7E32CE5D" w:rsidR="755C3682" w:rsidRDefault="097920D3" w:rsidP="65673E0D">
      <w:pPr>
        <w:numPr>
          <w:ilvl w:val="0"/>
          <w:numId w:val="23"/>
        </w:numPr>
        <w:spacing w:line="480" w:lineRule="auto"/>
        <w:jc w:val="both"/>
        <w:rPr>
          <w:rStyle w:val="None"/>
          <w:i/>
          <w:iCs/>
          <w:color w:val="000000" w:themeColor="text1"/>
        </w:rPr>
      </w:pPr>
      <w:r w:rsidRPr="65673E0D">
        <w:rPr>
          <w:rStyle w:val="None"/>
          <w:i/>
          <w:iCs/>
          <w:color w:val="000000" w:themeColor="text1"/>
        </w:rPr>
        <w:t>Unnecessary and Harmful Medical Procedures</w:t>
      </w:r>
      <w:r w:rsidR="2A029C7D" w:rsidRPr="65673E0D">
        <w:rPr>
          <w:rStyle w:val="None"/>
          <w:i/>
          <w:iCs/>
          <w:color w:val="000000" w:themeColor="text1"/>
        </w:rPr>
        <w:t xml:space="preserve">: </w:t>
      </w:r>
      <w:r w:rsidR="523F4149" w:rsidRPr="65673E0D">
        <w:rPr>
          <w:rStyle w:val="None"/>
          <w:i/>
          <w:iCs/>
        </w:rPr>
        <w:t xml:space="preserve">Preventing Surgeries on </w:t>
      </w:r>
      <w:r w:rsidR="1228DA92" w:rsidRPr="65673E0D">
        <w:rPr>
          <w:rStyle w:val="None"/>
          <w:i/>
          <w:iCs/>
        </w:rPr>
        <w:t>Intersex</w:t>
      </w:r>
      <w:r w:rsidR="7BDA4F3A" w:rsidRPr="65673E0D">
        <w:rPr>
          <w:rStyle w:val="None"/>
          <w:i/>
          <w:iCs/>
        </w:rPr>
        <w:t xml:space="preserve"> Youth </w:t>
      </w:r>
    </w:p>
    <w:p w14:paraId="2AF391BE" w14:textId="7CADE893" w:rsidR="39E33AB2" w:rsidRDefault="4497A651" w:rsidP="446A201B">
      <w:pPr>
        <w:pStyle w:val="ColorfulList-Accent11"/>
        <w:spacing w:line="480" w:lineRule="auto"/>
        <w:ind w:left="0" w:firstLine="720"/>
        <w:jc w:val="both"/>
        <w:rPr>
          <w:rStyle w:val="None"/>
          <w:rFonts w:ascii="Times New Roman" w:eastAsia="Times New Roman" w:hAnsi="Times New Roman"/>
        </w:rPr>
      </w:pPr>
      <w:r w:rsidRPr="6A8D8442">
        <w:rPr>
          <w:rStyle w:val="None"/>
          <w:rFonts w:ascii="Times New Roman" w:eastAsia="Times New Roman" w:hAnsi="Times New Roman"/>
        </w:rPr>
        <w:t>People who are intersex are born with sex characteristics that do not fit typical binary notions of male or female bodies.</w:t>
      </w:r>
      <w:r w:rsidR="39E33AB2" w:rsidRPr="6A8D8442">
        <w:rPr>
          <w:rStyle w:val="FootnoteReference"/>
          <w:rFonts w:ascii="Times New Roman" w:eastAsia="Times New Roman" w:hAnsi="Times New Roman"/>
        </w:rPr>
        <w:footnoteReference w:id="41"/>
      </w:r>
      <w:r w:rsidRPr="6A8D8442">
        <w:rPr>
          <w:rStyle w:val="None"/>
          <w:rFonts w:ascii="Times New Roman" w:eastAsia="Times New Roman" w:hAnsi="Times New Roman"/>
        </w:rPr>
        <w:t xml:space="preserve"> Intersex is an umbrella term used to describe a wide range of natural bodily variations</w:t>
      </w:r>
      <w:r w:rsidR="787EF1F4" w:rsidRPr="6A8D8442">
        <w:rPr>
          <w:rStyle w:val="None"/>
          <w:rFonts w:ascii="Times New Roman" w:eastAsia="Times New Roman" w:hAnsi="Times New Roman"/>
        </w:rPr>
        <w:t>, including variations concerning one’s genitals, gonads, and chromosome patterns</w:t>
      </w:r>
      <w:r w:rsidRPr="6A8D8442">
        <w:rPr>
          <w:rStyle w:val="None"/>
          <w:rFonts w:ascii="Times New Roman" w:eastAsia="Times New Roman" w:hAnsi="Times New Roman"/>
        </w:rPr>
        <w:t>.</w:t>
      </w:r>
      <w:r w:rsidR="39E33AB2" w:rsidRPr="6A8D8442">
        <w:rPr>
          <w:rStyle w:val="FootnoteReference"/>
          <w:rFonts w:ascii="Times New Roman" w:eastAsia="Times New Roman" w:hAnsi="Times New Roman"/>
        </w:rPr>
        <w:footnoteReference w:id="42"/>
      </w:r>
      <w:r w:rsidRPr="6A8D8442">
        <w:rPr>
          <w:rStyle w:val="None"/>
          <w:rFonts w:ascii="Times New Roman" w:eastAsia="Times New Roman" w:hAnsi="Times New Roman"/>
        </w:rPr>
        <w:t xml:space="preserve"> Intersex traits </w:t>
      </w:r>
      <w:r w:rsidR="29A6C4A0" w:rsidRPr="6A8D8442">
        <w:rPr>
          <w:rStyle w:val="None"/>
          <w:rFonts w:ascii="Times New Roman" w:eastAsia="Times New Roman" w:hAnsi="Times New Roman"/>
        </w:rPr>
        <w:t xml:space="preserve">can be </w:t>
      </w:r>
      <w:r w:rsidRPr="6A8D8442">
        <w:rPr>
          <w:rStyle w:val="None"/>
          <w:rFonts w:ascii="Times New Roman" w:eastAsia="Times New Roman" w:hAnsi="Times New Roman"/>
        </w:rPr>
        <w:t>visible at birth</w:t>
      </w:r>
      <w:r w:rsidR="50A5C2CD" w:rsidRPr="6A8D8442">
        <w:rPr>
          <w:rStyle w:val="None"/>
          <w:rFonts w:ascii="Times New Roman" w:eastAsia="Times New Roman" w:hAnsi="Times New Roman"/>
        </w:rPr>
        <w:t>,</w:t>
      </w:r>
      <w:r w:rsidR="1E3A16FE" w:rsidRPr="6A8D8442">
        <w:rPr>
          <w:rStyle w:val="None"/>
          <w:rFonts w:ascii="Times New Roman" w:eastAsia="Times New Roman" w:hAnsi="Times New Roman"/>
        </w:rPr>
        <w:t xml:space="preserve"> become </w:t>
      </w:r>
      <w:r w:rsidRPr="6A8D8442">
        <w:rPr>
          <w:rStyle w:val="None"/>
          <w:rFonts w:ascii="Times New Roman" w:eastAsia="Times New Roman" w:hAnsi="Times New Roman"/>
        </w:rPr>
        <w:t xml:space="preserve">apparent </w:t>
      </w:r>
      <w:r w:rsidR="4156D8BA" w:rsidRPr="6A8D8442">
        <w:rPr>
          <w:rStyle w:val="None"/>
          <w:rFonts w:ascii="Times New Roman" w:eastAsia="Times New Roman" w:hAnsi="Times New Roman"/>
        </w:rPr>
        <w:t xml:space="preserve">at </w:t>
      </w:r>
      <w:r w:rsidRPr="6A8D8442">
        <w:rPr>
          <w:rStyle w:val="None"/>
          <w:rFonts w:ascii="Times New Roman" w:eastAsia="Times New Roman" w:hAnsi="Times New Roman"/>
        </w:rPr>
        <w:t>puberty</w:t>
      </w:r>
      <w:r w:rsidR="731517BB" w:rsidRPr="6A8D8442">
        <w:rPr>
          <w:rStyle w:val="None"/>
          <w:rFonts w:ascii="Times New Roman" w:eastAsia="Times New Roman" w:hAnsi="Times New Roman"/>
        </w:rPr>
        <w:t>, or may not be physically apparent at all</w:t>
      </w:r>
      <w:r w:rsidRPr="6A8D8442">
        <w:rPr>
          <w:rStyle w:val="None"/>
          <w:rFonts w:ascii="Times New Roman" w:eastAsia="Times New Roman" w:hAnsi="Times New Roman"/>
        </w:rPr>
        <w:t>.</w:t>
      </w:r>
      <w:r w:rsidR="39E33AB2" w:rsidRPr="6A8D8442">
        <w:rPr>
          <w:rStyle w:val="FootnoteReference"/>
          <w:rFonts w:ascii="Times New Roman" w:eastAsia="Times New Roman" w:hAnsi="Times New Roman"/>
        </w:rPr>
        <w:footnoteReference w:id="43"/>
      </w:r>
      <w:r w:rsidRPr="6A8D8442">
        <w:rPr>
          <w:rStyle w:val="None"/>
          <w:rFonts w:ascii="Times New Roman" w:eastAsia="Times New Roman" w:hAnsi="Times New Roman"/>
        </w:rPr>
        <w:t xml:space="preserve"> </w:t>
      </w:r>
      <w:r w:rsidR="7C66AC8E" w:rsidRPr="6A8D8442">
        <w:rPr>
          <w:rStyle w:val="None"/>
          <w:rFonts w:ascii="Times New Roman" w:eastAsia="Times New Roman" w:hAnsi="Times New Roman"/>
        </w:rPr>
        <w:t>According to estimates listed by the United Nations, between 0.05 percent and 1.7 percent of the population is born with intersex traits.</w:t>
      </w:r>
      <w:r w:rsidR="39E33AB2" w:rsidRPr="6A8D8442">
        <w:rPr>
          <w:rStyle w:val="FootnoteReference"/>
          <w:rFonts w:ascii="Times New Roman" w:eastAsia="Times New Roman" w:hAnsi="Times New Roman"/>
        </w:rPr>
        <w:footnoteReference w:id="44"/>
      </w:r>
      <w:r w:rsidR="7C66AC8E" w:rsidRPr="6A8D8442">
        <w:rPr>
          <w:rStyle w:val="None"/>
          <w:rFonts w:ascii="Times New Roman" w:eastAsia="Times New Roman" w:hAnsi="Times New Roman"/>
        </w:rPr>
        <w:t xml:space="preserve"> </w:t>
      </w:r>
    </w:p>
    <w:p w14:paraId="36C0588F" w14:textId="5DFD116B" w:rsidR="00D06994" w:rsidRDefault="524D4AAB" w:rsidP="00B50EC3">
      <w:pPr>
        <w:pStyle w:val="ColorfulList-Accent11"/>
        <w:spacing w:line="480" w:lineRule="auto"/>
        <w:ind w:left="0" w:firstLine="720"/>
        <w:jc w:val="both"/>
        <w:rPr>
          <w:rStyle w:val="FootnoteReference"/>
          <w:rFonts w:ascii="Times New Roman" w:eastAsia="Times New Roman" w:hAnsi="Times New Roman"/>
        </w:rPr>
      </w:pPr>
      <w:r w:rsidRPr="6A8D8442">
        <w:rPr>
          <w:rStyle w:val="None"/>
          <w:rFonts w:ascii="Times New Roman" w:eastAsia="Times New Roman" w:hAnsi="Times New Roman"/>
        </w:rPr>
        <w:t>Children born with variations in their sex characteristics are often subjected to "normalizing" surgeries that are irreversible, risky, and medically unnecessary.</w:t>
      </w:r>
      <w:r w:rsidR="699CF54E" w:rsidRPr="6A8D8442">
        <w:rPr>
          <w:rStyle w:val="FootnoteReference"/>
          <w:rFonts w:ascii="Times New Roman" w:eastAsia="Times New Roman" w:hAnsi="Times New Roman"/>
        </w:rPr>
        <w:footnoteReference w:id="45"/>
      </w:r>
      <w:r w:rsidR="7C66AC8E" w:rsidRPr="6A8D8442">
        <w:rPr>
          <w:rStyle w:val="None"/>
          <w:rFonts w:ascii="Times New Roman" w:eastAsia="Times New Roman" w:hAnsi="Times New Roman"/>
        </w:rPr>
        <w:t xml:space="preserve"> </w:t>
      </w:r>
      <w:r w:rsidR="2E591651" w:rsidRPr="6A8D8442">
        <w:rPr>
          <w:rStyle w:val="None"/>
          <w:rFonts w:ascii="Times New Roman" w:eastAsia="Times New Roman" w:hAnsi="Times New Roman"/>
        </w:rPr>
        <w:t>Such</w:t>
      </w:r>
      <w:r w:rsidR="5CFD9E05" w:rsidRPr="6A8D8442">
        <w:rPr>
          <w:rStyle w:val="None"/>
          <w:rFonts w:ascii="Times New Roman" w:eastAsia="Times New Roman" w:hAnsi="Times New Roman"/>
        </w:rPr>
        <w:t xml:space="preserve"> procedures can cause permanent infertility, pain, incontinence, loss of sexual sensation, and lifelong mental suffering, including depression.</w:t>
      </w:r>
      <w:r w:rsidR="699CF54E" w:rsidRPr="6A8D8442">
        <w:rPr>
          <w:rStyle w:val="FootnoteReference"/>
          <w:rFonts w:ascii="Times New Roman" w:eastAsia="Times New Roman" w:hAnsi="Times New Roman"/>
        </w:rPr>
        <w:footnoteReference w:id="46"/>
      </w:r>
      <w:r w:rsidR="5CFD9E05" w:rsidRPr="6A8D8442">
        <w:rPr>
          <w:rStyle w:val="None"/>
          <w:rFonts w:ascii="Times New Roman" w:eastAsia="Times New Roman" w:hAnsi="Times New Roman"/>
        </w:rPr>
        <w:t xml:space="preserve"> </w:t>
      </w:r>
      <w:r w:rsidR="1A960833" w:rsidRPr="6A8D8442">
        <w:rPr>
          <w:rStyle w:val="None"/>
          <w:rFonts w:ascii="Times New Roman" w:eastAsia="Times New Roman" w:hAnsi="Times New Roman"/>
        </w:rPr>
        <w:t>The surgeries are often performed when the child is too young to consent.</w:t>
      </w:r>
      <w:r w:rsidR="699CF54E" w:rsidRPr="65673E0D">
        <w:rPr>
          <w:rStyle w:val="FootnoteReference"/>
          <w:rFonts w:ascii="Times New Roman" w:eastAsia="Times New Roman" w:hAnsi="Times New Roman"/>
        </w:rPr>
        <w:footnoteReference w:id="47"/>
      </w:r>
      <w:r w:rsidR="1A960833" w:rsidRPr="6A8D8442">
        <w:rPr>
          <w:rStyle w:val="None"/>
          <w:rFonts w:ascii="Times New Roman" w:eastAsia="Times New Roman" w:hAnsi="Times New Roman"/>
        </w:rPr>
        <w:t xml:space="preserve"> </w:t>
      </w:r>
      <w:r w:rsidR="31DFEB3A" w:rsidRPr="6A8D8442">
        <w:rPr>
          <w:rStyle w:val="None"/>
          <w:rFonts w:ascii="Times New Roman" w:eastAsia="Times New Roman" w:hAnsi="Times New Roman"/>
        </w:rPr>
        <w:t>Despite their risks and lack of medical necessity, surgeries continue today, including in New York City.</w:t>
      </w:r>
      <w:r w:rsidR="699CF54E" w:rsidRPr="65673E0D">
        <w:rPr>
          <w:rStyle w:val="FootnoteReference"/>
          <w:rFonts w:ascii="Times New Roman" w:eastAsia="Times New Roman" w:hAnsi="Times New Roman"/>
        </w:rPr>
        <w:footnoteReference w:id="48"/>
      </w:r>
      <w:r w:rsidR="630B0054" w:rsidRPr="6A8D8442">
        <w:rPr>
          <w:rStyle w:val="None"/>
          <w:rFonts w:ascii="Times New Roman" w:eastAsia="Times New Roman" w:hAnsi="Times New Roman"/>
        </w:rPr>
        <w:t xml:space="preserve"> </w:t>
      </w:r>
      <w:r w:rsidR="693E7A4A" w:rsidRPr="65673E0D">
        <w:rPr>
          <w:rStyle w:val="None"/>
          <w:rFonts w:ascii="Times New Roman" w:eastAsia="Times New Roman" w:hAnsi="Times New Roman"/>
        </w:rPr>
        <w:t>There is much advocacy around promoting education and awareness of the harms of such surgeries, resulting in more medical professionals and institutions condemning the practice</w:t>
      </w:r>
      <w:r w:rsidR="40086A3F" w:rsidRPr="65673E0D">
        <w:rPr>
          <w:rStyle w:val="None"/>
          <w:rFonts w:ascii="Times New Roman" w:eastAsia="Times New Roman" w:hAnsi="Times New Roman"/>
        </w:rPr>
        <w:t>,</w:t>
      </w:r>
      <w:r w:rsidR="693E7A4A" w:rsidRPr="65673E0D">
        <w:rPr>
          <w:rStyle w:val="None"/>
          <w:rFonts w:ascii="Times New Roman" w:eastAsia="Times New Roman" w:hAnsi="Times New Roman"/>
        </w:rPr>
        <w:t xml:space="preserve"> as well as cities and states </w:t>
      </w:r>
      <w:r w:rsidR="6475E6E5" w:rsidRPr="65673E0D">
        <w:rPr>
          <w:rStyle w:val="None"/>
          <w:rFonts w:ascii="Times New Roman" w:eastAsia="Times New Roman" w:hAnsi="Times New Roman"/>
        </w:rPr>
        <w:t xml:space="preserve">attempting to </w:t>
      </w:r>
      <w:r w:rsidR="693E7A4A" w:rsidRPr="65673E0D">
        <w:rPr>
          <w:rStyle w:val="None"/>
          <w:rFonts w:ascii="Times New Roman" w:eastAsia="Times New Roman" w:hAnsi="Times New Roman"/>
        </w:rPr>
        <w:t>outlaw the surgeries outright.</w:t>
      </w:r>
      <w:r w:rsidR="699CF54E" w:rsidRPr="65673E0D">
        <w:rPr>
          <w:rStyle w:val="FootnoteReference"/>
          <w:rFonts w:ascii="Times New Roman" w:eastAsia="Times New Roman" w:hAnsi="Times New Roman"/>
        </w:rPr>
        <w:footnoteReference w:id="49"/>
      </w:r>
    </w:p>
    <w:p w14:paraId="49FE20E1" w14:textId="7A3769C8" w:rsidR="755C3682" w:rsidRDefault="1228DA92" w:rsidP="65673E0D">
      <w:pPr>
        <w:pStyle w:val="ListParagraph"/>
        <w:numPr>
          <w:ilvl w:val="0"/>
          <w:numId w:val="23"/>
        </w:numPr>
        <w:spacing w:line="480" w:lineRule="auto"/>
        <w:jc w:val="both"/>
        <w:rPr>
          <w:rStyle w:val="None"/>
          <w:i/>
          <w:iCs/>
        </w:rPr>
      </w:pPr>
      <w:r w:rsidRPr="65673E0D">
        <w:rPr>
          <w:rStyle w:val="None"/>
          <w:i/>
          <w:iCs/>
        </w:rPr>
        <w:t xml:space="preserve">Female Genital </w:t>
      </w:r>
      <w:r w:rsidR="31A9AF15" w:rsidRPr="65673E0D">
        <w:rPr>
          <w:rStyle w:val="None"/>
          <w:i/>
          <w:iCs/>
        </w:rPr>
        <w:t>Cutting</w:t>
      </w:r>
    </w:p>
    <w:p w14:paraId="780867FB" w14:textId="52D3F324" w:rsidR="0CB3542B" w:rsidRDefault="2F664B20" w:rsidP="1745A64D">
      <w:pPr>
        <w:spacing w:line="480" w:lineRule="auto"/>
        <w:ind w:firstLine="720"/>
        <w:jc w:val="both"/>
        <w:outlineLvl w:val="0"/>
        <w:rPr>
          <w:rFonts w:eastAsia="Calibri"/>
          <w:color w:val="000000" w:themeColor="text1"/>
        </w:rPr>
      </w:pPr>
      <w:r w:rsidRPr="1745A64D">
        <w:rPr>
          <w:color w:val="000000" w:themeColor="text1"/>
        </w:rPr>
        <w:t>Female Genital Cutting (</w:t>
      </w:r>
      <w:r w:rsidR="1228DA92" w:rsidRPr="1745A64D">
        <w:rPr>
          <w:color w:val="000000" w:themeColor="text1"/>
        </w:rPr>
        <w:t>FGC</w:t>
      </w:r>
      <w:r w:rsidR="6E47F0C1" w:rsidRPr="1745A64D">
        <w:rPr>
          <w:color w:val="000000" w:themeColor="text1"/>
        </w:rPr>
        <w:t>)</w:t>
      </w:r>
      <w:r w:rsidR="6C59A201" w:rsidRPr="1745A64D">
        <w:rPr>
          <w:color w:val="000000" w:themeColor="text1"/>
        </w:rPr>
        <w:t>, also known as Female Genital Mutilation,</w:t>
      </w:r>
      <w:r w:rsidR="1228DA92" w:rsidRPr="1745A64D">
        <w:rPr>
          <w:color w:val="000000" w:themeColor="text1"/>
        </w:rPr>
        <w:t xml:space="preserve"> </w:t>
      </w:r>
      <w:r w:rsidR="1228DA92" w:rsidRPr="1745A64D">
        <w:t xml:space="preserve">is defined by the WHO </w:t>
      </w:r>
      <w:r w:rsidR="1228DA92" w:rsidRPr="1745A64D">
        <w:rPr>
          <w:color w:val="000000" w:themeColor="text1"/>
        </w:rPr>
        <w:t>as “all procedures that involve partial or total removal of the external female genitalia, or other injury to the female genital organs for non-medical reasons.”</w:t>
      </w:r>
      <w:r w:rsidR="0CB3542B" w:rsidRPr="1745A64D">
        <w:rPr>
          <w:rStyle w:val="footnotereference0"/>
          <w:color w:val="000000" w:themeColor="text1"/>
        </w:rPr>
        <w:footnoteReference w:id="50"/>
      </w:r>
      <w:r w:rsidR="1228DA92" w:rsidRPr="1745A64D">
        <w:rPr>
          <w:color w:val="000000" w:themeColor="text1"/>
        </w:rPr>
        <w:t xml:space="preserve"> FGC is a historical and cultural practice performed in over 30 countries</w:t>
      </w:r>
      <w:r w:rsidR="008C1265">
        <w:rPr>
          <w:color w:val="000000" w:themeColor="text1"/>
        </w:rPr>
        <w:t>, including in the United States</w:t>
      </w:r>
      <w:r w:rsidR="1228DA92" w:rsidRPr="1745A64D">
        <w:rPr>
          <w:color w:val="000000" w:themeColor="text1"/>
        </w:rPr>
        <w:t>.</w:t>
      </w:r>
      <w:r w:rsidR="0CB3542B" w:rsidRPr="1745A64D">
        <w:rPr>
          <w:rStyle w:val="footnotereference0"/>
          <w:color w:val="000000" w:themeColor="text1"/>
        </w:rPr>
        <w:footnoteReference w:id="51"/>
      </w:r>
      <w:r w:rsidR="7C0B574B" w:rsidRPr="1745A64D">
        <w:rPr>
          <w:rFonts w:eastAsia="Calibri"/>
          <w:color w:val="000000" w:themeColor="text1"/>
        </w:rPr>
        <w:t xml:space="preserve"> </w:t>
      </w:r>
      <w:r w:rsidR="1228DA92" w:rsidRPr="1745A64D">
        <w:rPr>
          <w:rFonts w:eastAsia="Calibri"/>
          <w:color w:val="000000" w:themeColor="text1"/>
        </w:rPr>
        <w:t xml:space="preserve">FGC is practiced in households </w:t>
      </w:r>
      <w:r w:rsidR="008C1265">
        <w:rPr>
          <w:rFonts w:eastAsia="Calibri"/>
          <w:color w:val="000000" w:themeColor="text1"/>
        </w:rPr>
        <w:t>across educational and socioeconomic divides</w:t>
      </w:r>
      <w:r w:rsidR="1228DA92" w:rsidRPr="1745A64D">
        <w:rPr>
          <w:rFonts w:eastAsia="Calibri"/>
          <w:color w:val="000000" w:themeColor="text1"/>
        </w:rPr>
        <w:t>, and occurs among many religious groups</w:t>
      </w:r>
      <w:r w:rsidR="0CB3542B" w:rsidRPr="1745A64D">
        <w:rPr>
          <w:rStyle w:val="footnotereference0"/>
          <w:rFonts w:eastAsia="Calibri"/>
          <w:color w:val="000000" w:themeColor="text1"/>
        </w:rPr>
        <w:footnoteReference w:id="52"/>
      </w:r>
      <w:r w:rsidR="1228DA92" w:rsidRPr="1745A64D">
        <w:rPr>
          <w:rFonts w:eastAsia="Calibri"/>
          <w:color w:val="000000" w:themeColor="text1"/>
        </w:rPr>
        <w:t xml:space="preserve"> for various </w:t>
      </w:r>
      <w:r w:rsidR="1228DA92" w:rsidRPr="008C1265">
        <w:rPr>
          <w:rFonts w:eastAsia="Calibri"/>
        </w:rPr>
        <w:t>sociocultural reasons, varying from one region and ethnic group to another.</w:t>
      </w:r>
      <w:r w:rsidR="0CB3542B" w:rsidRPr="008C1265">
        <w:rPr>
          <w:rStyle w:val="footnotereference0"/>
          <w:rFonts w:eastAsia="Calibri"/>
        </w:rPr>
        <w:footnoteReference w:id="53"/>
      </w:r>
      <w:r w:rsidR="1228DA92" w:rsidRPr="008C1265">
        <w:rPr>
          <w:rFonts w:eastAsia="Calibri"/>
        </w:rPr>
        <w:t xml:space="preserve"> While FGC is condemned as a human rights violation by many international treaties and conventions,</w:t>
      </w:r>
      <w:r w:rsidR="0CB3542B" w:rsidRPr="008C1265">
        <w:rPr>
          <w:rStyle w:val="footnotereference0"/>
          <w:rFonts w:eastAsia="Calibri"/>
        </w:rPr>
        <w:footnoteReference w:id="54"/>
      </w:r>
      <w:r w:rsidR="1228DA92" w:rsidRPr="008C1265">
        <w:rPr>
          <w:rFonts w:eastAsia="Calibri"/>
        </w:rPr>
        <w:t xml:space="preserve"> where it is practiced, FGC is often performed in line with social norms “to ensure that girls are socially accepted and marriageable, and to uphold their status and honor and that of the entire family.”</w:t>
      </w:r>
      <w:r w:rsidR="0CB3542B" w:rsidRPr="008C1265">
        <w:rPr>
          <w:rStyle w:val="footnotereference0"/>
          <w:rFonts w:eastAsia="Calibri"/>
        </w:rPr>
        <w:footnoteReference w:id="55"/>
      </w:r>
      <w:r w:rsidR="1228DA92" w:rsidRPr="008C1265">
        <w:rPr>
          <w:rFonts w:eastAsia="Calibri"/>
        </w:rPr>
        <w:t xml:space="preserve"> Other historical </w:t>
      </w:r>
      <w:r w:rsidR="1228DA92" w:rsidRPr="1745A64D">
        <w:rPr>
          <w:rFonts w:eastAsia="Calibri"/>
          <w:color w:val="000000" w:themeColor="text1"/>
        </w:rPr>
        <w:t>reasons and purposes expressed for the practice, beyond safeguarding virginity before marriage or enhancing fertility, range from cleanliness and beauty to acting as a rite of passage into adulthood.</w:t>
      </w:r>
      <w:r w:rsidR="0CB3542B" w:rsidRPr="1745A64D">
        <w:rPr>
          <w:rStyle w:val="footnotereference0"/>
          <w:rFonts w:eastAsia="Calibri"/>
          <w:color w:val="000000" w:themeColor="text1"/>
        </w:rPr>
        <w:footnoteReference w:id="56"/>
      </w:r>
    </w:p>
    <w:p w14:paraId="20C080B2" w14:textId="3325E3AF" w:rsidR="755C3682" w:rsidRDefault="1228DA92" w:rsidP="1745A64D">
      <w:pPr>
        <w:spacing w:line="480" w:lineRule="auto"/>
        <w:ind w:firstLine="720"/>
        <w:jc w:val="both"/>
        <w:outlineLvl w:val="0"/>
        <w:rPr>
          <w:rFonts w:eastAsia="Calibri"/>
          <w:color w:val="000000" w:themeColor="text1"/>
        </w:rPr>
      </w:pPr>
      <w:r w:rsidRPr="1745A64D">
        <w:rPr>
          <w:rFonts w:eastAsia="Calibri"/>
          <w:color w:val="000000" w:themeColor="text1"/>
        </w:rPr>
        <w:t>However, FGC has no known health benefits, and women and girls who have underg</w:t>
      </w:r>
      <w:r w:rsidR="0442EADE" w:rsidRPr="1745A64D">
        <w:rPr>
          <w:rFonts w:eastAsia="Calibri"/>
          <w:color w:val="000000" w:themeColor="text1"/>
        </w:rPr>
        <w:t>one</w:t>
      </w:r>
      <w:r w:rsidRPr="1745A64D">
        <w:rPr>
          <w:rFonts w:eastAsia="Calibri"/>
          <w:color w:val="000000" w:themeColor="text1"/>
        </w:rPr>
        <w:t xml:space="preserve"> FGC procedures are at great risk of suffering both short- and long-term health complications, including increased risks during childbirth, psychological trauma, and even death.</w:t>
      </w:r>
      <w:r w:rsidR="755C3682" w:rsidRPr="1745A64D">
        <w:rPr>
          <w:rStyle w:val="footnotereference0"/>
          <w:rFonts w:eastAsia="Calibri"/>
          <w:color w:val="000000" w:themeColor="text1"/>
        </w:rPr>
        <w:footnoteReference w:id="57"/>
      </w:r>
      <w:r w:rsidRPr="1745A64D">
        <w:rPr>
          <w:rFonts w:eastAsia="Calibri"/>
          <w:color w:val="000000" w:themeColor="text1"/>
        </w:rPr>
        <w:t xml:space="preserve"> Further, the painful and traumatic procedure is performed mainly on children and adolescents between the ages of infancy and 15 and without anesthetic.</w:t>
      </w:r>
      <w:r w:rsidR="755C3682" w:rsidRPr="1745A64D">
        <w:rPr>
          <w:rStyle w:val="footnotereference0"/>
          <w:rFonts w:eastAsia="Calibri"/>
          <w:color w:val="000000" w:themeColor="text1"/>
        </w:rPr>
        <w:footnoteReference w:id="58"/>
      </w:r>
      <w:r w:rsidRPr="1745A64D">
        <w:rPr>
          <w:rFonts w:eastAsia="Calibri"/>
          <w:color w:val="000000" w:themeColor="text1"/>
        </w:rPr>
        <w:t xml:space="preserve"> It is therefore also frequently performed without full, informed consent, with or without coercion.</w:t>
      </w:r>
      <w:r w:rsidR="755C3682" w:rsidRPr="1745A64D">
        <w:rPr>
          <w:rStyle w:val="footnotereference0"/>
          <w:rFonts w:eastAsia="Calibri"/>
          <w:color w:val="000000" w:themeColor="text1"/>
        </w:rPr>
        <w:footnoteReference w:id="59"/>
      </w:r>
      <w:r w:rsidRPr="1745A64D">
        <w:rPr>
          <w:rFonts w:eastAsia="Calibri"/>
          <w:color w:val="000000" w:themeColor="text1"/>
        </w:rPr>
        <w:t xml:space="preserve"> Accordingly, FGC has been widely recognized as a violation of basic human rights, including the principles of equality and non-discrimination on the basis of sex, the right to life when the procedure results in death, and the right to freedom from torture or cruel, inhuman</w:t>
      </w:r>
      <w:r w:rsidR="008C1265">
        <w:rPr>
          <w:rFonts w:eastAsia="Calibri"/>
          <w:color w:val="000000" w:themeColor="text1"/>
        </w:rPr>
        <w:t>e</w:t>
      </w:r>
      <w:r w:rsidRPr="1745A64D">
        <w:rPr>
          <w:rFonts w:eastAsia="Calibri"/>
          <w:color w:val="000000" w:themeColor="text1"/>
        </w:rPr>
        <w:t xml:space="preserve"> or degrading treatment or punishment, as well as the rights of the child.</w:t>
      </w:r>
      <w:r w:rsidR="755C3682" w:rsidRPr="1745A64D">
        <w:rPr>
          <w:rStyle w:val="footnotereference0"/>
          <w:rFonts w:eastAsia="Calibri"/>
          <w:color w:val="000000" w:themeColor="text1"/>
        </w:rPr>
        <w:footnoteReference w:id="60"/>
      </w:r>
      <w:r w:rsidRPr="1745A64D">
        <w:rPr>
          <w:rFonts w:eastAsia="Calibri"/>
          <w:color w:val="000000" w:themeColor="text1"/>
        </w:rPr>
        <w:t xml:space="preserve"> </w:t>
      </w:r>
    </w:p>
    <w:p w14:paraId="17FF0C36" w14:textId="2F6B8147" w:rsidR="755C3682" w:rsidRDefault="1228DA92" w:rsidP="65673E0D">
      <w:pPr>
        <w:spacing w:line="480" w:lineRule="auto"/>
        <w:ind w:firstLine="720"/>
        <w:jc w:val="both"/>
        <w:outlineLvl w:val="0"/>
        <w:rPr>
          <w:rFonts w:eastAsia="Calibri"/>
        </w:rPr>
      </w:pPr>
      <w:r w:rsidRPr="1745A64D">
        <w:rPr>
          <w:rFonts w:eastAsia="Calibri"/>
          <w:color w:val="000000" w:themeColor="text1"/>
        </w:rPr>
        <w:t>It is estimated that over 200 million women and girls worldwide have experienced FGC.</w:t>
      </w:r>
      <w:r w:rsidR="755C3682" w:rsidRPr="1745A64D">
        <w:rPr>
          <w:rStyle w:val="footnotereference0"/>
          <w:rFonts w:eastAsia="Calibri"/>
          <w:color w:val="000000" w:themeColor="text1"/>
        </w:rPr>
        <w:footnoteReference w:id="61"/>
      </w:r>
      <w:r w:rsidRPr="1745A64D">
        <w:rPr>
          <w:rFonts w:eastAsia="Calibri"/>
          <w:color w:val="000000" w:themeColor="text1"/>
        </w:rPr>
        <w:t xml:space="preserve"> According to the United Nations Population Fund (UNFPA), if the current rate continues, a further 68 million girls could be subjected to FGC by 2030.</w:t>
      </w:r>
      <w:r w:rsidR="755C3682" w:rsidRPr="1745A64D">
        <w:rPr>
          <w:rFonts w:eastAsia="Calibri"/>
          <w:color w:val="000000" w:themeColor="text1"/>
          <w:vertAlign w:val="superscript"/>
        </w:rPr>
        <w:footnoteReference w:id="62"/>
      </w:r>
      <w:r w:rsidRPr="1745A64D">
        <w:rPr>
          <w:rFonts w:eastAsia="Calibri"/>
          <w:color w:val="000000" w:themeColor="text1"/>
        </w:rPr>
        <w:t xml:space="preserve"> In the U.S., the risk for FGC is especially high in areas with substantial ties to countries where FGC is legal or frequently practiced.</w:t>
      </w:r>
      <w:r w:rsidR="755C3682" w:rsidRPr="1745A64D">
        <w:rPr>
          <w:rStyle w:val="footnotereference0"/>
          <w:rFonts w:eastAsia="Calibri"/>
          <w:color w:val="000000" w:themeColor="text1"/>
        </w:rPr>
        <w:footnoteReference w:id="63"/>
      </w:r>
      <w:r w:rsidRPr="1745A64D">
        <w:rPr>
          <w:rFonts w:eastAsia="Calibri"/>
          <w:color w:val="000000" w:themeColor="text1"/>
        </w:rPr>
        <w:t xml:space="preserve"> According to the Population Reference Bureau (PRB), a nonprofit organization specializing in statistical collection and supply, approximately </w:t>
      </w:r>
      <w:r w:rsidR="423ADBA7" w:rsidRPr="1745A64D">
        <w:rPr>
          <w:rFonts w:eastAsia="Calibri"/>
          <w:color w:val="000000" w:themeColor="text1"/>
        </w:rPr>
        <w:t>ten</w:t>
      </w:r>
      <w:r w:rsidRPr="1745A64D">
        <w:rPr>
          <w:rFonts w:eastAsia="Calibri"/>
          <w:color w:val="000000" w:themeColor="text1"/>
        </w:rPr>
        <w:t xml:space="preserve"> percent of the at-risk women and girls in the U.S. (or 48,000) live in New York, which is second only to California.</w:t>
      </w:r>
      <w:r w:rsidR="755C3682" w:rsidRPr="1745A64D">
        <w:rPr>
          <w:rStyle w:val="footnotereference0"/>
          <w:rFonts w:eastAsia="Calibri"/>
          <w:color w:val="000000" w:themeColor="text1"/>
        </w:rPr>
        <w:footnoteReference w:id="64"/>
      </w:r>
      <w:r w:rsidRPr="1745A64D">
        <w:rPr>
          <w:rFonts w:eastAsia="Calibri"/>
          <w:color w:val="000000" w:themeColor="text1"/>
        </w:rPr>
        <w:t xml:space="preserve"> </w:t>
      </w:r>
      <w:r w:rsidRPr="1745A64D">
        <w:rPr>
          <w:rFonts w:eastAsia="Calibri"/>
        </w:rPr>
        <w:t xml:space="preserve">Additionally, </w:t>
      </w:r>
      <w:r w:rsidR="16578946" w:rsidRPr="1745A64D">
        <w:rPr>
          <w:rFonts w:eastAsia="Calibri"/>
        </w:rPr>
        <w:t>most</w:t>
      </w:r>
      <w:r w:rsidRPr="1745A64D">
        <w:rPr>
          <w:rFonts w:eastAsia="Calibri"/>
        </w:rPr>
        <w:t xml:space="preserve"> </w:t>
      </w:r>
      <w:r w:rsidRPr="1745A64D">
        <w:rPr>
          <w:rFonts w:eastAsia="Calibri"/>
          <w:color w:val="000000" w:themeColor="text1"/>
        </w:rPr>
        <w:t>women and girls</w:t>
      </w:r>
      <w:r w:rsidRPr="1745A64D">
        <w:rPr>
          <w:rFonts w:eastAsia="Calibri"/>
        </w:rPr>
        <w:t xml:space="preserve"> at risk of FGC in this country reside in cities or suburbs of large metropolitan areas, and the New York-Newark-Jersey City Metro Area ranks first among all metropolitan areas in the country, with an estimated 65,893 </w:t>
      </w:r>
      <w:r w:rsidRPr="1745A64D">
        <w:rPr>
          <w:rFonts w:eastAsia="Calibri"/>
          <w:color w:val="000000" w:themeColor="text1"/>
        </w:rPr>
        <w:t>women and girls</w:t>
      </w:r>
      <w:r w:rsidRPr="1745A64D">
        <w:rPr>
          <w:rFonts w:eastAsia="Calibri"/>
        </w:rPr>
        <w:t xml:space="preserve"> at risk of </w:t>
      </w:r>
      <w:r w:rsidRPr="1745A64D">
        <w:rPr>
          <w:rFonts w:eastAsia="Calibri"/>
          <w:color w:val="000000" w:themeColor="text1"/>
        </w:rPr>
        <w:t>FGC</w:t>
      </w:r>
      <w:r w:rsidRPr="1745A64D">
        <w:rPr>
          <w:rFonts w:eastAsia="Calibri"/>
        </w:rPr>
        <w:t>.</w:t>
      </w:r>
      <w:r w:rsidR="755C3682" w:rsidRPr="1745A64D">
        <w:rPr>
          <w:rStyle w:val="footnotereference0"/>
          <w:rFonts w:eastAsia="Calibri"/>
        </w:rPr>
        <w:footnoteReference w:id="65"/>
      </w:r>
    </w:p>
    <w:p w14:paraId="69B2AC34" w14:textId="00719F89" w:rsidR="00DD47CF" w:rsidRPr="00F55438" w:rsidRDefault="1C45363E" w:rsidP="1ACA68ED">
      <w:pPr>
        <w:pStyle w:val="ListParagraph"/>
        <w:numPr>
          <w:ilvl w:val="0"/>
          <w:numId w:val="23"/>
        </w:numPr>
        <w:pBdr>
          <w:top w:val="nil"/>
          <w:left w:val="nil"/>
          <w:bottom w:val="nil"/>
          <w:right w:val="nil"/>
          <w:between w:val="nil"/>
          <w:bar w:val="nil"/>
        </w:pBdr>
        <w:spacing w:line="480" w:lineRule="auto"/>
        <w:jc w:val="both"/>
        <w:rPr>
          <w:rStyle w:val="None"/>
          <w:i/>
          <w:iCs/>
          <w:color w:val="000000" w:themeColor="text1"/>
          <w:highlight w:val="yellow"/>
        </w:rPr>
      </w:pPr>
      <w:r w:rsidRPr="1ACA68ED">
        <w:rPr>
          <w:rStyle w:val="None"/>
          <w:i/>
          <w:iCs/>
          <w:color w:val="000000" w:themeColor="text1"/>
        </w:rPr>
        <w:t>Access to Abortio</w:t>
      </w:r>
      <w:r w:rsidR="61DB240C" w:rsidRPr="1ACA68ED">
        <w:rPr>
          <w:rStyle w:val="None"/>
          <w:i/>
          <w:iCs/>
          <w:color w:val="000000" w:themeColor="text1"/>
        </w:rPr>
        <w:t>n</w:t>
      </w:r>
    </w:p>
    <w:p w14:paraId="0B0F1C3D" w14:textId="07E8541D" w:rsidR="00DD47CF" w:rsidRPr="00F55438" w:rsidRDefault="69E11858" w:rsidP="1ACA68ED">
      <w:pPr>
        <w:pBdr>
          <w:top w:val="nil"/>
          <w:left w:val="nil"/>
          <w:bottom w:val="nil"/>
          <w:right w:val="nil"/>
          <w:between w:val="nil"/>
          <w:bar w:val="nil"/>
        </w:pBdr>
        <w:spacing w:line="480" w:lineRule="auto"/>
        <w:ind w:firstLine="720"/>
        <w:jc w:val="both"/>
      </w:pPr>
      <w:r w:rsidRPr="1ACA68ED">
        <w:t>While New York was the first state in the country to make abortion legal in 1971, if a pregnant woman requested it,</w:t>
      </w:r>
      <w:r w:rsidR="00DD47CF" w:rsidRPr="1ACA68ED">
        <w:rPr>
          <w:rStyle w:val="FootnoteReference"/>
        </w:rPr>
        <w:footnoteReference w:id="66"/>
      </w:r>
      <w:r w:rsidRPr="1ACA68ED">
        <w:t xml:space="preserve"> it was not until the New York state legislature passed and Governor Cuomo signed the Reproductive Health Act (RHA)</w:t>
      </w:r>
      <w:r w:rsidR="00DD47CF" w:rsidRPr="1ACA68ED">
        <w:rPr>
          <w:rStyle w:val="FootnoteReference"/>
        </w:rPr>
        <w:footnoteReference w:id="67"/>
      </w:r>
      <w:r w:rsidRPr="1ACA68ED">
        <w:t xml:space="preserve"> into law in 2019 that the full protections provided under </w:t>
      </w:r>
      <w:r w:rsidRPr="05EBA5AA">
        <w:rPr>
          <w:i/>
          <w:iCs/>
        </w:rPr>
        <w:t>Roe v. Wade</w:t>
      </w:r>
      <w:r w:rsidR="00DD47CF" w:rsidRPr="1ACA68ED">
        <w:rPr>
          <w:rStyle w:val="FootnoteReference"/>
        </w:rPr>
        <w:footnoteReference w:id="68"/>
      </w:r>
      <w:r w:rsidRPr="1ACA68ED">
        <w:t xml:space="preserve"> were codified into New York state law</w:t>
      </w:r>
      <w:r w:rsidR="783293FA" w:rsidRPr="1ACA68ED">
        <w:t>.</w:t>
      </w:r>
      <w:r w:rsidR="00DD47CF" w:rsidRPr="1ACA68ED">
        <w:rPr>
          <w:rStyle w:val="FootnoteReference"/>
        </w:rPr>
        <w:footnoteReference w:id="69"/>
      </w:r>
      <w:r w:rsidRPr="1ACA68ED">
        <w:t xml:space="preserve"> </w:t>
      </w:r>
      <w:r w:rsidRPr="1ACA68ED">
        <w:rPr>
          <w:color w:val="282727"/>
        </w:rPr>
        <w:t xml:space="preserve">The RHA </w:t>
      </w:r>
      <w:r w:rsidRPr="1ACA68ED">
        <w:t xml:space="preserve">did not enact any major changes in the way abortion is provided in New York, but it is significant in that it brought New York into line with </w:t>
      </w:r>
      <w:r w:rsidRPr="05EBA5AA">
        <w:rPr>
          <w:i/>
          <w:iCs/>
        </w:rPr>
        <w:t>Roe v. Wade</w:t>
      </w:r>
      <w:r w:rsidRPr="1ACA68ED">
        <w:t xml:space="preserve"> by: </w:t>
      </w:r>
    </w:p>
    <w:p w14:paraId="7A533E4A" w14:textId="77777777" w:rsidR="00362FA7" w:rsidRDefault="69E11858" w:rsidP="05EBA5AA">
      <w:pPr>
        <w:pStyle w:val="ListParagraph"/>
        <w:numPr>
          <w:ilvl w:val="0"/>
          <w:numId w:val="19"/>
        </w:numPr>
        <w:pBdr>
          <w:top w:val="nil"/>
          <w:left w:val="nil"/>
          <w:bottom w:val="nil"/>
          <w:right w:val="nil"/>
          <w:between w:val="nil"/>
          <w:bar w:val="nil"/>
        </w:pBdr>
        <w:jc w:val="both"/>
      </w:pPr>
      <w:r w:rsidRPr="1ACA68ED">
        <w:t xml:space="preserve">Removing abortion from the state </w:t>
      </w:r>
      <w:r w:rsidR="00362FA7">
        <w:t>P</w:t>
      </w:r>
      <w:r w:rsidRPr="1ACA68ED">
        <w:t xml:space="preserve">enal </w:t>
      </w:r>
      <w:r w:rsidR="00362FA7">
        <w:t>C</w:t>
      </w:r>
      <w:r w:rsidRPr="1ACA68ED">
        <w:t>ode,</w:t>
      </w:r>
      <w:r w:rsidR="00DD47CF" w:rsidRPr="1ACA68ED">
        <w:rPr>
          <w:rStyle w:val="FootnoteReference"/>
        </w:rPr>
        <w:footnoteReference w:id="70"/>
      </w:r>
      <w:r w:rsidRPr="1ACA68ED">
        <w:t xml:space="preserve"> </w:t>
      </w:r>
    </w:p>
    <w:p w14:paraId="09442937" w14:textId="4C4B283B"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Legalizing abortions performed after 24-weeks’ gestation in cases of fetal non-viability or threat to a woman’s health;</w:t>
      </w:r>
      <w:r w:rsidR="00DD47CF" w:rsidRPr="1ACA68ED">
        <w:rPr>
          <w:rStyle w:val="FootnoteReference"/>
        </w:rPr>
        <w:footnoteReference w:id="71"/>
      </w:r>
      <w:r w:rsidRPr="1ACA68ED">
        <w:t xml:space="preserve"> </w:t>
      </w:r>
    </w:p>
    <w:p w14:paraId="3A68803D" w14:textId="19C6C4CF"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Expanding upon those who can provide abortions to include health-care professionals other than doctors, such as nurse practitioners and physician assistants;</w:t>
      </w:r>
      <w:r w:rsidR="00DD47CF" w:rsidRPr="1ACA68ED">
        <w:rPr>
          <w:rStyle w:val="FootnoteReference"/>
        </w:rPr>
        <w:footnoteReference w:id="72"/>
      </w:r>
      <w:r w:rsidRPr="1ACA68ED">
        <w:t xml:space="preserve"> and </w:t>
      </w:r>
    </w:p>
    <w:p w14:paraId="37518DB3" w14:textId="2FFCE81B"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Repealing Public Health Law § 4164,</w:t>
      </w:r>
      <w:r w:rsidR="00DD47CF" w:rsidRPr="1ACA68ED">
        <w:rPr>
          <w:rStyle w:val="FootnoteReference"/>
        </w:rPr>
        <w:footnoteReference w:id="73"/>
      </w:r>
      <w:r w:rsidRPr="1ACA68ED">
        <w:t xml:space="preserve"> which required an abortion after the 12th week of pregnancy be performed in a hospital and only on an in-patient basis</w:t>
      </w:r>
      <w:r w:rsidR="00124F2F">
        <w:t>,</w:t>
      </w:r>
      <w:r w:rsidRPr="1ACA68ED">
        <w:t xml:space="preserve"> and</w:t>
      </w:r>
      <w:r w:rsidR="00124F2F">
        <w:t xml:space="preserve"> repealing</w:t>
      </w:r>
      <w:r w:rsidRPr="1ACA68ED">
        <w:t xml:space="preserve"> Penal Law §§ 125.40, 125.45, 125.50, 125.55 and 125.60, related to homicide, self-abortion, and related offenses.</w:t>
      </w:r>
      <w:r w:rsidR="00DD47CF" w:rsidRPr="1ACA68ED">
        <w:rPr>
          <w:rStyle w:val="FootnoteReference"/>
        </w:rPr>
        <w:footnoteReference w:id="74"/>
      </w:r>
    </w:p>
    <w:p w14:paraId="3ADA3911" w14:textId="77777777" w:rsidR="00500C02" w:rsidRDefault="00500C02" w:rsidP="05EBA5AA">
      <w:pPr>
        <w:pBdr>
          <w:top w:val="nil"/>
          <w:left w:val="nil"/>
          <w:bottom w:val="nil"/>
          <w:right w:val="nil"/>
          <w:between w:val="nil"/>
          <w:bar w:val="nil"/>
        </w:pBdr>
        <w:spacing w:line="480" w:lineRule="auto"/>
        <w:ind w:firstLine="720"/>
        <w:jc w:val="both"/>
      </w:pPr>
    </w:p>
    <w:p w14:paraId="4EEA8B9D" w14:textId="2212D7A3" w:rsidR="00DD47CF" w:rsidRPr="00F55438" w:rsidRDefault="345FFA34" w:rsidP="05EBA5AA">
      <w:pPr>
        <w:pBdr>
          <w:top w:val="nil"/>
          <w:left w:val="nil"/>
          <w:bottom w:val="nil"/>
          <w:right w:val="nil"/>
          <w:between w:val="nil"/>
          <w:bar w:val="nil"/>
        </w:pBdr>
        <w:spacing w:line="480" w:lineRule="auto"/>
        <w:ind w:firstLine="720"/>
        <w:jc w:val="both"/>
      </w:pPr>
      <w:r w:rsidRPr="1ACA68ED">
        <w:t xml:space="preserve">It is </w:t>
      </w:r>
      <w:r w:rsidRPr="05EBA5AA">
        <w:t xml:space="preserve">estimated that nearly one in four women </w:t>
      </w:r>
      <w:r w:rsidR="004013FA">
        <w:t xml:space="preserve">in the U.S. </w:t>
      </w:r>
      <w:r w:rsidRPr="05EBA5AA">
        <w:t xml:space="preserve">will have an abortion in </w:t>
      </w:r>
      <w:r w:rsidR="00500C02">
        <w:t>their</w:t>
      </w:r>
      <w:r w:rsidRPr="05EBA5AA">
        <w:t xml:space="preserve"> lifetime</w:t>
      </w:r>
      <w:r w:rsidR="00500C02">
        <w:t>s</w:t>
      </w:r>
      <w:r w:rsidRPr="05EBA5AA">
        <w:t>.</w:t>
      </w:r>
      <w:r w:rsidR="00DD47CF" w:rsidRPr="05EBA5AA">
        <w:rPr>
          <w:rStyle w:val="FootnoteReference"/>
        </w:rPr>
        <w:footnoteReference w:id="75"/>
      </w:r>
      <w:r w:rsidRPr="05EBA5AA">
        <w:t xml:space="preserve"> </w:t>
      </w:r>
      <w:r w:rsidR="596DC648" w:rsidRPr="1ACA68ED">
        <w:t xml:space="preserve">In </w:t>
      </w:r>
      <w:r w:rsidR="69E11858" w:rsidRPr="1ACA68ED">
        <w:t>an age where the cost of unintended pregnancies continues to be high, and can be prevented through proper sex education, access to contraception and abortion,</w:t>
      </w:r>
      <w:r w:rsidR="00DD47CF" w:rsidRPr="1ACA68ED">
        <w:rPr>
          <w:rStyle w:val="FootnoteReference"/>
        </w:rPr>
        <w:footnoteReference w:id="76"/>
      </w:r>
      <w:r w:rsidR="69E11858" w:rsidRPr="1ACA68ED">
        <w:t xml:space="preserve"> and surgical abortion </w:t>
      </w:r>
      <w:r w:rsidR="72D724AE" w:rsidRPr="1ACA68ED">
        <w:t>is</w:t>
      </w:r>
      <w:r w:rsidR="69E11858" w:rsidRPr="1ACA68ED">
        <w:t xml:space="preserve"> one of the safest surgical procedures for women in the U.S,</w:t>
      </w:r>
      <w:r w:rsidR="00DD47CF" w:rsidRPr="1ACA68ED">
        <w:rPr>
          <w:rStyle w:val="FootnoteReference"/>
        </w:rPr>
        <w:footnoteReference w:id="77"/>
      </w:r>
      <w:r w:rsidR="69E11858" w:rsidRPr="1ACA68ED">
        <w:t xml:space="preserve"> the RHA provides enhanced protections for women and ensures access to safe, legal abortion in New York.</w:t>
      </w:r>
      <w:r w:rsidR="00362FA7">
        <w:rPr>
          <w:rStyle w:val="FootnoteReference"/>
        </w:rPr>
        <w:footnoteReference w:id="78"/>
      </w:r>
      <w:r w:rsidR="58E3F567" w:rsidRPr="1ACA68ED">
        <w:t xml:space="preserve"> </w:t>
      </w:r>
    </w:p>
    <w:p w14:paraId="306133AF" w14:textId="139E0A8C" w:rsidR="00DD47CF" w:rsidRPr="00F55438" w:rsidRDefault="3EB35CC2" w:rsidP="1ACA68ED">
      <w:pPr>
        <w:pStyle w:val="ListParagraph"/>
        <w:numPr>
          <w:ilvl w:val="0"/>
          <w:numId w:val="23"/>
        </w:numPr>
        <w:pBdr>
          <w:top w:val="nil"/>
          <w:left w:val="nil"/>
          <w:bottom w:val="nil"/>
          <w:right w:val="nil"/>
          <w:between w:val="nil"/>
          <w:bar w:val="nil"/>
        </w:pBdr>
        <w:spacing w:line="480" w:lineRule="auto"/>
        <w:jc w:val="both"/>
        <w:rPr>
          <w:rStyle w:val="None"/>
          <w:i/>
          <w:iCs/>
          <w:color w:val="000000" w:themeColor="text1"/>
          <w:highlight w:val="yellow"/>
        </w:rPr>
      </w:pPr>
      <w:r w:rsidRPr="1ACA68ED">
        <w:rPr>
          <w:rStyle w:val="None"/>
          <w:i/>
          <w:iCs/>
        </w:rPr>
        <w:t>Title X</w:t>
      </w:r>
    </w:p>
    <w:p w14:paraId="0ECAB88F" w14:textId="4E092393" w:rsidR="00AF1F4F" w:rsidRDefault="4835772B" w:rsidP="1745A64D">
      <w:pPr>
        <w:spacing w:line="480" w:lineRule="auto"/>
        <w:ind w:firstLine="720"/>
        <w:jc w:val="both"/>
        <w:rPr>
          <w:color w:val="000000"/>
        </w:rPr>
      </w:pPr>
      <w:r w:rsidRPr="1745A64D">
        <w:rPr>
          <w:color w:val="000000"/>
        </w:rPr>
        <w:t xml:space="preserve">Title X, officially known as Public Law 91-572 or </w:t>
      </w:r>
      <w:r w:rsidR="24054A09" w:rsidRPr="1745A64D">
        <w:rPr>
          <w:color w:val="000000"/>
        </w:rPr>
        <w:t>“</w:t>
      </w:r>
      <w:r w:rsidRPr="1745A64D">
        <w:rPr>
          <w:color w:val="000000"/>
        </w:rPr>
        <w:t xml:space="preserve">Population Research and Voluntary Family Planning </w:t>
      </w:r>
      <w:r w:rsidR="2546B33C" w:rsidRPr="1745A64D">
        <w:rPr>
          <w:color w:val="000000"/>
        </w:rPr>
        <w:t>P</w:t>
      </w:r>
      <w:r w:rsidRPr="1745A64D">
        <w:rPr>
          <w:color w:val="000000"/>
        </w:rPr>
        <w:t>rograms</w:t>
      </w:r>
      <w:r w:rsidR="008C1265">
        <w:rPr>
          <w:color w:val="000000"/>
        </w:rPr>
        <w:t>,</w:t>
      </w:r>
      <w:r w:rsidR="24054A09" w:rsidRPr="1745A64D">
        <w:rPr>
          <w:color w:val="000000"/>
        </w:rPr>
        <w:t>”</w:t>
      </w:r>
      <w:r w:rsidRPr="1745A64D">
        <w:rPr>
          <w:color w:val="000000"/>
        </w:rPr>
        <w:t xml:space="preserve"> </w:t>
      </w:r>
      <w:r w:rsidR="0163531E" w:rsidRPr="1745A64D">
        <w:rPr>
          <w:color w:val="000000"/>
        </w:rPr>
        <w:t xml:space="preserve">is </w:t>
      </w:r>
      <w:r w:rsidR="7B982068" w:rsidRPr="1745A64D">
        <w:rPr>
          <w:color w:val="000000"/>
        </w:rPr>
        <w:t>the sole federal program dedicated to family planning services</w:t>
      </w:r>
      <w:r w:rsidR="6B527204" w:rsidRPr="1745A64D">
        <w:rPr>
          <w:color w:val="000000"/>
        </w:rPr>
        <w:t>.</w:t>
      </w:r>
      <w:r w:rsidR="005C4CBC" w:rsidRPr="1745A64D">
        <w:rPr>
          <w:rStyle w:val="footnotereference0"/>
          <w:color w:val="000000"/>
        </w:rPr>
        <w:footnoteReference w:id="79"/>
      </w:r>
      <w:r w:rsidR="7B982068" w:rsidRPr="1745A64D">
        <w:rPr>
          <w:color w:val="000000"/>
        </w:rPr>
        <w:t xml:space="preserve"> </w:t>
      </w:r>
      <w:r w:rsidR="6B527204" w:rsidRPr="1745A64D">
        <w:rPr>
          <w:color w:val="000000"/>
        </w:rPr>
        <w:t xml:space="preserve">Title X </w:t>
      </w:r>
      <w:r w:rsidR="00824825">
        <w:rPr>
          <w:color w:val="000000"/>
        </w:rPr>
        <w:t xml:space="preserve">was </w:t>
      </w:r>
      <w:r w:rsidR="7B982068" w:rsidRPr="1745A64D">
        <w:rPr>
          <w:color w:val="000000"/>
        </w:rPr>
        <w:t xml:space="preserve">created to </w:t>
      </w:r>
      <w:r w:rsidRPr="1745A64D">
        <w:rPr>
          <w:color w:val="000000"/>
        </w:rPr>
        <w:t>promote positive birth outcomes and healthy families by allowing individuals to decide the number and spacing of their children</w:t>
      </w:r>
      <w:r w:rsidR="00500C02">
        <w:rPr>
          <w:color w:val="000000"/>
        </w:rPr>
        <w:t>,</w:t>
      </w:r>
      <w:r w:rsidRPr="1745A64D">
        <w:rPr>
          <w:color w:val="000000"/>
        </w:rPr>
        <w:t xml:space="preserve"> and </w:t>
      </w:r>
      <w:r w:rsidR="00B7648C">
        <w:rPr>
          <w:color w:val="000000"/>
        </w:rPr>
        <w:t xml:space="preserve">provides </w:t>
      </w:r>
      <w:r w:rsidRPr="1745A64D">
        <w:rPr>
          <w:color w:val="000000"/>
        </w:rPr>
        <w:t>funds assist low-income patients with accessing services such as contraceptive counseling and testing for sexually transmitted infections</w:t>
      </w:r>
      <w:r w:rsidR="00B7648C">
        <w:rPr>
          <w:color w:val="000000"/>
        </w:rPr>
        <w:t>.</w:t>
      </w:r>
      <w:r w:rsidR="00DD47CF" w:rsidRPr="1745A64D">
        <w:rPr>
          <w:rStyle w:val="footnotereference0"/>
          <w:color w:val="000000"/>
        </w:rPr>
        <w:footnoteReference w:id="80"/>
      </w:r>
      <w:r w:rsidR="6B527204" w:rsidRPr="1745A64D">
        <w:rPr>
          <w:color w:val="000000"/>
        </w:rPr>
        <w:t xml:space="preserve"> </w:t>
      </w:r>
      <w:r w:rsidR="00B7648C">
        <w:rPr>
          <w:color w:val="000000"/>
        </w:rPr>
        <w:t>Title X</w:t>
      </w:r>
      <w:r w:rsidR="6B527204" w:rsidRPr="1745A64D">
        <w:rPr>
          <w:color w:val="000000"/>
        </w:rPr>
        <w:t xml:space="preserve"> has recently undergone substantial changes, the effects of which are still being ascertained. </w:t>
      </w:r>
    </w:p>
    <w:p w14:paraId="556616B7" w14:textId="34406108" w:rsidR="009E125E" w:rsidRPr="007F483A" w:rsidRDefault="40F09E48" w:rsidP="1745A64D">
      <w:pPr>
        <w:spacing w:line="480" w:lineRule="auto"/>
        <w:ind w:firstLine="720"/>
        <w:jc w:val="both"/>
        <w:rPr>
          <w:color w:val="000000"/>
        </w:rPr>
      </w:pPr>
      <w:r w:rsidRPr="1745A64D">
        <w:rPr>
          <w:color w:val="000000"/>
        </w:rPr>
        <w:t xml:space="preserve">On June 1, 2018, </w:t>
      </w:r>
      <w:r w:rsidR="1F09699B" w:rsidRPr="1745A64D">
        <w:rPr>
          <w:color w:val="000000"/>
        </w:rPr>
        <w:t>the Trump Administration issued</w:t>
      </w:r>
      <w:r w:rsidRPr="1745A64D">
        <w:rPr>
          <w:color w:val="000000"/>
        </w:rPr>
        <w:t xml:space="preserve"> a </w:t>
      </w:r>
      <w:r w:rsidR="1F09699B" w:rsidRPr="1745A64D">
        <w:rPr>
          <w:color w:val="000000"/>
        </w:rPr>
        <w:t xml:space="preserve">proposed rule change </w:t>
      </w:r>
      <w:r w:rsidRPr="1745A64D">
        <w:t>for the federal Title X family planning program that would make significant changes to the program and to the types of providers that qualify for funding.</w:t>
      </w:r>
      <w:r w:rsidR="00F55438" w:rsidRPr="1745A64D">
        <w:rPr>
          <w:rStyle w:val="footnotereference0"/>
        </w:rPr>
        <w:footnoteReference w:id="81"/>
      </w:r>
      <w:r w:rsidRPr="1745A64D">
        <w:rPr>
          <w:color w:val="000000"/>
        </w:rPr>
        <w:t xml:space="preserve"> </w:t>
      </w:r>
      <w:r w:rsidR="6B527204" w:rsidRPr="1745A64D">
        <w:rPr>
          <w:color w:val="000000"/>
        </w:rPr>
        <w:t>A</w:t>
      </w:r>
      <w:r w:rsidR="1F09699B" w:rsidRPr="1745A64D">
        <w:rPr>
          <w:color w:val="000000"/>
        </w:rPr>
        <w:t xml:space="preserve"> final Title X Rule</w:t>
      </w:r>
      <w:r w:rsidRPr="1745A64D">
        <w:rPr>
          <w:color w:val="000000"/>
        </w:rPr>
        <w:t xml:space="preserve"> </w:t>
      </w:r>
      <w:r w:rsidR="1F09699B" w:rsidRPr="1745A64D">
        <w:rPr>
          <w:color w:val="000000"/>
        </w:rPr>
        <w:t>w</w:t>
      </w:r>
      <w:r w:rsidRPr="1745A64D">
        <w:rPr>
          <w:color w:val="000000"/>
        </w:rPr>
        <w:t>as issued by the Department of Health and Human Services</w:t>
      </w:r>
      <w:r w:rsidR="1F09699B" w:rsidRPr="1745A64D">
        <w:rPr>
          <w:color w:val="000000"/>
        </w:rPr>
        <w:t xml:space="preserve"> (HHS)</w:t>
      </w:r>
      <w:r w:rsidRPr="1745A64D">
        <w:rPr>
          <w:color w:val="000000"/>
        </w:rPr>
        <w:t xml:space="preserve"> on February </w:t>
      </w:r>
      <w:r w:rsidR="1F09699B" w:rsidRPr="1745A64D">
        <w:rPr>
          <w:color w:val="000000"/>
        </w:rPr>
        <w:t>22, 2019 and finalized on March 4, 2019.</w:t>
      </w:r>
      <w:r w:rsidR="009E125E" w:rsidRPr="1745A64D">
        <w:rPr>
          <w:rStyle w:val="footnotereference0"/>
          <w:color w:val="000000"/>
        </w:rPr>
        <w:footnoteReference w:id="82"/>
      </w:r>
      <w:r w:rsidRPr="1745A64D">
        <w:rPr>
          <w:color w:val="000000"/>
        </w:rPr>
        <w:t xml:space="preserve"> </w:t>
      </w:r>
      <w:r w:rsidR="1F09699B" w:rsidRPr="1745A64D">
        <w:rPr>
          <w:color w:val="000000"/>
        </w:rPr>
        <w:t>The</w:t>
      </w:r>
      <w:r w:rsidR="00824825">
        <w:rPr>
          <w:color w:val="000000"/>
        </w:rPr>
        <w:t xml:space="preserve"> </w:t>
      </w:r>
      <w:r w:rsidR="1F09699B" w:rsidRPr="1745A64D">
        <w:rPr>
          <w:color w:val="000000"/>
        </w:rPr>
        <w:t xml:space="preserve">current regulation has five major provisions: (1) </w:t>
      </w:r>
      <w:r w:rsidR="7B982068" w:rsidRPr="1745A64D">
        <w:rPr>
          <w:color w:val="000000"/>
        </w:rPr>
        <w:t>service;</w:t>
      </w:r>
      <w:r w:rsidR="005C4CBC" w:rsidRPr="1745A64D">
        <w:rPr>
          <w:rStyle w:val="footnotereference0"/>
          <w:color w:val="000000"/>
        </w:rPr>
        <w:footnoteReference w:id="83"/>
      </w:r>
      <w:r w:rsidR="7B982068" w:rsidRPr="1745A64D">
        <w:rPr>
          <w:color w:val="000000"/>
        </w:rPr>
        <w:t xml:space="preserve"> (2) t</w:t>
      </w:r>
      <w:r w:rsidR="1F09699B" w:rsidRPr="1745A64D">
        <w:rPr>
          <w:color w:val="000000"/>
        </w:rPr>
        <w:t>raining;</w:t>
      </w:r>
      <w:r w:rsidR="009E125E" w:rsidRPr="1745A64D">
        <w:rPr>
          <w:rStyle w:val="footnotereference0"/>
          <w:color w:val="000000"/>
        </w:rPr>
        <w:footnoteReference w:id="84"/>
      </w:r>
      <w:r w:rsidR="7B982068" w:rsidRPr="1745A64D">
        <w:rPr>
          <w:color w:val="000000"/>
        </w:rPr>
        <w:t xml:space="preserve"> (3</w:t>
      </w:r>
      <w:r w:rsidR="1F09699B" w:rsidRPr="1745A64D">
        <w:rPr>
          <w:color w:val="000000"/>
        </w:rPr>
        <w:t xml:space="preserve">) </w:t>
      </w:r>
      <w:r w:rsidR="7B982068" w:rsidRPr="1745A64D">
        <w:rPr>
          <w:color w:val="000000"/>
        </w:rPr>
        <w:t>r</w:t>
      </w:r>
      <w:r w:rsidR="1F09699B" w:rsidRPr="1745A64D">
        <w:rPr>
          <w:color w:val="000000"/>
        </w:rPr>
        <w:t>esearch;</w:t>
      </w:r>
      <w:r w:rsidR="009E125E" w:rsidRPr="1745A64D">
        <w:rPr>
          <w:rStyle w:val="footnotereference0"/>
          <w:color w:val="000000"/>
        </w:rPr>
        <w:footnoteReference w:id="85"/>
      </w:r>
      <w:r w:rsidR="7B982068" w:rsidRPr="1745A64D">
        <w:rPr>
          <w:color w:val="000000"/>
        </w:rPr>
        <w:t xml:space="preserve"> (4) information and e</w:t>
      </w:r>
      <w:r w:rsidR="1F09699B" w:rsidRPr="1745A64D">
        <w:rPr>
          <w:color w:val="000000"/>
        </w:rPr>
        <w:t>ducation</w:t>
      </w:r>
      <w:r w:rsidR="00E51BA0">
        <w:rPr>
          <w:color w:val="000000"/>
        </w:rPr>
        <w:t>;</w:t>
      </w:r>
      <w:r w:rsidR="005C4CBC" w:rsidRPr="1745A64D">
        <w:rPr>
          <w:rStyle w:val="footnotereference0"/>
          <w:color w:val="000000"/>
        </w:rPr>
        <w:footnoteReference w:id="86"/>
      </w:r>
      <w:r w:rsidR="7B982068" w:rsidRPr="1745A64D">
        <w:rPr>
          <w:color w:val="000000"/>
        </w:rPr>
        <w:t xml:space="preserve"> and (5) the prohibition of a</w:t>
      </w:r>
      <w:r w:rsidR="1F09699B" w:rsidRPr="1745A64D">
        <w:rPr>
          <w:color w:val="000000"/>
        </w:rPr>
        <w:t>bortion</w:t>
      </w:r>
      <w:r w:rsidR="7B982068" w:rsidRPr="1745A64D">
        <w:rPr>
          <w:color w:val="000000"/>
        </w:rPr>
        <w:t>.</w:t>
      </w:r>
      <w:r w:rsidR="005C4CBC" w:rsidRPr="1745A64D">
        <w:rPr>
          <w:rStyle w:val="footnotereference0"/>
          <w:color w:val="000000"/>
        </w:rPr>
        <w:footnoteReference w:id="87"/>
      </w:r>
      <w:r w:rsidRPr="1745A64D">
        <w:rPr>
          <w:color w:val="000000"/>
        </w:rPr>
        <w:t xml:space="preserve"> </w:t>
      </w:r>
      <w:r w:rsidR="7B982068" w:rsidRPr="1745A64D">
        <w:rPr>
          <w:color w:val="000000"/>
        </w:rPr>
        <w:t>W</w:t>
      </w:r>
      <w:r w:rsidR="1F09699B" w:rsidRPr="1745A64D">
        <w:rPr>
          <w:color w:val="000000"/>
        </w:rPr>
        <w:t>hile the Administration highlights that</w:t>
      </w:r>
      <w:r w:rsidRPr="1745A64D">
        <w:rPr>
          <w:color w:val="000000"/>
        </w:rPr>
        <w:t xml:space="preserve"> non</w:t>
      </w:r>
      <w:r w:rsidR="7B982068" w:rsidRPr="1745A64D">
        <w:rPr>
          <w:color w:val="000000"/>
        </w:rPr>
        <w:t>-</w:t>
      </w:r>
      <w:r w:rsidRPr="1745A64D">
        <w:rPr>
          <w:color w:val="000000"/>
        </w:rPr>
        <w:t>directive pregnancy counseling, including non</w:t>
      </w:r>
      <w:r w:rsidR="7B982068" w:rsidRPr="1745A64D">
        <w:rPr>
          <w:color w:val="000000"/>
        </w:rPr>
        <w:t>-</w:t>
      </w:r>
      <w:r w:rsidRPr="1745A64D">
        <w:rPr>
          <w:color w:val="000000"/>
        </w:rPr>
        <w:t>directive counseling on abortion, is permitted</w:t>
      </w:r>
      <w:r w:rsidR="1F09699B" w:rsidRPr="1745A64D">
        <w:rPr>
          <w:color w:val="000000"/>
        </w:rPr>
        <w:t xml:space="preserve"> under the rule,</w:t>
      </w:r>
      <w:r w:rsidR="009E125E" w:rsidRPr="1745A64D">
        <w:rPr>
          <w:rStyle w:val="footnotereference0"/>
          <w:color w:val="000000"/>
        </w:rPr>
        <w:footnoteReference w:id="88"/>
      </w:r>
      <w:r w:rsidR="7B982068" w:rsidRPr="1745A64D">
        <w:rPr>
          <w:color w:val="000000"/>
        </w:rPr>
        <w:t xml:space="preserve"> reproductive health a</w:t>
      </w:r>
      <w:r w:rsidR="1F09699B" w:rsidRPr="1745A64D">
        <w:rPr>
          <w:color w:val="000000"/>
        </w:rPr>
        <w:t xml:space="preserve">dvocates </w:t>
      </w:r>
      <w:r w:rsidR="7B982068" w:rsidRPr="1745A64D">
        <w:rPr>
          <w:color w:val="000000"/>
        </w:rPr>
        <w:t xml:space="preserve">have expressed concerns about </w:t>
      </w:r>
      <w:r w:rsidR="1F09699B" w:rsidRPr="1745A64D">
        <w:rPr>
          <w:color w:val="000000"/>
        </w:rPr>
        <w:t>restrictions to health providers that receive federal Title X funds</w:t>
      </w:r>
      <w:r w:rsidR="7B982068" w:rsidRPr="1745A64D">
        <w:rPr>
          <w:color w:val="000000"/>
        </w:rPr>
        <w:t xml:space="preserve"> under the regulations and the “domestic gag rule” created by the rule’s provision on abortion.</w:t>
      </w:r>
      <w:r w:rsidR="009E125E" w:rsidRPr="1745A64D">
        <w:rPr>
          <w:rStyle w:val="footnotereference0"/>
          <w:color w:val="000000"/>
        </w:rPr>
        <w:footnoteReference w:id="89"/>
      </w:r>
      <w:r w:rsidR="7B982068" w:rsidRPr="1745A64D">
        <w:rPr>
          <w:color w:val="000000"/>
        </w:rPr>
        <w:t xml:space="preserve"> </w:t>
      </w:r>
      <w:r w:rsidR="00B7648C">
        <w:t>Advocates</w:t>
      </w:r>
      <w:r w:rsidR="00B7648C" w:rsidRPr="1745A64D">
        <w:t xml:space="preserve"> </w:t>
      </w:r>
      <w:r w:rsidR="7B982068" w:rsidRPr="1745A64D">
        <w:t>explain that in addition to restricti</w:t>
      </w:r>
      <w:r w:rsidR="00B7648C">
        <w:t>ng</w:t>
      </w:r>
      <w:r w:rsidR="7B982068" w:rsidRPr="1745A64D">
        <w:t xml:space="preserve"> abortion access, the regulations</w:t>
      </w:r>
      <w:r w:rsidR="6B527204" w:rsidRPr="1745A64D">
        <w:t>:</w:t>
      </w:r>
    </w:p>
    <w:p w14:paraId="33328E2A" w14:textId="77777777" w:rsidR="00F55438" w:rsidRPr="007F483A" w:rsidRDefault="1F09699B" w:rsidP="009E125E">
      <w:pPr>
        <w:numPr>
          <w:ilvl w:val="0"/>
          <w:numId w:val="18"/>
        </w:numPr>
        <w:jc w:val="both"/>
        <w:rPr>
          <w:rFonts w:eastAsia="Calibri"/>
          <w:color w:val="000000"/>
        </w:rPr>
      </w:pPr>
      <w:r w:rsidRPr="1745A64D">
        <w:t>Block the availability of federal funds to family planning providers like Planned Parenthood that also offer abortion</w:t>
      </w:r>
      <w:r w:rsidRPr="007F483A">
        <w:t xml:space="preserve"> services;</w:t>
      </w:r>
      <w:r w:rsidR="009E125E" w:rsidRPr="007F483A">
        <w:rPr>
          <w:rStyle w:val="footnotereference0"/>
        </w:rPr>
        <w:footnoteReference w:id="90"/>
      </w:r>
    </w:p>
    <w:p w14:paraId="100C0AA5" w14:textId="77777777" w:rsidR="00F55438" w:rsidRPr="007F483A" w:rsidRDefault="40F09E48" w:rsidP="009E125E">
      <w:pPr>
        <w:numPr>
          <w:ilvl w:val="0"/>
          <w:numId w:val="18"/>
        </w:numPr>
      </w:pPr>
      <w:r w:rsidRPr="007F483A">
        <w:t>Curtail counseling and referrals to abortion services by Title X funded providers;</w:t>
      </w:r>
      <w:r w:rsidR="009E125E" w:rsidRPr="007F483A">
        <w:rPr>
          <w:rStyle w:val="footnotereference0"/>
        </w:rPr>
        <w:footnoteReference w:id="91"/>
      </w:r>
    </w:p>
    <w:p w14:paraId="29925A74" w14:textId="1DDAE3EC" w:rsidR="009E125E" w:rsidRPr="002578CB" w:rsidRDefault="40F09E48" w:rsidP="009E125E">
      <w:pPr>
        <w:numPr>
          <w:ilvl w:val="0"/>
          <w:numId w:val="18"/>
        </w:numPr>
      </w:pPr>
      <w:r w:rsidRPr="007F483A">
        <w:t xml:space="preserve">Eliminate current requirements that Title X sites offer a </w:t>
      </w:r>
      <w:r w:rsidRPr="002578CB">
        <w:t>broad range of medically approved family planning methods and non-directive pregnancy options counseling that includes information about prenatal care/delivery, adoption, and abortion;</w:t>
      </w:r>
      <w:r w:rsidR="00091683" w:rsidRPr="002578CB">
        <w:rPr>
          <w:rStyle w:val="FootnoteReference"/>
        </w:rPr>
        <w:footnoteReference w:id="92"/>
      </w:r>
      <w:r w:rsidRPr="002578CB">
        <w:t xml:space="preserve"> and</w:t>
      </w:r>
    </w:p>
    <w:p w14:paraId="466D0F60" w14:textId="56B113D4" w:rsidR="007F483A" w:rsidRPr="002578CB" w:rsidRDefault="40F09E48" w:rsidP="007F483A">
      <w:pPr>
        <w:numPr>
          <w:ilvl w:val="0"/>
          <w:numId w:val="18"/>
        </w:numPr>
      </w:pPr>
      <w:r w:rsidRPr="002578CB">
        <w:t>Direct new funds to faith-based and other organizations that promote fertility awareness and abstinence as methods of family planning.</w:t>
      </w:r>
      <w:r w:rsidR="00091683" w:rsidRPr="002578CB">
        <w:rPr>
          <w:rStyle w:val="FootnoteReference"/>
        </w:rPr>
        <w:footnoteReference w:id="93"/>
      </w:r>
      <w:r w:rsidR="00091683" w:rsidRPr="002578CB">
        <w:t xml:space="preserve"> </w:t>
      </w:r>
      <w:r w:rsidR="007F483A" w:rsidRPr="002578CB">
        <w:br/>
      </w:r>
    </w:p>
    <w:p w14:paraId="1981288B" w14:textId="4B780674" w:rsidR="007F483A" w:rsidRPr="007F483A" w:rsidRDefault="3BD78BBB" w:rsidP="05EBA5AA">
      <w:pPr>
        <w:spacing w:line="480" w:lineRule="auto"/>
        <w:ind w:firstLine="720"/>
        <w:jc w:val="both"/>
        <w:rPr>
          <w:vertAlign w:val="superscript"/>
        </w:rPr>
      </w:pPr>
      <w:r w:rsidRPr="002578CB">
        <w:rPr>
          <w:color w:val="000000" w:themeColor="text1"/>
        </w:rPr>
        <w:t xml:space="preserve">When the </w:t>
      </w:r>
      <w:r w:rsidRPr="002578CB">
        <w:t>Federal government implemented the “gag rule” that would have</w:t>
      </w:r>
      <w:r w:rsidRPr="05EBA5AA">
        <w:t xml:space="preserve"> undermined the integrity of family planning </w:t>
      </w:r>
      <w:r w:rsidR="08EA1B73" w:rsidRPr="05EBA5AA">
        <w:t>programs</w:t>
      </w:r>
      <w:r w:rsidRPr="05EBA5AA">
        <w:t xml:space="preserve"> in August 2019, at least six states,</w:t>
      </w:r>
      <w:r w:rsidR="7FD3D88B" w:rsidRPr="05EBA5AA">
        <w:rPr>
          <w:rStyle w:val="FootnoteReference"/>
        </w:rPr>
        <w:footnoteReference w:id="94"/>
      </w:r>
      <w:r w:rsidRPr="05EBA5AA">
        <w:t xml:space="preserve"> including New York,</w:t>
      </w:r>
      <w:r w:rsidR="7FD3D88B" w:rsidRPr="05EBA5AA">
        <w:rPr>
          <w:rStyle w:val="FootnoteReference"/>
        </w:rPr>
        <w:footnoteReference w:id="95"/>
      </w:r>
      <w:r w:rsidRPr="05EBA5AA">
        <w:t xml:space="preserve"> and a number of organizations, such as Planned Parenthood and Public Health Solutions,</w:t>
      </w:r>
      <w:r w:rsidR="7FD3D88B" w:rsidRPr="05EBA5AA">
        <w:rPr>
          <w:rStyle w:val="FootnoteReference"/>
        </w:rPr>
        <w:footnoteReference w:id="96"/>
      </w:r>
      <w:r w:rsidRPr="05EBA5AA">
        <w:t xml:space="preserve"> who receive funding through Title X, formally withdrew from the </w:t>
      </w:r>
      <w:r w:rsidR="404329E8" w:rsidRPr="05EBA5AA">
        <w:t xml:space="preserve">Title X </w:t>
      </w:r>
      <w:r w:rsidRPr="05EBA5AA">
        <w:t>program.</w:t>
      </w:r>
      <w:r w:rsidR="7FD3D88B" w:rsidRPr="05EBA5AA">
        <w:rPr>
          <w:rStyle w:val="FootnoteReference"/>
        </w:rPr>
        <w:footnoteReference w:id="97"/>
      </w:r>
      <w:r w:rsidRPr="05EBA5AA">
        <w:t xml:space="preserve"> </w:t>
      </w:r>
      <w:r w:rsidR="6D4EABF5" w:rsidRPr="05EBA5AA">
        <w:t>To help make up for the</w:t>
      </w:r>
      <w:r w:rsidRPr="05EBA5AA">
        <w:rPr>
          <w:color w:val="000000" w:themeColor="text1"/>
        </w:rPr>
        <w:t xml:space="preserve"> $25 million per year in Title X grants</w:t>
      </w:r>
      <w:r w:rsidR="4914C414" w:rsidRPr="05EBA5AA">
        <w:rPr>
          <w:color w:val="000000" w:themeColor="text1"/>
        </w:rPr>
        <w:t xml:space="preserve"> that the two grantees of Title X in New York, Public Health Solutions (PHS) and the New York State Department of Health (NYSDOH), were no longer receiving,</w:t>
      </w:r>
      <w:r w:rsidR="7FD3D88B" w:rsidRPr="05EBA5AA">
        <w:rPr>
          <w:rStyle w:val="FootnoteReference"/>
        </w:rPr>
        <w:footnoteReference w:id="98"/>
      </w:r>
      <w:r w:rsidRPr="05EBA5AA">
        <w:t xml:space="preserve"> and ensure that New Yorkers continued to have access to sexual and reproductive health services, </w:t>
      </w:r>
      <w:r w:rsidR="15A6A4FE" w:rsidRPr="05EBA5AA">
        <w:t>New York State</w:t>
      </w:r>
      <w:r w:rsidRPr="05EBA5AA">
        <w:t xml:space="preserve"> include</w:t>
      </w:r>
      <w:r w:rsidR="6757CF37" w:rsidRPr="05EBA5AA">
        <w:t>d</w:t>
      </w:r>
      <w:r w:rsidRPr="05EBA5AA">
        <w:t xml:space="preserve"> $14.2 million in funding</w:t>
      </w:r>
      <w:r w:rsidR="19B8A4C2" w:rsidRPr="05EBA5AA">
        <w:t xml:space="preserve"> for such services</w:t>
      </w:r>
      <w:r w:rsidR="5022FE4A" w:rsidRPr="05EBA5AA">
        <w:t xml:space="preserve"> in</w:t>
      </w:r>
      <w:r w:rsidRPr="05EBA5AA">
        <w:t xml:space="preserve"> </w:t>
      </w:r>
      <w:r w:rsidR="4ED3CFBB" w:rsidRPr="05EBA5AA">
        <w:t>the Fiscal 2021 State Budget</w:t>
      </w:r>
      <w:r w:rsidRPr="05EBA5AA">
        <w:t>.</w:t>
      </w:r>
      <w:r w:rsidR="7FD3D88B" w:rsidRPr="05EBA5AA">
        <w:rPr>
          <w:rStyle w:val="FootnoteReference"/>
        </w:rPr>
        <w:footnoteReference w:id="99"/>
      </w:r>
      <w:r w:rsidR="17B5D7E3" w:rsidRPr="05EBA5AA">
        <w:t xml:space="preserve"> However, </w:t>
      </w:r>
      <w:r w:rsidR="4E890785" w:rsidRPr="05EBA5AA">
        <w:t xml:space="preserve">funding </w:t>
      </w:r>
      <w:r w:rsidR="17B5D7E3" w:rsidRPr="05EBA5AA">
        <w:t>gap</w:t>
      </w:r>
      <w:r w:rsidR="68863DC7" w:rsidRPr="05EBA5AA">
        <w:t>s</w:t>
      </w:r>
      <w:r w:rsidR="17B5D7E3" w:rsidRPr="05EBA5AA">
        <w:t xml:space="preserve"> </w:t>
      </w:r>
      <w:r w:rsidR="5D908611" w:rsidRPr="05EBA5AA">
        <w:t>remain,</w:t>
      </w:r>
      <w:r w:rsidR="17B5D7E3" w:rsidRPr="05EBA5AA">
        <w:t xml:space="preserve"> and advocates have expressed concern that limiting providers has major repercussions for low-income women across the country that rely on them for their family planning care.</w:t>
      </w:r>
      <w:r w:rsidR="7FD3D88B" w:rsidRPr="05EBA5AA">
        <w:rPr>
          <w:rStyle w:val="FootnoteReference"/>
        </w:rPr>
        <w:footnoteReference w:id="100"/>
      </w:r>
    </w:p>
    <w:p w14:paraId="0AB68F12" w14:textId="77AE72E7" w:rsidR="17AE04F7" w:rsidRPr="00047321" w:rsidRDefault="4A467A76" w:rsidP="00047321">
      <w:pPr>
        <w:pStyle w:val="BodyA"/>
        <w:numPr>
          <w:ilvl w:val="0"/>
          <w:numId w:val="32"/>
        </w:numPr>
        <w:spacing w:line="480" w:lineRule="auto"/>
        <w:jc w:val="both"/>
        <w:rPr>
          <w:rFonts w:ascii="Times New Roman" w:hAnsi="Times New Roman" w:cs="Times New Roman"/>
          <w:b/>
          <w:bCs/>
          <w:sz w:val="24"/>
          <w:szCs w:val="24"/>
          <w:u w:val="single"/>
        </w:rPr>
      </w:pPr>
      <w:r w:rsidRPr="4CF4DE76">
        <w:rPr>
          <w:rStyle w:val="None"/>
          <w:rFonts w:ascii="Times New Roman" w:hAnsi="Times New Roman" w:cs="Times New Roman"/>
          <w:b/>
          <w:bCs/>
          <w:sz w:val="24"/>
          <w:szCs w:val="24"/>
          <w:u w:val="single"/>
        </w:rPr>
        <w:t>BILL ANALYSIS</w:t>
      </w:r>
    </w:p>
    <w:p w14:paraId="37D6BFB1" w14:textId="008A61BE" w:rsidR="15267494" w:rsidRDefault="00047321" w:rsidP="17AE04F7">
      <w:pPr>
        <w:jc w:val="both"/>
      </w:pPr>
      <w:r>
        <w:rPr>
          <w:b/>
          <w:bCs/>
        </w:rPr>
        <w:t xml:space="preserve">Proposed Int. No. </w:t>
      </w:r>
      <w:r w:rsidR="00F82BA5">
        <w:rPr>
          <w:b/>
          <w:bCs/>
        </w:rPr>
        <w:t>1625-B</w:t>
      </w:r>
    </w:p>
    <w:p w14:paraId="0C45AA35" w14:textId="77777777" w:rsidR="00E51BA0" w:rsidRDefault="00E51BA0" w:rsidP="17AE04F7">
      <w:pPr>
        <w:jc w:val="both"/>
      </w:pPr>
    </w:p>
    <w:p w14:paraId="1BDD9C58" w14:textId="7FD9C9AC" w:rsidR="17AE04F7" w:rsidRDefault="00047321" w:rsidP="00047321">
      <w:pPr>
        <w:pStyle w:val="BodyA"/>
        <w:spacing w:after="0" w:line="480" w:lineRule="auto"/>
        <w:ind w:firstLine="720"/>
        <w:jc w:val="both"/>
        <w:rPr>
          <w:rFonts w:ascii="Times New Roman" w:hAnsi="Times New Roman" w:cs="Times New Roman"/>
          <w:sz w:val="24"/>
          <w:szCs w:val="24"/>
          <w:shd w:val="clear" w:color="auto" w:fill="FFFFFF"/>
        </w:rPr>
      </w:pPr>
      <w:r w:rsidRPr="00F82BA5">
        <w:rPr>
          <w:rFonts w:ascii="Times New Roman" w:hAnsi="Times New Roman" w:cs="Times New Roman"/>
          <w:sz w:val="24"/>
          <w:szCs w:val="24"/>
          <w:shd w:val="clear" w:color="auto" w:fill="FFFFFF"/>
        </w:rPr>
        <w:t xml:space="preserve">This bill would require </w:t>
      </w:r>
      <w:r w:rsidR="00F82BA5" w:rsidRPr="00F82BA5">
        <w:rPr>
          <w:rFonts w:ascii="Times New Roman" w:hAnsi="Times New Roman" w:cs="Times New Roman"/>
          <w:sz w:val="24"/>
          <w:szCs w:val="24"/>
          <w:shd w:val="clear" w:color="auto" w:fill="FFFFFF"/>
        </w:rPr>
        <w:t>the Department of Health and Mental Hygiene (DOHMH) to make available FDA-approved methods of non-surgical contraception, as well as long-acting reversible contraception (LARC), which includes, but is not limited to, intrauterine devices and subdermal contraceptive implants. DOHMH would be required to make non-surgical contraception and LARC available at health centers, health stations, health clinics and other health facilities operated or maintained by DOHMH which also offer services relating to the diagnosis and treatment of sexually transmitted diseases. DOHMH would also be required to offer cultural competency trainings to its employees</w:t>
      </w:r>
      <w:r w:rsidRPr="00047321">
        <w:rPr>
          <w:rFonts w:ascii="Times New Roman" w:hAnsi="Times New Roman" w:cs="Times New Roman"/>
          <w:sz w:val="24"/>
          <w:szCs w:val="24"/>
          <w:shd w:val="clear" w:color="auto" w:fill="FFFFFF"/>
        </w:rPr>
        <w:t>.</w:t>
      </w:r>
    </w:p>
    <w:p w14:paraId="2B9F6A35" w14:textId="00638266" w:rsidR="0000182C" w:rsidRDefault="00047321" w:rsidP="00A3399E">
      <w:pPr>
        <w:spacing w:line="480" w:lineRule="auto"/>
        <w:ind w:firstLine="720"/>
      </w:pPr>
      <w:r>
        <w:t xml:space="preserve">Since its initial hearing, the bill </w:t>
      </w:r>
      <w:r w:rsidR="00F82BA5">
        <w:t xml:space="preserve">was amended </w:t>
      </w:r>
      <w:r w:rsidR="00FC0A73">
        <w:t>to require LARC services only at facilities that have the infrastructure to do so, and to require timely referrals at all facilities.</w:t>
      </w:r>
    </w:p>
    <w:p w14:paraId="40DBE027" w14:textId="77777777" w:rsidR="0000182C" w:rsidRDefault="0000182C">
      <w:r>
        <w:br w:type="page"/>
      </w:r>
    </w:p>
    <w:p w14:paraId="0A634F70" w14:textId="77777777" w:rsidR="00E51BA0" w:rsidRDefault="00E51BA0"/>
    <w:p w14:paraId="63B0995C" w14:textId="77777777" w:rsidR="00F82BA5" w:rsidRPr="00E27550" w:rsidRDefault="00F82BA5" w:rsidP="00F82BA5">
      <w:pPr>
        <w:suppressLineNumbers/>
        <w:shd w:val="clear" w:color="auto" w:fill="FFFFFF"/>
        <w:jc w:val="center"/>
        <w:rPr>
          <w:color w:val="000000"/>
          <w:sz w:val="27"/>
          <w:szCs w:val="27"/>
        </w:rPr>
      </w:pPr>
      <w:r w:rsidRPr="00E27550">
        <w:rPr>
          <w:color w:val="000000"/>
        </w:rPr>
        <w:t xml:space="preserve">Proposed Int. </w:t>
      </w:r>
      <w:r w:rsidRPr="00CB1A0B">
        <w:rPr>
          <w:color w:val="000000"/>
          <w:shd w:val="clear" w:color="auto" w:fill="FFFFFF" w:themeFill="background1"/>
        </w:rPr>
        <w:t>No. 1625-B</w:t>
      </w:r>
    </w:p>
    <w:p w14:paraId="08F83963" w14:textId="77777777" w:rsidR="00F82BA5" w:rsidRPr="00E27550" w:rsidRDefault="00F82BA5" w:rsidP="00F82BA5">
      <w:pPr>
        <w:suppressLineNumbers/>
        <w:shd w:val="clear" w:color="auto" w:fill="FFFFFF"/>
        <w:rPr>
          <w:color w:val="000000"/>
          <w:sz w:val="27"/>
          <w:szCs w:val="27"/>
        </w:rPr>
      </w:pPr>
      <w:r w:rsidRPr="00E27550">
        <w:rPr>
          <w:color w:val="000000"/>
        </w:rPr>
        <w:t> </w:t>
      </w:r>
    </w:p>
    <w:p w14:paraId="35BE5213" w14:textId="77777777" w:rsidR="00F82BA5" w:rsidRPr="00E27550" w:rsidRDefault="00F82BA5" w:rsidP="00F82BA5">
      <w:pPr>
        <w:suppressLineNumbers/>
        <w:shd w:val="clear" w:color="auto" w:fill="FFFFFF"/>
        <w:jc w:val="both"/>
        <w:rPr>
          <w:color w:val="000000"/>
          <w:sz w:val="27"/>
          <w:szCs w:val="27"/>
        </w:rPr>
      </w:pPr>
      <w:r w:rsidRPr="00E27550">
        <w:rPr>
          <w:color w:val="000000"/>
        </w:rPr>
        <w:t>By Council Members Rivera, Chin, Ampry-Samuel, Adams, Ayala, Levine, Rose, Moya, Louis, Rosenthal, Barron, Lander, Koslowitz, Cumbo, Gibson, Cornegy and Kallos</w:t>
      </w:r>
    </w:p>
    <w:p w14:paraId="615F64D6" w14:textId="77777777" w:rsidR="00F82BA5" w:rsidRPr="00E27550" w:rsidRDefault="00F82BA5" w:rsidP="00F82BA5">
      <w:pPr>
        <w:suppressLineNumbers/>
        <w:shd w:val="clear" w:color="auto" w:fill="FFFFFF"/>
        <w:jc w:val="both"/>
        <w:rPr>
          <w:color w:val="000000"/>
          <w:sz w:val="27"/>
          <w:szCs w:val="27"/>
        </w:rPr>
      </w:pPr>
      <w:r w:rsidRPr="00E27550">
        <w:rPr>
          <w:color w:val="000000"/>
        </w:rPr>
        <w:t> </w:t>
      </w:r>
    </w:p>
    <w:p w14:paraId="23AC5FF4" w14:textId="77777777" w:rsidR="00F82BA5" w:rsidRPr="00E27550" w:rsidRDefault="00F82BA5" w:rsidP="00F82BA5">
      <w:pPr>
        <w:suppressLineNumbers/>
        <w:shd w:val="clear" w:color="auto" w:fill="FFFFFF"/>
        <w:jc w:val="both"/>
        <w:rPr>
          <w:color w:val="000000"/>
          <w:sz w:val="27"/>
          <w:szCs w:val="27"/>
        </w:rPr>
      </w:pPr>
      <w:r w:rsidRPr="00E27550">
        <w:rPr>
          <w:color w:val="000000"/>
        </w:rPr>
        <w:t xml:space="preserve">A Local Law to amend the administrative code of the city of New York, in relation to requiring the department of health and mental hygiene to make available FDA-approved methods of </w:t>
      </w:r>
      <w:r>
        <w:rPr>
          <w:color w:val="000000"/>
        </w:rPr>
        <w:t>non-surgical</w:t>
      </w:r>
      <w:r w:rsidRPr="00E27550">
        <w:rPr>
          <w:color w:val="000000"/>
        </w:rPr>
        <w:t xml:space="preserve"> contraception and long</w:t>
      </w:r>
      <w:r>
        <w:rPr>
          <w:color w:val="000000"/>
        </w:rPr>
        <w:t>-</w:t>
      </w:r>
      <w:r w:rsidRPr="00E27550">
        <w:rPr>
          <w:color w:val="000000"/>
        </w:rPr>
        <w:t>acting reversible contraception at its health centers, health stations, health clinics and other health facilities</w:t>
      </w:r>
    </w:p>
    <w:p w14:paraId="26E9D0EF" w14:textId="77777777" w:rsidR="00F82BA5" w:rsidRPr="00E27550" w:rsidRDefault="00F82BA5" w:rsidP="00F82BA5">
      <w:pPr>
        <w:suppressLineNumbers/>
        <w:shd w:val="clear" w:color="auto" w:fill="FFFFFF"/>
        <w:jc w:val="both"/>
        <w:rPr>
          <w:color w:val="000000"/>
          <w:sz w:val="27"/>
          <w:szCs w:val="27"/>
        </w:rPr>
      </w:pPr>
      <w:r w:rsidRPr="00E27550">
        <w:rPr>
          <w:color w:val="000000"/>
        </w:rPr>
        <w:t> </w:t>
      </w:r>
    </w:p>
    <w:p w14:paraId="73012AA0" w14:textId="77777777" w:rsidR="00F82BA5" w:rsidRPr="00E27550" w:rsidRDefault="00F82BA5" w:rsidP="00F82BA5">
      <w:pPr>
        <w:suppressLineNumbers/>
        <w:shd w:val="clear" w:color="auto" w:fill="FFFFFF"/>
        <w:jc w:val="both"/>
        <w:rPr>
          <w:color w:val="000000"/>
          <w:sz w:val="27"/>
          <w:szCs w:val="27"/>
        </w:rPr>
      </w:pPr>
      <w:r w:rsidRPr="00E27550">
        <w:rPr>
          <w:color w:val="000000"/>
          <w:u w:val="single"/>
        </w:rPr>
        <w:t>Be it enacted by the Council as follows:</w:t>
      </w:r>
    </w:p>
    <w:p w14:paraId="0ECD391C" w14:textId="77777777" w:rsidR="00F82BA5" w:rsidRPr="00E27550" w:rsidRDefault="00F82BA5" w:rsidP="00F82BA5">
      <w:pPr>
        <w:suppressLineNumbers/>
        <w:shd w:val="clear" w:color="auto" w:fill="FFFFFF"/>
        <w:ind w:firstLine="720"/>
        <w:jc w:val="both"/>
        <w:rPr>
          <w:color w:val="000000"/>
          <w:sz w:val="27"/>
          <w:szCs w:val="27"/>
        </w:rPr>
      </w:pPr>
      <w:r w:rsidRPr="00E27550">
        <w:rPr>
          <w:color w:val="000000"/>
        </w:rPr>
        <w:t> </w:t>
      </w:r>
    </w:p>
    <w:p w14:paraId="721499BF" w14:textId="77777777" w:rsidR="00F82BA5" w:rsidRPr="00E27550" w:rsidRDefault="00F82BA5" w:rsidP="00F82BA5">
      <w:pPr>
        <w:shd w:val="clear" w:color="auto" w:fill="FFFFFF"/>
        <w:spacing w:line="480" w:lineRule="auto"/>
        <w:ind w:firstLine="720"/>
        <w:jc w:val="both"/>
        <w:rPr>
          <w:color w:val="000000"/>
          <w:sz w:val="27"/>
          <w:szCs w:val="27"/>
        </w:rPr>
      </w:pPr>
      <w:r w:rsidRPr="00E27550">
        <w:rPr>
          <w:color w:val="000000"/>
        </w:rPr>
        <w:t>Section 1. Section 17-184 of the administrative code of the city of New York, as added by local law 19 for the year 2003, is amended to read as follows:</w:t>
      </w:r>
    </w:p>
    <w:p w14:paraId="1B5B2588" w14:textId="77777777" w:rsidR="00F82BA5" w:rsidRPr="00E27550" w:rsidRDefault="00F82BA5" w:rsidP="00F82BA5">
      <w:pPr>
        <w:shd w:val="clear" w:color="auto" w:fill="FFFFFF"/>
        <w:spacing w:line="480" w:lineRule="auto"/>
        <w:ind w:firstLine="720"/>
        <w:jc w:val="both"/>
        <w:rPr>
          <w:color w:val="000000"/>
          <w:sz w:val="27"/>
          <w:szCs w:val="27"/>
        </w:rPr>
      </w:pPr>
      <w:r w:rsidRPr="00E27550">
        <w:rPr>
          <w:color w:val="000000"/>
        </w:rPr>
        <w:t>§ 17-184 Availability of [emergency] contraception. </w:t>
      </w:r>
      <w:r w:rsidRPr="00E27550">
        <w:rPr>
          <w:color w:val="000000"/>
          <w:u w:val="single"/>
        </w:rPr>
        <w:t>a. Definitions. For the purposes of this section, the following terms have the following meanings:</w:t>
      </w:r>
    </w:p>
    <w:p w14:paraId="12BB90AD" w14:textId="77777777" w:rsidR="00F82BA5" w:rsidRPr="00E27550" w:rsidRDefault="00F82BA5" w:rsidP="00F82BA5">
      <w:pPr>
        <w:shd w:val="clear" w:color="auto" w:fill="FFFFFF"/>
        <w:spacing w:line="480" w:lineRule="auto"/>
        <w:ind w:firstLine="720"/>
        <w:jc w:val="both"/>
        <w:rPr>
          <w:color w:val="000000"/>
          <w:sz w:val="27"/>
          <w:szCs w:val="27"/>
        </w:rPr>
      </w:pPr>
      <w:r w:rsidRPr="00E27550">
        <w:rPr>
          <w:color w:val="000000"/>
          <w:u w:val="single"/>
        </w:rPr>
        <w:t>Emergency contraception. The term "emergency contraception" means one or more</w:t>
      </w:r>
      <w:r w:rsidRPr="0030159A">
        <w:rPr>
          <w:color w:val="000000"/>
          <w:u w:val="single"/>
        </w:rPr>
        <w:t> </w:t>
      </w:r>
      <w:r>
        <w:rPr>
          <w:color w:val="000000"/>
          <w:u w:val="single"/>
        </w:rPr>
        <w:t>medications</w:t>
      </w:r>
      <w:r w:rsidRPr="00E27550">
        <w:rPr>
          <w:color w:val="000000"/>
          <w:u w:val="single"/>
        </w:rPr>
        <w:t xml:space="preserve">, used separately or in combination, to be administered to or self-administered by a patient in a dosage and manner intended to prevent pregnancy when used within a medically recommended amount of time following </w:t>
      </w:r>
      <w:r w:rsidRPr="00617802">
        <w:rPr>
          <w:color w:val="000000"/>
          <w:u w:val="single"/>
        </w:rPr>
        <w:t>unprotected or inadequately protected vaginal receptive sexual intercourse and dispensed for that purpose in accordance with professional standards of practice, and which has been found safe and effective for such use by the United States food and drug administration.</w:t>
      </w:r>
    </w:p>
    <w:p w14:paraId="40A9EE27" w14:textId="77777777" w:rsidR="00F82BA5" w:rsidRPr="00E27550" w:rsidRDefault="00F82BA5" w:rsidP="00F82BA5">
      <w:pPr>
        <w:shd w:val="clear" w:color="auto" w:fill="FFFFFF"/>
        <w:spacing w:line="480" w:lineRule="auto"/>
        <w:ind w:firstLine="720"/>
        <w:jc w:val="both"/>
        <w:rPr>
          <w:color w:val="000000"/>
          <w:sz w:val="27"/>
          <w:szCs w:val="27"/>
        </w:rPr>
      </w:pPr>
      <w:r w:rsidRPr="00E27550">
        <w:rPr>
          <w:color w:val="000000"/>
          <w:u w:val="single"/>
        </w:rPr>
        <w:t>Long</w:t>
      </w:r>
      <w:r>
        <w:rPr>
          <w:color w:val="000000"/>
          <w:u w:val="single"/>
        </w:rPr>
        <w:t>-</w:t>
      </w:r>
      <w:r w:rsidRPr="00E27550">
        <w:rPr>
          <w:color w:val="000000"/>
          <w:u w:val="single"/>
        </w:rPr>
        <w:t>acting reversible contraception. The term “long</w:t>
      </w:r>
      <w:r>
        <w:rPr>
          <w:color w:val="000000"/>
          <w:u w:val="single"/>
        </w:rPr>
        <w:t>-</w:t>
      </w:r>
      <w:r w:rsidRPr="00E27550">
        <w:rPr>
          <w:color w:val="000000"/>
          <w:u w:val="single"/>
        </w:rPr>
        <w:t>acting reversible contraception” means one or more reversible contraceptive methods, including, but not limited to, intrauterine devices</w:t>
      </w:r>
      <w:r>
        <w:rPr>
          <w:color w:val="000000"/>
          <w:u w:val="single"/>
        </w:rPr>
        <w:t xml:space="preserve"> and</w:t>
      </w:r>
      <w:r w:rsidRPr="00E27550">
        <w:rPr>
          <w:color w:val="000000"/>
          <w:u w:val="single"/>
        </w:rPr>
        <w:t xml:space="preserve"> subdermal contraceptive implants, to be </w:t>
      </w:r>
      <w:r>
        <w:rPr>
          <w:color w:val="000000"/>
          <w:u w:val="single"/>
        </w:rPr>
        <w:t xml:space="preserve">inserted or removed by trained clinicians in accordance with accepted standards of medical practice, </w:t>
      </w:r>
      <w:r w:rsidRPr="00E27550">
        <w:rPr>
          <w:color w:val="000000"/>
          <w:u w:val="single"/>
        </w:rPr>
        <w:t>in a manner intended to prevent pregnancy for an extended period of time without user action, and which has been found safe and effective for such use by the United States food and drug administration.</w:t>
      </w:r>
    </w:p>
    <w:p w14:paraId="52221593" w14:textId="77777777" w:rsidR="00F82BA5" w:rsidRPr="00E27550" w:rsidRDefault="00F82BA5" w:rsidP="00F82BA5">
      <w:pPr>
        <w:shd w:val="clear" w:color="auto" w:fill="FFFFFF"/>
        <w:spacing w:line="480" w:lineRule="auto"/>
        <w:ind w:firstLine="720"/>
        <w:jc w:val="both"/>
        <w:rPr>
          <w:color w:val="000000"/>
          <w:sz w:val="27"/>
          <w:szCs w:val="27"/>
        </w:rPr>
      </w:pPr>
      <w:r w:rsidRPr="00E27550">
        <w:rPr>
          <w:color w:val="000000"/>
          <w:u w:val="single"/>
        </w:rPr>
        <w:t>b.</w:t>
      </w:r>
      <w:r>
        <w:rPr>
          <w:color w:val="000000"/>
          <w:u w:val="single"/>
        </w:rPr>
        <w:t xml:space="preserve"> Availability.</w:t>
      </w:r>
      <w:r w:rsidRPr="004E0810">
        <w:rPr>
          <w:color w:val="000000"/>
        </w:rPr>
        <w:t xml:space="preserve"> </w:t>
      </w:r>
      <w:r w:rsidRPr="00320E2E">
        <w:rPr>
          <w:color w:val="000000"/>
        </w:rPr>
        <w:t>The department shall make available</w:t>
      </w:r>
      <w:r w:rsidRPr="0030159A">
        <w:rPr>
          <w:color w:val="000000"/>
          <w:u w:val="single"/>
        </w:rPr>
        <w:t xml:space="preserve"> n</w:t>
      </w:r>
      <w:r w:rsidRPr="00E27550">
        <w:rPr>
          <w:color w:val="000000"/>
          <w:u w:val="single"/>
        </w:rPr>
        <w:t>on-surgical contraception</w:t>
      </w:r>
      <w:r>
        <w:rPr>
          <w:color w:val="000000"/>
          <w:u w:val="single"/>
        </w:rPr>
        <w:t xml:space="preserve"> </w:t>
      </w:r>
      <w:r w:rsidRPr="00E27550">
        <w:rPr>
          <w:color w:val="000000"/>
          <w:u w:val="single"/>
        </w:rPr>
        <w:t>which has been found safe and effective for such use by the United States food and drug administration</w:t>
      </w:r>
      <w:r>
        <w:rPr>
          <w:color w:val="000000"/>
          <w:u w:val="single"/>
        </w:rPr>
        <w:t>,</w:t>
      </w:r>
      <w:r w:rsidRPr="004E0810">
        <w:rPr>
          <w:color w:val="000000"/>
        </w:rPr>
        <w:t xml:space="preserve"> </w:t>
      </w:r>
      <w:r w:rsidRPr="00320E2E">
        <w:rPr>
          <w:color w:val="000000"/>
        </w:rPr>
        <w:t>emergency contraception</w:t>
      </w:r>
      <w:r w:rsidRPr="00A669EF">
        <w:rPr>
          <w:color w:val="000000"/>
        </w:rPr>
        <w:t xml:space="preserve"> </w:t>
      </w:r>
      <w:r>
        <w:rPr>
          <w:color w:val="000000"/>
        </w:rPr>
        <w:t>[</w:t>
      </w:r>
      <w:r w:rsidRPr="00A4641D">
        <w:rPr>
          <w:color w:val="000000"/>
        </w:rPr>
        <w:t>at each</w:t>
      </w:r>
      <w:r>
        <w:rPr>
          <w:color w:val="000000"/>
        </w:rPr>
        <w:t>]</w:t>
      </w:r>
      <w:r>
        <w:rPr>
          <w:color w:val="000000"/>
          <w:u w:val="single"/>
        </w:rPr>
        <w:t>, and  long-acting reversible contraception, to all patients served by</w:t>
      </w:r>
      <w:r w:rsidRPr="00320E2E">
        <w:rPr>
          <w:color w:val="000000"/>
        </w:rPr>
        <w:t xml:space="preserve"> health </w:t>
      </w:r>
      <w:r>
        <w:rPr>
          <w:color w:val="000000"/>
        </w:rPr>
        <w:t>[</w:t>
      </w:r>
      <w:r w:rsidRPr="00320E2E">
        <w:rPr>
          <w:color w:val="000000"/>
        </w:rPr>
        <w:t>center</w:t>
      </w:r>
      <w:r>
        <w:rPr>
          <w:color w:val="000000"/>
        </w:rPr>
        <w:t xml:space="preserve">] </w:t>
      </w:r>
      <w:r>
        <w:rPr>
          <w:color w:val="000000"/>
          <w:u w:val="single"/>
        </w:rPr>
        <w:t>centers</w:t>
      </w:r>
      <w:r w:rsidRPr="00320E2E">
        <w:rPr>
          <w:color w:val="000000"/>
        </w:rPr>
        <w:t xml:space="preserve">, health </w:t>
      </w:r>
      <w:r>
        <w:rPr>
          <w:color w:val="000000"/>
        </w:rPr>
        <w:t>[</w:t>
      </w:r>
      <w:r w:rsidRPr="00320E2E">
        <w:rPr>
          <w:color w:val="000000"/>
        </w:rPr>
        <w:t>station</w:t>
      </w:r>
      <w:r>
        <w:rPr>
          <w:color w:val="000000"/>
        </w:rPr>
        <w:t xml:space="preserve">] </w:t>
      </w:r>
      <w:r>
        <w:rPr>
          <w:color w:val="000000"/>
          <w:u w:val="single"/>
        </w:rPr>
        <w:t>stations</w:t>
      </w:r>
      <w:r w:rsidRPr="00320E2E">
        <w:rPr>
          <w:color w:val="000000"/>
        </w:rPr>
        <w:t xml:space="preserve">, health </w:t>
      </w:r>
      <w:r>
        <w:rPr>
          <w:color w:val="000000"/>
        </w:rPr>
        <w:t>[</w:t>
      </w:r>
      <w:r w:rsidRPr="00320E2E">
        <w:rPr>
          <w:color w:val="000000"/>
        </w:rPr>
        <w:t>clinic</w:t>
      </w:r>
      <w:r>
        <w:rPr>
          <w:color w:val="000000"/>
        </w:rPr>
        <w:t xml:space="preserve">] </w:t>
      </w:r>
      <w:r>
        <w:rPr>
          <w:color w:val="000000"/>
          <w:u w:val="single"/>
        </w:rPr>
        <w:t>clinics</w:t>
      </w:r>
      <w:r w:rsidRPr="00320E2E">
        <w:rPr>
          <w:color w:val="000000"/>
        </w:rPr>
        <w:t xml:space="preserve"> or other health </w:t>
      </w:r>
      <w:r>
        <w:rPr>
          <w:color w:val="000000"/>
        </w:rPr>
        <w:t>[</w:t>
      </w:r>
      <w:r w:rsidRPr="00320E2E">
        <w:rPr>
          <w:color w:val="000000"/>
        </w:rPr>
        <w:t>facility</w:t>
      </w:r>
      <w:r>
        <w:rPr>
          <w:color w:val="000000"/>
        </w:rPr>
        <w:t xml:space="preserve">] </w:t>
      </w:r>
      <w:r>
        <w:rPr>
          <w:color w:val="000000"/>
          <w:u w:val="single"/>
        </w:rPr>
        <w:t>facilities</w:t>
      </w:r>
      <w:r w:rsidRPr="00320E2E">
        <w:rPr>
          <w:color w:val="000000"/>
        </w:rPr>
        <w:t xml:space="preserve"> operated or maintained by the department which also </w:t>
      </w:r>
      <w:r>
        <w:rPr>
          <w:color w:val="000000"/>
        </w:rPr>
        <w:t>[</w:t>
      </w:r>
      <w:r w:rsidRPr="00320E2E">
        <w:rPr>
          <w:color w:val="000000"/>
        </w:rPr>
        <w:t>offers</w:t>
      </w:r>
      <w:r>
        <w:rPr>
          <w:color w:val="000000"/>
        </w:rPr>
        <w:t xml:space="preserve">] </w:t>
      </w:r>
      <w:r>
        <w:rPr>
          <w:color w:val="000000"/>
          <w:u w:val="single"/>
        </w:rPr>
        <w:t>offer</w:t>
      </w:r>
      <w:r w:rsidRPr="00320E2E">
        <w:rPr>
          <w:color w:val="000000"/>
        </w:rPr>
        <w:t xml:space="preserve"> services relating to the diagnosis and treatment of sexually transmitted </w:t>
      </w:r>
      <w:r>
        <w:rPr>
          <w:color w:val="000000"/>
        </w:rPr>
        <w:t>[</w:t>
      </w:r>
      <w:r w:rsidRPr="00320E2E">
        <w:rPr>
          <w:color w:val="000000"/>
        </w:rPr>
        <w:t>diseases</w:t>
      </w:r>
      <w:r>
        <w:rPr>
          <w:color w:val="000000"/>
        </w:rPr>
        <w:t xml:space="preserve">. </w:t>
      </w:r>
      <w:r w:rsidRPr="00320E2E">
        <w:rPr>
          <w:color w:val="000000"/>
        </w:rPr>
        <w:t>For purposes of this section, the term "emergency contraception" shall mean one or more prescription drugs, used separately or in combination, to be administered to or self-administered by a patient in a dosage and manner intended to prevent pregnancy when used within a medically recommended amount of time following sexual intercourse and dispensed for that purpose in accordance with professional standards of practice, and which has been found safe and effective for such use by the United States food and drug administration.</w:t>
      </w:r>
      <w:r>
        <w:rPr>
          <w:color w:val="000000"/>
        </w:rPr>
        <w:t>]</w:t>
      </w:r>
      <w:r w:rsidDel="00712207">
        <w:rPr>
          <w:color w:val="000000"/>
        </w:rPr>
        <w:t xml:space="preserve"> </w:t>
      </w:r>
      <w:r w:rsidRPr="004E0810">
        <w:rPr>
          <w:color w:val="000000"/>
          <w:u w:val="single"/>
        </w:rPr>
        <w:t xml:space="preserve">infections. </w:t>
      </w:r>
      <w:r w:rsidRPr="00A4641D">
        <w:rPr>
          <w:color w:val="000000"/>
          <w:u w:val="single"/>
        </w:rPr>
        <w:t>The</w:t>
      </w:r>
      <w:r w:rsidRPr="00E27550">
        <w:rPr>
          <w:color w:val="000000"/>
          <w:u w:val="single"/>
        </w:rPr>
        <w:t xml:space="preserve"> department shall provide information on free or low-cost access to the administration</w:t>
      </w:r>
      <w:r>
        <w:rPr>
          <w:color w:val="000000"/>
          <w:u w:val="single"/>
        </w:rPr>
        <w:t>,</w:t>
      </w:r>
      <w:r w:rsidRPr="00E27550">
        <w:rPr>
          <w:color w:val="000000"/>
          <w:u w:val="single"/>
        </w:rPr>
        <w:t xml:space="preserve"> insertion</w:t>
      </w:r>
      <w:r>
        <w:rPr>
          <w:color w:val="000000"/>
          <w:u w:val="single"/>
        </w:rPr>
        <w:t xml:space="preserve">, and removal </w:t>
      </w:r>
      <w:r w:rsidRPr="00E27550">
        <w:rPr>
          <w:color w:val="000000"/>
          <w:u w:val="single"/>
        </w:rPr>
        <w:t xml:space="preserve">of </w:t>
      </w:r>
      <w:r>
        <w:rPr>
          <w:color w:val="000000"/>
          <w:u w:val="single"/>
        </w:rPr>
        <w:t>long-acting reversible contraception</w:t>
      </w:r>
      <w:r w:rsidRPr="00E27550">
        <w:rPr>
          <w:color w:val="000000"/>
          <w:u w:val="single"/>
        </w:rPr>
        <w:t xml:space="preserve"> methods. </w:t>
      </w:r>
      <w:r>
        <w:rPr>
          <w:color w:val="000000"/>
          <w:u w:val="single"/>
        </w:rPr>
        <w:t>Timely r</w:t>
      </w:r>
      <w:r w:rsidRPr="00E27550">
        <w:rPr>
          <w:color w:val="000000"/>
          <w:u w:val="single"/>
        </w:rPr>
        <w:t xml:space="preserve">eferrals will be provided to </w:t>
      </w:r>
      <w:r>
        <w:rPr>
          <w:color w:val="000000"/>
          <w:u w:val="single"/>
        </w:rPr>
        <w:t xml:space="preserve">such health centers, health stations, health clinics, or other health facilities which offer long-acting reversible contraception, as well as to </w:t>
      </w:r>
      <w:r w:rsidRPr="00E27550">
        <w:rPr>
          <w:color w:val="000000"/>
          <w:u w:val="single"/>
        </w:rPr>
        <w:t>qualified family planning providers</w:t>
      </w:r>
      <w:r>
        <w:rPr>
          <w:color w:val="000000"/>
          <w:u w:val="single"/>
        </w:rPr>
        <w:t>,</w:t>
      </w:r>
      <w:r w:rsidRPr="00E27550">
        <w:rPr>
          <w:color w:val="000000"/>
          <w:u w:val="single"/>
        </w:rPr>
        <w:t xml:space="preserve"> if needed</w:t>
      </w:r>
      <w:r>
        <w:rPr>
          <w:color w:val="000000"/>
          <w:u w:val="single"/>
        </w:rPr>
        <w:t>,</w:t>
      </w:r>
      <w:r w:rsidRPr="00E27550">
        <w:rPr>
          <w:color w:val="000000"/>
          <w:u w:val="single"/>
        </w:rPr>
        <w:t xml:space="preserve"> for other services.</w:t>
      </w:r>
      <w:r w:rsidRPr="00E27550">
        <w:rPr>
          <w:color w:val="000000"/>
        </w:rPr>
        <w:t> </w:t>
      </w:r>
    </w:p>
    <w:p w14:paraId="00A28637" w14:textId="77777777" w:rsidR="00F82BA5" w:rsidRDefault="00F82BA5" w:rsidP="00F82BA5">
      <w:pPr>
        <w:shd w:val="clear" w:color="auto" w:fill="FFFFFF"/>
        <w:spacing w:line="480" w:lineRule="auto"/>
        <w:ind w:firstLine="720"/>
        <w:jc w:val="both"/>
      </w:pPr>
      <w:r w:rsidRPr="00E27550">
        <w:rPr>
          <w:color w:val="000000"/>
          <w:u w:val="single"/>
        </w:rPr>
        <w:t xml:space="preserve">c. Cultural </w:t>
      </w:r>
      <w:r>
        <w:rPr>
          <w:color w:val="000000"/>
          <w:u w:val="single"/>
        </w:rPr>
        <w:t>sensitivity</w:t>
      </w:r>
      <w:r w:rsidRPr="00E27550">
        <w:rPr>
          <w:color w:val="000000"/>
          <w:u w:val="single"/>
        </w:rPr>
        <w:t xml:space="preserve"> training. The department shall annually offer training to all employees of health centers, health stations, health clinics</w:t>
      </w:r>
      <w:r>
        <w:rPr>
          <w:color w:val="000000"/>
          <w:u w:val="single"/>
        </w:rPr>
        <w:t>,</w:t>
      </w:r>
      <w:r w:rsidRPr="00E27550">
        <w:rPr>
          <w:color w:val="000000"/>
          <w:u w:val="single"/>
        </w:rPr>
        <w:t xml:space="preserve"> and other health facilities maintained by the department which also offer services relating to the diagnosis and treatment of sexually transmitted </w:t>
      </w:r>
      <w:r>
        <w:rPr>
          <w:color w:val="000000"/>
          <w:u w:val="single"/>
        </w:rPr>
        <w:t>infections</w:t>
      </w:r>
      <w:r w:rsidRPr="00E27550">
        <w:rPr>
          <w:color w:val="000000"/>
          <w:u w:val="single"/>
        </w:rPr>
        <w:t>. The training should include, but not be limited to:</w:t>
      </w:r>
    </w:p>
    <w:p w14:paraId="7603AF57" w14:textId="77777777" w:rsidR="00F82BA5" w:rsidRDefault="00F82BA5" w:rsidP="00F82BA5">
      <w:pPr>
        <w:pStyle w:val="xxmsolistparagraph"/>
        <w:shd w:val="clear" w:color="auto" w:fill="FFFFFF"/>
        <w:spacing w:line="480" w:lineRule="auto"/>
        <w:ind w:firstLine="720"/>
        <w:jc w:val="both"/>
      </w:pPr>
      <w:r>
        <w:rPr>
          <w:rFonts w:ascii="Times New Roman" w:hAnsi="Times New Roman" w:cs="Times New Roman"/>
          <w:color w:val="000000"/>
          <w:sz w:val="24"/>
          <w:szCs w:val="24"/>
          <w:u w:val="single"/>
        </w:rPr>
        <w:t>1. The history of the provision of long-acting contraceptive, including the history of sterilization abuse;</w:t>
      </w:r>
    </w:p>
    <w:p w14:paraId="066A81C4" w14:textId="77777777" w:rsidR="00F82BA5" w:rsidRPr="00E27550" w:rsidRDefault="00F82BA5" w:rsidP="00F82BA5">
      <w:pPr>
        <w:shd w:val="clear" w:color="auto" w:fill="FFFFFF"/>
        <w:spacing w:line="480" w:lineRule="auto"/>
        <w:ind w:firstLine="720"/>
        <w:jc w:val="both"/>
        <w:rPr>
          <w:color w:val="000000"/>
          <w:sz w:val="27"/>
          <w:szCs w:val="27"/>
        </w:rPr>
      </w:pPr>
      <w:r w:rsidRPr="00E27550">
        <w:rPr>
          <w:color w:val="000000"/>
          <w:u w:val="single"/>
        </w:rPr>
        <w:t xml:space="preserve">2. Comprehensive, scientifically accurate information about the full range of contraceptive options in a medically ethical and culturally </w:t>
      </w:r>
      <w:r>
        <w:rPr>
          <w:color w:val="000000"/>
          <w:u w:val="single"/>
        </w:rPr>
        <w:t>sensitive</w:t>
      </w:r>
      <w:r w:rsidRPr="00E27550">
        <w:rPr>
          <w:color w:val="000000"/>
          <w:u w:val="single"/>
        </w:rPr>
        <w:t xml:space="preserve"> manner; and</w:t>
      </w:r>
    </w:p>
    <w:p w14:paraId="3F00DD19" w14:textId="77777777" w:rsidR="00F82BA5" w:rsidRPr="00E27550" w:rsidRDefault="00F82BA5" w:rsidP="00F82BA5">
      <w:pPr>
        <w:shd w:val="clear" w:color="auto" w:fill="FFFFFF"/>
        <w:spacing w:line="480" w:lineRule="auto"/>
        <w:ind w:firstLine="720"/>
        <w:jc w:val="both"/>
        <w:rPr>
          <w:color w:val="000000"/>
          <w:sz w:val="27"/>
          <w:szCs w:val="27"/>
        </w:rPr>
      </w:pPr>
      <w:r w:rsidRPr="00E27550">
        <w:rPr>
          <w:color w:val="000000"/>
          <w:u w:val="single"/>
        </w:rPr>
        <w:t>3. Implicit and explicit biases which can result in the harm of a patient, particularly those which can impede the fair and equal treatment of all patients.</w:t>
      </w:r>
    </w:p>
    <w:p w14:paraId="1F2ED7F5" w14:textId="77777777" w:rsidR="00F82BA5" w:rsidRPr="00A669EF" w:rsidRDefault="00F82BA5" w:rsidP="00F82BA5">
      <w:pPr>
        <w:shd w:val="clear" w:color="auto" w:fill="FFFFFF"/>
        <w:spacing w:line="480" w:lineRule="auto"/>
        <w:ind w:firstLine="720"/>
        <w:jc w:val="both"/>
        <w:rPr>
          <w:color w:val="000000"/>
        </w:rPr>
      </w:pPr>
      <w:r w:rsidRPr="00E27550">
        <w:rPr>
          <w:color w:val="000000"/>
        </w:rPr>
        <w:t xml:space="preserve">§ 2. This local law takes effect </w:t>
      </w:r>
      <w:r>
        <w:rPr>
          <w:color w:val="000000"/>
        </w:rPr>
        <w:t>1 year</w:t>
      </w:r>
      <w:r w:rsidRPr="00E27550">
        <w:rPr>
          <w:color w:val="000000"/>
        </w:rPr>
        <w:t xml:space="preserve"> after it becomes law.</w:t>
      </w:r>
    </w:p>
    <w:p w14:paraId="631F9D9B" w14:textId="77777777" w:rsidR="00F82BA5" w:rsidRPr="00E27550" w:rsidRDefault="00F82BA5" w:rsidP="00F82BA5">
      <w:pPr>
        <w:suppressLineNumbers/>
        <w:shd w:val="clear" w:color="auto" w:fill="FFFFFF"/>
        <w:rPr>
          <w:color w:val="000000"/>
          <w:sz w:val="27"/>
          <w:szCs w:val="27"/>
        </w:rPr>
      </w:pPr>
      <w:r w:rsidRPr="00E27550">
        <w:rPr>
          <w:color w:val="000000"/>
          <w:sz w:val="18"/>
          <w:szCs w:val="18"/>
        </w:rPr>
        <w:t>SIL</w:t>
      </w:r>
      <w:r>
        <w:rPr>
          <w:color w:val="000000"/>
          <w:sz w:val="18"/>
          <w:szCs w:val="18"/>
        </w:rPr>
        <w:t>/HKA</w:t>
      </w:r>
    </w:p>
    <w:p w14:paraId="4EEE27B6" w14:textId="77777777" w:rsidR="00F82BA5" w:rsidRPr="00E27550" w:rsidRDefault="00F82BA5" w:rsidP="00F82BA5">
      <w:pPr>
        <w:suppressLineNumbers/>
        <w:shd w:val="clear" w:color="auto" w:fill="FFFFFF"/>
        <w:rPr>
          <w:color w:val="000000"/>
          <w:sz w:val="27"/>
          <w:szCs w:val="27"/>
        </w:rPr>
      </w:pPr>
      <w:r w:rsidRPr="00E27550">
        <w:rPr>
          <w:color w:val="000000"/>
          <w:sz w:val="18"/>
          <w:szCs w:val="18"/>
        </w:rPr>
        <w:t>LS #10810</w:t>
      </w:r>
    </w:p>
    <w:p w14:paraId="21765A3E" w14:textId="77777777" w:rsidR="00F82BA5" w:rsidRPr="00E27550" w:rsidRDefault="00F82BA5" w:rsidP="00F82BA5">
      <w:pPr>
        <w:suppressLineNumbers/>
      </w:pPr>
      <w:r>
        <w:rPr>
          <w:color w:val="000000"/>
          <w:sz w:val="18"/>
          <w:szCs w:val="18"/>
        </w:rPr>
        <w:t>12</w:t>
      </w:r>
      <w:r w:rsidRPr="00E27550">
        <w:rPr>
          <w:color w:val="000000"/>
          <w:sz w:val="18"/>
          <w:szCs w:val="18"/>
        </w:rPr>
        <w:t>/</w:t>
      </w:r>
      <w:r>
        <w:rPr>
          <w:color w:val="000000"/>
          <w:sz w:val="18"/>
          <w:szCs w:val="18"/>
        </w:rPr>
        <w:t>1</w:t>
      </w:r>
      <w:r w:rsidRPr="00E27550">
        <w:rPr>
          <w:color w:val="000000"/>
          <w:sz w:val="18"/>
          <w:szCs w:val="18"/>
        </w:rPr>
        <w:t>/2</w:t>
      </w:r>
      <w:r>
        <w:rPr>
          <w:color w:val="000000"/>
          <w:sz w:val="18"/>
          <w:szCs w:val="18"/>
        </w:rPr>
        <w:t>1 8:22pm</w:t>
      </w:r>
    </w:p>
    <w:p w14:paraId="3838386D" w14:textId="0CFD5297" w:rsidR="17AE04F7" w:rsidRDefault="17AE04F7" w:rsidP="00E51BA0">
      <w:pPr>
        <w:jc w:val="both"/>
        <w:rPr>
          <w:rStyle w:val="None"/>
        </w:rPr>
      </w:pPr>
    </w:p>
    <w:sectPr w:rsidR="17AE04F7">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D958" w14:textId="77777777" w:rsidR="00CE189C" w:rsidRDefault="00CE189C">
      <w:r>
        <w:separator/>
      </w:r>
    </w:p>
  </w:endnote>
  <w:endnote w:type="continuationSeparator" w:id="0">
    <w:p w14:paraId="5A6ED0D8" w14:textId="77777777" w:rsidR="00CE189C" w:rsidRDefault="00CE189C">
      <w:r>
        <w:continuationSeparator/>
      </w:r>
    </w:p>
  </w:endnote>
  <w:endnote w:type="continuationNotice" w:id="1">
    <w:p w14:paraId="3167505F" w14:textId="77777777" w:rsidR="00CE189C" w:rsidRDefault="00CE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Lucida Grande">
    <w:altName w:val="Franklin Gothic Medium Cond"/>
    <w:panose1 w:val="00000000000000000000"/>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Bold">
    <w:panose1 w:val="020B0704020202020204"/>
    <w:charset w:val="00"/>
    <w:family w:val="roman"/>
    <w:notTrueType/>
    <w:pitch w:val="default"/>
  </w:font>
  <w:font w:name="Times New Roman Bold">
    <w:altName w:val="Times New Roman"/>
    <w:panose1 w:val="02020803070505020304"/>
    <w:charset w:val="00"/>
    <w:family w:val="roman"/>
    <w:notTrueType/>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D66A" w14:textId="6A9EAB57" w:rsidR="00362FA7" w:rsidRDefault="00362FA7">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84084">
      <w:rPr>
        <w:rFonts w:ascii="Times New Roman" w:hAnsi="Times New Roman"/>
        <w:noProof/>
      </w:rPr>
      <w:t>8</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E6D9" w14:textId="7B8932F4" w:rsidR="00362FA7" w:rsidRDefault="00362FA7">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84084">
      <w:rPr>
        <w:rFonts w:ascii="Times New Roman" w:hAnsi="Times New Roman"/>
        <w:noProof/>
      </w:rPr>
      <w:t>7</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CBEB" w14:textId="77777777" w:rsidR="00362FA7" w:rsidRDefault="00362FA7">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5DE6" w14:textId="77777777" w:rsidR="00CE189C" w:rsidRDefault="00CE189C">
      <w:r>
        <w:separator/>
      </w:r>
    </w:p>
  </w:footnote>
  <w:footnote w:type="continuationSeparator" w:id="0">
    <w:p w14:paraId="32F58BAB" w14:textId="77777777" w:rsidR="00CE189C" w:rsidRDefault="00CE189C">
      <w:r>
        <w:continuationSeparator/>
      </w:r>
    </w:p>
  </w:footnote>
  <w:footnote w:type="continuationNotice" w:id="1">
    <w:p w14:paraId="2A0CCF43" w14:textId="77777777" w:rsidR="00CE189C" w:rsidRDefault="00CE189C"/>
  </w:footnote>
  <w:footnote w:id="2">
    <w:p w14:paraId="2FB61A9D" w14:textId="490B332B"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National Institute of Environmental Health Sciences, </w:t>
      </w:r>
      <w:r w:rsidRPr="00091683">
        <w:rPr>
          <w:rFonts w:ascii="Times New Roman" w:hAnsi="Times New Roman"/>
          <w:i/>
          <w:iCs/>
        </w:rPr>
        <w:t>Reproductive Health</w:t>
      </w:r>
      <w:r w:rsidRPr="00091683">
        <w:rPr>
          <w:rFonts w:ascii="Times New Roman" w:hAnsi="Times New Roman"/>
        </w:rPr>
        <w:t xml:space="preserve">, the National Institute of Health (n.d.), </w:t>
      </w:r>
      <w:r w:rsidRPr="00091683">
        <w:rPr>
          <w:rFonts w:ascii="Times New Roman" w:hAnsi="Times New Roman"/>
          <w:i/>
          <w:iCs/>
        </w:rPr>
        <w:t>available at</w:t>
      </w:r>
      <w:r w:rsidRPr="00091683">
        <w:rPr>
          <w:rFonts w:ascii="Times New Roman" w:hAnsi="Times New Roman"/>
        </w:rPr>
        <w:t xml:space="preserve"> </w:t>
      </w:r>
      <w:hyperlink r:id="rId1" w:history="1">
        <w:r w:rsidRPr="00091683">
          <w:rPr>
            <w:rStyle w:val="Hyperlink"/>
            <w:rFonts w:ascii="Times New Roman" w:hAnsi="Times New Roman"/>
          </w:rPr>
          <w:t>https://www.niehs.nih.gov/health/topics/conditions/repro-health/index.cfm</w:t>
        </w:r>
      </w:hyperlink>
      <w:r w:rsidRPr="00091683">
        <w:rPr>
          <w:rFonts w:ascii="Times New Roman" w:hAnsi="Times New Roman"/>
        </w:rPr>
        <w:t xml:space="preserve">; </w:t>
      </w:r>
      <w:r w:rsidRPr="00091683">
        <w:rPr>
          <w:rFonts w:ascii="Times New Roman" w:hAnsi="Times New Roman"/>
          <w:i/>
          <w:iCs/>
        </w:rPr>
        <w:t>See</w:t>
      </w:r>
      <w:r w:rsidRPr="00091683">
        <w:rPr>
          <w:rFonts w:ascii="Times New Roman" w:hAnsi="Times New Roman"/>
        </w:rPr>
        <w:t xml:space="preserve"> NYC Commission on Human Rights, </w:t>
      </w:r>
      <w:r w:rsidRPr="00091683">
        <w:rPr>
          <w:rFonts w:ascii="Times New Roman" w:hAnsi="Times New Roman"/>
          <w:i/>
          <w:iCs/>
        </w:rPr>
        <w:t>FACT SHEET: Protections Against Employment Discrimination Based on Sexual and Reproductive Health Decisions</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2" w:history="1">
        <w:r w:rsidRPr="00091683">
          <w:rPr>
            <w:rStyle w:val="Hyperlink"/>
            <w:rFonts w:ascii="Times New Roman" w:hAnsi="Times New Roman"/>
          </w:rPr>
          <w:t>https://www1.nyc.gov/assets/cchr/downloads/pdf/publications/SexualReproHealthDecisions_KYR_8.20.2019.pdf</w:t>
        </w:r>
      </w:hyperlink>
      <w:r w:rsidRPr="00091683">
        <w:rPr>
          <w:rFonts w:ascii="Times New Roman" w:hAnsi="Times New Roman"/>
        </w:rPr>
        <w:t xml:space="preserve">; </w:t>
      </w:r>
      <w:r w:rsidRPr="00091683">
        <w:rPr>
          <w:rFonts w:ascii="Times New Roman" w:hAnsi="Times New Roman"/>
          <w:i/>
          <w:iCs/>
          <w:color w:val="000000"/>
        </w:rPr>
        <w:t>See, e.g.,</w:t>
      </w:r>
      <w:r w:rsidRPr="00091683">
        <w:rPr>
          <w:rFonts w:ascii="Times New Roman" w:hAnsi="Times New Roman"/>
          <w:color w:val="000000"/>
        </w:rPr>
        <w:t xml:space="preserve"> Mahmoud Fathalla, </w:t>
      </w:r>
      <w:r w:rsidRPr="00091683">
        <w:rPr>
          <w:rFonts w:ascii="Times New Roman" w:hAnsi="Times New Roman"/>
          <w:i/>
          <w:iCs/>
          <w:color w:val="000000"/>
        </w:rPr>
        <w:t>Promotion of Research in Human Reproduction: Global Needs and Perspectives</w:t>
      </w:r>
      <w:r w:rsidRPr="00091683">
        <w:rPr>
          <w:rFonts w:ascii="Times New Roman" w:hAnsi="Times New Roman"/>
          <w:color w:val="000000"/>
        </w:rPr>
        <w:t>, 3 HUM. REPROD. 7, 7 (1988) (defining reproductive health as requiring, among other things, “that people have the ability to reproduce and the ability to regulate their fertility”).</w:t>
      </w:r>
    </w:p>
  </w:footnote>
  <w:footnote w:id="3">
    <w:p w14:paraId="2D7D82F0" w14:textId="7B41C079" w:rsidR="00362FA7" w:rsidRPr="00091683" w:rsidRDefault="00362FA7" w:rsidP="0044214F">
      <w:pPr>
        <w:rPr>
          <w:color w:val="000000"/>
          <w:sz w:val="20"/>
          <w:szCs w:val="20"/>
        </w:rPr>
      </w:pPr>
      <w:r w:rsidRPr="00091683">
        <w:rPr>
          <w:rStyle w:val="footnotereference0"/>
          <w:sz w:val="20"/>
          <w:szCs w:val="20"/>
        </w:rPr>
        <w:footnoteRef/>
      </w:r>
      <w:r w:rsidRPr="00091683">
        <w:rPr>
          <w:sz w:val="20"/>
          <w:szCs w:val="20"/>
        </w:rPr>
        <w:t xml:space="preserve"> NYC Commission on Human Rights, </w:t>
      </w:r>
      <w:r w:rsidRPr="00091683">
        <w:rPr>
          <w:i/>
          <w:iCs/>
          <w:sz w:val="20"/>
          <w:szCs w:val="20"/>
        </w:rPr>
        <w:t>FACT SHEET: Protections Against Employment Discrimination Based on Sexual and Reproductive Health Decisions</w:t>
      </w:r>
      <w:r w:rsidRPr="00091683">
        <w:rPr>
          <w:sz w:val="20"/>
          <w:szCs w:val="20"/>
        </w:rPr>
        <w:t xml:space="preserve"> (n.d.), </w:t>
      </w:r>
      <w:r w:rsidRPr="00091683">
        <w:rPr>
          <w:i/>
          <w:iCs/>
          <w:sz w:val="20"/>
          <w:szCs w:val="20"/>
        </w:rPr>
        <w:t>available at</w:t>
      </w:r>
      <w:r w:rsidRPr="00091683">
        <w:rPr>
          <w:sz w:val="20"/>
          <w:szCs w:val="20"/>
        </w:rPr>
        <w:t xml:space="preserve"> </w:t>
      </w:r>
      <w:hyperlink r:id="rId3" w:history="1">
        <w:r w:rsidRPr="00091683">
          <w:rPr>
            <w:rStyle w:val="Hyperlink"/>
            <w:sz w:val="20"/>
            <w:szCs w:val="20"/>
          </w:rPr>
          <w:t>https://www1.nyc.gov/assets/cchr/downloads/pdf/publications/SexualReproHealthDecisions_KYR_8.20.2019.pdf</w:t>
        </w:r>
      </w:hyperlink>
      <w:r w:rsidRPr="00091683">
        <w:rPr>
          <w:sz w:val="20"/>
          <w:szCs w:val="20"/>
        </w:rPr>
        <w:t xml:space="preserve">. </w:t>
      </w:r>
    </w:p>
  </w:footnote>
  <w:footnote w:id="4">
    <w:p w14:paraId="13A614A6" w14:textId="77777777" w:rsidR="00362FA7" w:rsidRPr="00091683" w:rsidRDefault="00362FA7" w:rsidP="0044214F">
      <w:pPr>
        <w:rPr>
          <w:color w:val="000000"/>
          <w:sz w:val="20"/>
          <w:szCs w:val="20"/>
        </w:rPr>
      </w:pPr>
      <w:r w:rsidRPr="00091683">
        <w:rPr>
          <w:rStyle w:val="footnotereference0"/>
          <w:sz w:val="20"/>
          <w:szCs w:val="20"/>
        </w:rPr>
        <w:footnoteRef/>
      </w:r>
      <w:r w:rsidRPr="00091683">
        <w:rPr>
          <w:sz w:val="20"/>
          <w:szCs w:val="20"/>
        </w:rPr>
        <w:t xml:space="preserve"> </w:t>
      </w:r>
      <w:r w:rsidRPr="00091683">
        <w:rPr>
          <w:i/>
          <w:iCs/>
          <w:color w:val="000000"/>
          <w:sz w:val="20"/>
          <w:szCs w:val="20"/>
        </w:rPr>
        <w:t>See</w:t>
      </w:r>
      <w:r w:rsidRPr="00091683">
        <w:rPr>
          <w:color w:val="000000"/>
          <w:sz w:val="20"/>
          <w:szCs w:val="20"/>
        </w:rPr>
        <w:t xml:space="preserve"> Rebecca Cook, Bernard Dickens &amp; Mahmoud Fathala, </w:t>
      </w:r>
      <w:r w:rsidRPr="00091683">
        <w:rPr>
          <w:i/>
          <w:iCs/>
          <w:color w:val="000000"/>
          <w:sz w:val="20"/>
          <w:szCs w:val="20"/>
        </w:rPr>
        <w:t xml:space="preserve">Reproductive Health and Human </w:t>
      </w:r>
    </w:p>
    <w:p w14:paraId="5DE93B8D" w14:textId="77777777" w:rsidR="00362FA7" w:rsidRPr="00091683" w:rsidRDefault="00362FA7" w:rsidP="0044214F">
      <w:pPr>
        <w:pStyle w:val="footnotetext0"/>
        <w:rPr>
          <w:rFonts w:ascii="Times New Roman" w:hAnsi="Times New Roman"/>
        </w:rPr>
      </w:pPr>
      <w:r w:rsidRPr="00091683">
        <w:rPr>
          <w:rFonts w:ascii="Times New Roman" w:hAnsi="Times New Roman"/>
          <w:i/>
          <w:iCs/>
          <w:color w:val="000000"/>
        </w:rPr>
        <w:t>Rights: Integrating Medicine, Ethics and Law</w:t>
      </w:r>
      <w:r w:rsidRPr="00091683">
        <w:rPr>
          <w:rFonts w:ascii="Times New Roman" w:hAnsi="Times New Roman"/>
          <w:color w:val="000000"/>
        </w:rPr>
        <w:t>, 14-18 (2003) (explaining the importance of gender differences in the context of reproductive health).</w:t>
      </w:r>
    </w:p>
  </w:footnote>
  <w:footnote w:id="5">
    <w:p w14:paraId="0F5F7690"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color w:val="000000"/>
        </w:rPr>
        <w:t xml:space="preserve">See, e.g., Ruth Bader Ginsburg, </w:t>
      </w:r>
      <w:r w:rsidRPr="00091683">
        <w:rPr>
          <w:rFonts w:ascii="Times New Roman" w:hAnsi="Times New Roman"/>
          <w:i/>
          <w:iCs/>
          <w:color w:val="000000"/>
        </w:rPr>
        <w:t>Some Thoughts on Autonomy and Equality in Relation to Roe v. Wade</w:t>
      </w:r>
      <w:r w:rsidRPr="00091683">
        <w:rPr>
          <w:rFonts w:ascii="Times New Roman" w:hAnsi="Times New Roman"/>
          <w:color w:val="000000"/>
        </w:rPr>
        <w:t xml:space="preserve">, 63 N.C. L. REV. 375, 383 (1985) (noting that a woman’s ability to control her reproductive capacity is equivalent to her ability to take autonomous charge of her life); </w:t>
      </w:r>
      <w:r w:rsidRPr="00091683">
        <w:rPr>
          <w:rFonts w:ascii="Times New Roman" w:hAnsi="Times New Roman"/>
        </w:rPr>
        <w:t xml:space="preserve">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6">
    <w:p w14:paraId="4FB5F2D3" w14:textId="77777777" w:rsidR="00362FA7" w:rsidRPr="00C83576" w:rsidRDefault="00362FA7"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World Health Organization [hereinafter “WHO”],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4"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xml:space="preserve">, 80 BULL. WHO. 407 (2002); </w:t>
      </w:r>
      <w:r w:rsidRPr="00091683">
        <w:rPr>
          <w:sz w:val="20"/>
          <w:szCs w:val="20"/>
        </w:rPr>
        <w:t xml:space="preserve">Lance Gable, </w:t>
      </w:r>
      <w:r w:rsidRPr="00091683">
        <w:rPr>
          <w:i/>
          <w:iCs/>
          <w:sz w:val="20"/>
          <w:szCs w:val="20"/>
        </w:rPr>
        <w:t>Reproductive Health as a Human Right</w:t>
      </w:r>
      <w:r w:rsidRPr="00091683">
        <w:rPr>
          <w:sz w:val="20"/>
          <w:szCs w:val="20"/>
        </w:rPr>
        <w:t>, 60 Case W. Res. L. Rev. 957, 957 (Summer 2020).</w:t>
      </w:r>
    </w:p>
  </w:footnote>
  <w:footnote w:id="7">
    <w:p w14:paraId="24E36E11" w14:textId="68BDD7D4"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This paper utilizes the term “female genital cutting,” rather than “female genital mutilation” to give deference to the affected women and girls, often migrants, who live in the midst of a dominant discourse categorizing them as “mutilated” and sexually disfigured. While “female circumcision” is another common term, “female genital mutilation” is also referenced in recognition of the fact that it is the most commonly used term, including in terms of usage in legislation and treaties. Further, while this paper also utilizes the acronym FGC, FGM is also often shortened to FGM/C in recognition of updated and current language. </w:t>
      </w:r>
      <w:r w:rsidRPr="00091683">
        <w:rPr>
          <w:rFonts w:ascii="Times New Roman" w:hAnsi="Times New Roman"/>
          <w:i/>
        </w:rPr>
        <w:t>See</w:t>
      </w:r>
      <w:r w:rsidRPr="00091683">
        <w:rPr>
          <w:rFonts w:ascii="Times New Roman" w:hAnsi="Times New Roman"/>
        </w:rPr>
        <w:t xml:space="preserve"> S. Johnsdotter, </w:t>
      </w:r>
      <w:r w:rsidRPr="00091683">
        <w:rPr>
          <w:rFonts w:ascii="Times New Roman" w:hAnsi="Times New Roman"/>
          <w:i/>
        </w:rPr>
        <w:t>The Impact of Migration on Attitudes to Female Genital Cutting and Experiences of Sexual Dysfunction Among Migrant Women with FGC</w:t>
      </w:r>
      <w:r w:rsidRPr="00091683">
        <w:rPr>
          <w:rFonts w:ascii="Times New Roman" w:hAnsi="Times New Roman"/>
        </w:rPr>
        <w:t xml:space="preserve">, 10(1) </w:t>
      </w:r>
      <w:r w:rsidRPr="00091683">
        <w:rPr>
          <w:rFonts w:ascii="Times New Roman" w:hAnsi="Times New Roman"/>
          <w:smallCaps/>
        </w:rPr>
        <w:t>Current Sexual Health Reports</w:t>
      </w:r>
      <w:r w:rsidRPr="00091683">
        <w:rPr>
          <w:rFonts w:ascii="Times New Roman" w:hAnsi="Times New Roman"/>
        </w:rPr>
        <w:t xml:space="preserve"> 18-24 (2018), </w:t>
      </w:r>
      <w:r w:rsidRPr="00091683">
        <w:rPr>
          <w:rFonts w:ascii="Times New Roman" w:hAnsi="Times New Roman"/>
          <w:i/>
        </w:rPr>
        <w:t>available at</w:t>
      </w:r>
      <w:r w:rsidRPr="00091683">
        <w:rPr>
          <w:rFonts w:ascii="Times New Roman" w:hAnsi="Times New Roman"/>
        </w:rPr>
        <w:t xml:space="preserve"> </w:t>
      </w:r>
      <w:hyperlink r:id="rId5" w:history="1">
        <w:r w:rsidRPr="00091683">
          <w:rPr>
            <w:rStyle w:val="Hyperlink"/>
            <w:rFonts w:ascii="Times New Roman" w:hAnsi="Times New Roman"/>
          </w:rPr>
          <w:t>https://www.ncbi.nlm.nih.gov/pmc/articles/PMC5840240/</w:t>
        </w:r>
      </w:hyperlink>
      <w:r w:rsidRPr="00091683">
        <w:rPr>
          <w:rFonts w:ascii="Times New Roman" w:hAnsi="Times New Roman"/>
        </w:rPr>
        <w:t xml:space="preserve">; S. Fried, A. Mahmoud Warsame, V. Berggren, E. Isman &amp; A. Johansson, </w:t>
      </w:r>
      <w:r w:rsidRPr="00091683">
        <w:rPr>
          <w:rFonts w:ascii="Times New Roman" w:hAnsi="Times New Roman"/>
          <w:i/>
        </w:rPr>
        <w:t>Outpatients’ Perspectives on Problems and Needs Related to Female Genital Mutilation/Cutting: a Qualitative Study from Somaliland</w:t>
      </w:r>
      <w:r w:rsidRPr="00091683">
        <w:rPr>
          <w:rFonts w:ascii="Times New Roman" w:hAnsi="Times New Roman"/>
        </w:rPr>
        <w:t xml:space="preserve">, 2013(1) </w:t>
      </w:r>
      <w:r w:rsidRPr="00091683">
        <w:rPr>
          <w:rFonts w:ascii="Times New Roman" w:hAnsi="Times New Roman"/>
          <w:smallCaps/>
        </w:rPr>
        <w:t>Obst. and Gyn. Intl</w:t>
      </w:r>
      <w:r w:rsidRPr="00091683">
        <w:rPr>
          <w:rFonts w:ascii="Times New Roman" w:hAnsi="Times New Roman"/>
        </w:rPr>
        <w:t xml:space="preserve"> (2013), </w:t>
      </w:r>
      <w:r w:rsidRPr="00091683">
        <w:rPr>
          <w:rFonts w:ascii="Times New Roman" w:hAnsi="Times New Roman"/>
          <w:i/>
        </w:rPr>
        <w:t>available at</w:t>
      </w:r>
      <w:r w:rsidRPr="00091683">
        <w:rPr>
          <w:rFonts w:ascii="Times New Roman" w:hAnsi="Times New Roman"/>
        </w:rPr>
        <w:t xml:space="preserve"> https://www.ncbi.nlm.nih.gov/pmc/articles/PMC3784275/; U.S. Department of Health and Human Services, Office on Women’s Health, </w:t>
      </w:r>
      <w:r w:rsidRPr="00091683">
        <w:rPr>
          <w:rFonts w:ascii="Times New Roman" w:hAnsi="Times New Roman"/>
          <w:i/>
        </w:rPr>
        <w:t>Female Genital Mutilation or Cutting</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https://www.womenshealth.gov/a-z-topics/female-genital-cutting; New York Department of Health, </w:t>
      </w:r>
      <w:r w:rsidRPr="00091683">
        <w:rPr>
          <w:rFonts w:ascii="Times New Roman" w:hAnsi="Times New Roman"/>
          <w:i/>
        </w:rPr>
        <w:t>Female Genital Mutilation/Female Circumcision Reference Card for Health Care Providers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6" w:history="1">
        <w:r w:rsidRPr="00091683">
          <w:rPr>
            <w:rStyle w:val="Hyperlink"/>
            <w:rFonts w:ascii="Times New Roman" w:hAnsi="Times New Roman"/>
          </w:rPr>
          <w:t>https://www.health.ny.gov/community/adults/women/female_circumcision/providers.htm</w:t>
        </w:r>
      </w:hyperlink>
      <w:r w:rsidRPr="00091683">
        <w:rPr>
          <w:rFonts w:ascii="Times New Roman" w:hAnsi="Times New Roman"/>
        </w:rPr>
        <w:t xml:space="preserve"> (explaining why it is “more appropriate” to use FGC/FC than FGM).</w:t>
      </w:r>
    </w:p>
  </w:footnote>
  <w:footnote w:id="8">
    <w:p w14:paraId="78936C76" w14:textId="77777777" w:rsidR="00362FA7" w:rsidRPr="00C83576" w:rsidRDefault="00362FA7"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7"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80 BULL. WHO. 407, 407 (2002).</w:t>
      </w:r>
    </w:p>
  </w:footnote>
  <w:footnote w:id="9">
    <w:p w14:paraId="7BCF7198"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10">
    <w:p w14:paraId="51C59D03"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Elizabeth Nash, Lizamarie Mohammed, Zohra Ansari-Thomas, and Olivia Cappello, </w:t>
      </w:r>
      <w:r w:rsidRPr="00091683">
        <w:rPr>
          <w:rFonts w:ascii="Times New Roman" w:hAnsi="Times New Roman"/>
          <w:i/>
          <w:iCs/>
        </w:rPr>
        <w:t>Laws Affecting Reproductive Health and Rights: State Policy Trends at Midyear, 2018</w:t>
      </w:r>
      <w:r w:rsidRPr="00091683">
        <w:rPr>
          <w:rFonts w:ascii="Times New Roman" w:hAnsi="Times New Roman"/>
          <w:b/>
          <w:bCs/>
        </w:rPr>
        <w:t xml:space="preserve">, </w:t>
      </w:r>
      <w:r w:rsidRPr="00091683">
        <w:rPr>
          <w:rFonts w:ascii="Times New Roman" w:hAnsi="Times New Roman"/>
        </w:rPr>
        <w:t xml:space="preserve">Guttmacher Institute (July 2018) , </w:t>
      </w:r>
      <w:r w:rsidRPr="00091683">
        <w:rPr>
          <w:rFonts w:ascii="Times New Roman" w:hAnsi="Times New Roman"/>
          <w:i/>
          <w:iCs/>
        </w:rPr>
        <w:t>available at</w:t>
      </w:r>
      <w:r w:rsidRPr="00091683">
        <w:rPr>
          <w:rFonts w:ascii="Times New Roman" w:hAnsi="Times New Roman"/>
        </w:rPr>
        <w:t xml:space="preserve"> </w:t>
      </w:r>
      <w:hyperlink r:id="rId8" w:history="1">
        <w:r w:rsidRPr="00091683">
          <w:rPr>
            <w:rStyle w:val="Hyperlink"/>
            <w:rFonts w:ascii="Times New Roman" w:hAnsi="Times New Roman"/>
          </w:rPr>
          <w:t>https://www.guttmacher.org/article/2018/07/laws-affecting-reproductive-health-and-rights-state-policy-trends-midyear-2018</w:t>
        </w:r>
      </w:hyperlink>
      <w:r w:rsidRPr="00091683">
        <w:rPr>
          <w:rFonts w:ascii="Times New Roman" w:hAnsi="Times New Roman"/>
        </w:rPr>
        <w:t xml:space="preserve">. </w:t>
      </w:r>
    </w:p>
  </w:footnote>
  <w:footnote w:id="11">
    <w:p w14:paraId="3D9BF97F" w14:textId="4D8F3A8D"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National Council of Jewish Women, </w:t>
      </w:r>
      <w:r w:rsidRPr="00091683">
        <w:rPr>
          <w:rFonts w:ascii="Times New Roman" w:hAnsi="Times New Roman"/>
          <w:i/>
          <w:iCs/>
        </w:rPr>
        <w:t>Understanding Reproductive Health, Rights, and Justice</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9" w:history="1">
        <w:r w:rsidRPr="00091683">
          <w:rPr>
            <w:rStyle w:val="Hyperlink"/>
            <w:rFonts w:ascii="Times New Roman" w:hAnsi="Times New Roman"/>
          </w:rPr>
          <w:t>https://www.ncjw.org/wp-content/uploads/2017/12/RJ-RH-RR-Chart.pdf</w:t>
        </w:r>
      </w:hyperlink>
      <w:r w:rsidRPr="00091683">
        <w:rPr>
          <w:rFonts w:ascii="Times New Roman" w:hAnsi="Times New Roman"/>
        </w:rPr>
        <w:t>.</w:t>
      </w:r>
    </w:p>
  </w:footnote>
  <w:footnote w:id="12">
    <w:p w14:paraId="1F5D4273" w14:textId="77777777" w:rsidR="00362FA7" w:rsidRPr="00091683" w:rsidRDefault="00362FA7" w:rsidP="0044214F">
      <w:pPr>
        <w:pStyle w:val="FootnoteText1"/>
        <w:rPr>
          <w:rFonts w:ascii="Times New Roman" w:eastAsia="Times New Roman" w:hAnsi="Times New Roman"/>
          <w:color w:val="auto"/>
          <w:lang w:bidi="x-none"/>
        </w:rPr>
      </w:pPr>
      <w:r w:rsidRPr="00091683">
        <w:rPr>
          <w:rStyle w:val="FootnoteReference1"/>
          <w:rFonts w:ascii="Times New Roman" w:hAnsi="Times New Roman"/>
          <w:sz w:val="20"/>
        </w:rPr>
        <w:footnoteRef/>
      </w:r>
      <w:r w:rsidRPr="00091683">
        <w:rPr>
          <w:rFonts w:ascii="Times New Roman" w:hAnsi="Times New Roman"/>
        </w:rPr>
        <w:t xml:space="preserve"> Amnesty International USA, </w:t>
      </w:r>
      <w:r w:rsidRPr="00091683">
        <w:rPr>
          <w:rFonts w:ascii="Times New Roman" w:hAnsi="Times New Roman"/>
          <w:i/>
        </w:rPr>
        <w:t>Reproductive Rights: A Fact Sheet</w:t>
      </w:r>
      <w:r w:rsidRPr="00091683">
        <w:rPr>
          <w:rFonts w:ascii="Times New Roman" w:hAnsi="Times New Roman"/>
        </w:rPr>
        <w:t xml:space="preserve"> (2007), </w:t>
      </w:r>
      <w:r w:rsidRPr="00091683">
        <w:rPr>
          <w:rFonts w:ascii="Times New Roman" w:hAnsi="Times New Roman"/>
          <w:i/>
        </w:rPr>
        <w:t>available at</w:t>
      </w:r>
      <w:r w:rsidRPr="00091683">
        <w:rPr>
          <w:rFonts w:ascii="Times New Roman" w:hAnsi="Times New Roman"/>
        </w:rPr>
        <w:t xml:space="preserve"> </w:t>
      </w:r>
      <w:hyperlink r:id="rId10" w:history="1">
        <w:r w:rsidRPr="00091683">
          <w:rPr>
            <w:rStyle w:val="Hyperlink"/>
            <w:rFonts w:ascii="Times New Roman" w:hAnsi="Times New Roman"/>
          </w:rPr>
          <w:t>https://web.archive.org/web/20070714111432/http://www.amnestyusa.org/women/pdf/reproductiverights.pdf</w:t>
        </w:r>
      </w:hyperlink>
      <w:r w:rsidRPr="00091683">
        <w:rPr>
          <w:rFonts w:ascii="Times New Roman" w:hAnsi="Times New Roman"/>
        </w:rPr>
        <w:t xml:space="preserve">. </w:t>
      </w:r>
    </w:p>
  </w:footnote>
  <w:footnote w:id="13">
    <w:p w14:paraId="3252BAB3" w14:textId="7CD308AE" w:rsidR="00362FA7" w:rsidRDefault="00362FA7" w:rsidP="65673E0D">
      <w:pPr>
        <w:rPr>
          <w:sz w:val="20"/>
          <w:szCs w:val="20"/>
        </w:rPr>
      </w:pPr>
      <w:r w:rsidRPr="00091683">
        <w:rPr>
          <w:rStyle w:val="FootnoteReference"/>
          <w:sz w:val="20"/>
          <w:szCs w:val="20"/>
        </w:rPr>
        <w:footnoteRef/>
      </w:r>
      <w:r w:rsidRPr="00091683">
        <w:rPr>
          <w:sz w:val="20"/>
          <w:szCs w:val="20"/>
        </w:rPr>
        <w:t xml:space="preserve"> </w:t>
      </w:r>
      <w:r>
        <w:rPr>
          <w:sz w:val="20"/>
          <w:szCs w:val="20"/>
        </w:rPr>
        <w:t>This includes</w:t>
      </w:r>
      <w:r w:rsidRPr="00C36794">
        <w:rPr>
          <w:sz w:val="20"/>
          <w:szCs w:val="20"/>
        </w:rPr>
        <w:t xml:space="preserve"> Long Acting Reversible Contraceptives (LARC) and abortion access: $702,900 for the Dedicated Contraceptive Fund, $378,070 for the Reproductive and Sexual Health Services Initiative, and an additional $250,000 for the New York Abortion Access fund</w:t>
      </w:r>
      <w:r w:rsidRPr="00091683">
        <w:rPr>
          <w:sz w:val="20"/>
          <w:szCs w:val="20"/>
        </w:rPr>
        <w:t>The New York City Council,</w:t>
      </w:r>
      <w:r>
        <w:rPr>
          <w:sz w:val="20"/>
          <w:szCs w:val="20"/>
        </w:rPr>
        <w:t xml:space="preserve"> </w:t>
      </w:r>
      <w:r w:rsidRPr="00091683">
        <w:rPr>
          <w:sz w:val="20"/>
          <w:szCs w:val="20"/>
        </w:rPr>
        <w:t>”</w:t>
      </w:r>
      <w:r w:rsidRPr="00091683">
        <w:rPr>
          <w:color w:val="000000" w:themeColor="text1"/>
          <w:sz w:val="20"/>
          <w:szCs w:val="20"/>
        </w:rPr>
        <w:t xml:space="preserve">Fiscal Year 2011 Adopted Expense Budget </w:t>
      </w:r>
      <w:r>
        <w:rPr>
          <w:color w:val="000000" w:themeColor="text1"/>
          <w:sz w:val="20"/>
          <w:szCs w:val="20"/>
        </w:rPr>
        <w:t>Adjustment Summary / Schedule C,”</w:t>
      </w:r>
      <w:r w:rsidRPr="00091683">
        <w:rPr>
          <w:color w:val="000000" w:themeColor="text1"/>
          <w:sz w:val="20"/>
          <w:szCs w:val="20"/>
        </w:rPr>
        <w:t xml:space="preserve"> (June 30, 2020), available at </w:t>
      </w:r>
      <w:hyperlink r:id="rId11">
        <w:r w:rsidRPr="00091683">
          <w:rPr>
            <w:rStyle w:val="Hyperlink"/>
            <w:sz w:val="20"/>
            <w:szCs w:val="20"/>
          </w:rPr>
          <w:t>https://council.nyc.gov/budget/wp-content/uploads/sites/54/2020/06/Fiscal-2021-Schedule-C-Cover-REPORT-Final.pdf</w:t>
        </w:r>
      </w:hyperlink>
      <w:r w:rsidRPr="00091683">
        <w:rPr>
          <w:sz w:val="20"/>
          <w:szCs w:val="20"/>
        </w:rPr>
        <w:t>.</w:t>
      </w:r>
    </w:p>
  </w:footnote>
  <w:footnote w:id="14">
    <w:p w14:paraId="570FD766" w14:textId="3950195F"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See, e.g.</w:t>
      </w:r>
      <w:r w:rsidRPr="00091683">
        <w:rPr>
          <w:rFonts w:eastAsia="Calibri"/>
        </w:rPr>
        <w:t xml:space="preserve">, “Long-Acting Reversible Contraception: Intrauterine Device and Implant,” The American College of Obstetricians and Gynecologists, available at </w:t>
      </w:r>
      <w:hyperlink r:id="rId12" w:anchor="methods">
        <w:r w:rsidRPr="00091683">
          <w:rPr>
            <w:rStyle w:val="Hyperlink"/>
            <w:rFonts w:eastAsia="Calibri"/>
          </w:rPr>
          <w:t>https://www.acog.org/Patients/FAQs/Long-Acting-Reversible-Contraception-Intrauterine-Device-and-Implant?IsMobileSet=false#methods</w:t>
        </w:r>
      </w:hyperlink>
      <w:r w:rsidRPr="00091683">
        <w:rPr>
          <w:rFonts w:eastAsia="Calibri"/>
        </w:rPr>
        <w:t>.</w:t>
      </w:r>
    </w:p>
  </w:footnote>
  <w:footnote w:id="15">
    <w:p w14:paraId="5C982C61" w14:textId="0BF3FF1C"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See id</w:t>
      </w:r>
      <w:r w:rsidRPr="00091683">
        <w:rPr>
          <w:rFonts w:eastAsia="Calibri"/>
        </w:rPr>
        <w:t xml:space="preserve">; </w:t>
      </w:r>
      <w:r w:rsidRPr="00091683">
        <w:rPr>
          <w:rFonts w:eastAsia="Calibri"/>
          <w:i/>
          <w:iCs/>
        </w:rPr>
        <w:t>see also</w:t>
      </w:r>
      <w:r w:rsidRPr="00091683">
        <w:rPr>
          <w:rFonts w:eastAsia="Calibri"/>
        </w:rPr>
        <w:t xml:space="preserve">, “About LARCs,” Planned Parenthood, available at </w:t>
      </w:r>
      <w:hyperlink r:id="rId13">
        <w:r w:rsidRPr="00091683">
          <w:rPr>
            <w:rStyle w:val="Hyperlink"/>
            <w:rFonts w:eastAsia="Calibri"/>
          </w:rPr>
          <w:t>https://www.plannedparenthood.org/planned-parenthood-mar-monte/patient-resources/long-acting-reversible-contraception-2</w:t>
        </w:r>
      </w:hyperlink>
      <w:r w:rsidRPr="00091683">
        <w:rPr>
          <w:rFonts w:eastAsia="Calibri"/>
        </w:rPr>
        <w:t>.</w:t>
      </w:r>
    </w:p>
  </w:footnote>
  <w:footnote w:id="16">
    <w:p w14:paraId="7EFCF2B0" w14:textId="76764916" w:rsidR="00362FA7" w:rsidRPr="00091683" w:rsidRDefault="00362FA7" w:rsidP="05EBA5AA">
      <w:pPr>
        <w:pStyle w:val="FootnoteText"/>
      </w:pPr>
      <w:r w:rsidRPr="00091683">
        <w:rPr>
          <w:rStyle w:val="FootnoteReference"/>
        </w:rPr>
        <w:footnoteRef/>
      </w:r>
      <w:r w:rsidRPr="00091683">
        <w:t xml:space="preserve"> </w:t>
      </w:r>
      <w:r w:rsidRPr="00091683">
        <w:rPr>
          <w:rFonts w:eastAsia="Calibri"/>
        </w:rPr>
        <w:t xml:space="preserve">“ACOG Committee Opinion,” The American College of Obstetricians and Gynecologists, Number 735, May 2018, available at </w:t>
      </w:r>
      <w:hyperlink r:id="rId14">
        <w:r w:rsidRPr="00091683">
          <w:rPr>
            <w:rStyle w:val="Hyperlink"/>
            <w:rFonts w:eastAsia="Calibri"/>
          </w:rPr>
          <w:t>https://www.acog.org/Clinical-Guidance-and-Publications/Committee-Opinions/Committee-on-Adolescent-Health-Care/Adolescents-and-Long-Acting-Reversible-Contraception?IsMobileSet=false</w:t>
        </w:r>
      </w:hyperlink>
      <w:r w:rsidRPr="00091683">
        <w:rPr>
          <w:rFonts w:eastAsia="Calibri"/>
        </w:rPr>
        <w:t>.</w:t>
      </w:r>
    </w:p>
  </w:footnote>
  <w:footnote w:id="17">
    <w:p w14:paraId="74E257F8" w14:textId="7C36BA5F"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18">
    <w:p w14:paraId="0FCF5D12" w14:textId="3C9E8E72"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19">
    <w:p w14:paraId="2BDF5A0B" w14:textId="5EB80046" w:rsidR="00362FA7" w:rsidRPr="00091683" w:rsidRDefault="00362FA7" w:rsidP="05EBA5AA">
      <w:pPr>
        <w:pStyle w:val="FootnoteText"/>
      </w:pPr>
      <w:r w:rsidRPr="00091683">
        <w:rPr>
          <w:rStyle w:val="FootnoteReference"/>
        </w:rPr>
        <w:footnoteRef/>
      </w:r>
      <w:r w:rsidRPr="00091683">
        <w:t xml:space="preserve"> </w:t>
      </w:r>
      <w:r>
        <w:t xml:space="preserve">New York City Council, “New York City Young Women’s Initiative: Report and Recommendations” (May 2016), </w:t>
      </w:r>
      <w:r w:rsidRPr="003B233A">
        <w:rPr>
          <w:i/>
          <w:iCs/>
        </w:rPr>
        <w:t>a</w:t>
      </w:r>
      <w:r w:rsidRPr="003B233A">
        <w:rPr>
          <w:rFonts w:eastAsia="Calibri"/>
          <w:i/>
          <w:iCs/>
        </w:rPr>
        <w:t>vailableat</w:t>
      </w:r>
      <w:r w:rsidRPr="00091683">
        <w:rPr>
          <w:rFonts w:eastAsia="Calibri"/>
        </w:rPr>
        <w:t xml:space="preserve"> </w:t>
      </w:r>
      <w:hyperlink r:id="rId15">
        <w:r w:rsidRPr="00091683">
          <w:rPr>
            <w:rStyle w:val="Hyperlink"/>
            <w:rFonts w:eastAsia="Calibri"/>
          </w:rPr>
          <w:t>https://www.ggenyc.org/wp-content/uploads/2018/11/YWI-Report-and-Recommendations.pdf</w:t>
        </w:r>
      </w:hyperlink>
      <w:r w:rsidRPr="00091683">
        <w:rPr>
          <w:rFonts w:eastAsia="Calibri"/>
        </w:rPr>
        <w:t>.</w:t>
      </w:r>
    </w:p>
  </w:footnote>
  <w:footnote w:id="20">
    <w:p w14:paraId="019BBDB4" w14:textId="448A8F73" w:rsidR="00362FA7" w:rsidRDefault="00362FA7" w:rsidP="05EBA5AA">
      <w:pPr>
        <w:pStyle w:val="FootnoteText"/>
      </w:pPr>
      <w:r w:rsidRPr="00091683">
        <w:rPr>
          <w:rStyle w:val="FootnoteReference"/>
        </w:rPr>
        <w:footnoteRef/>
      </w:r>
      <w:r w:rsidRPr="00091683">
        <w:t xml:space="preserve"> </w:t>
      </w:r>
      <w:r>
        <w:rPr>
          <w:rFonts w:eastAsia="Calibri"/>
          <w:i/>
          <w:iCs/>
        </w:rPr>
        <w:t>Supra</w:t>
      </w:r>
      <w:r>
        <w:rPr>
          <w:rFonts w:eastAsia="Calibri"/>
        </w:rPr>
        <w:t xml:space="preserve"> note 15</w:t>
      </w:r>
      <w:r w:rsidRPr="00091683">
        <w:rPr>
          <w:rFonts w:eastAsia="Calibri"/>
        </w:rPr>
        <w:t xml:space="preserve"> at 10.</w:t>
      </w:r>
    </w:p>
  </w:footnote>
  <w:footnote w:id="21">
    <w:p w14:paraId="7B2667A5" w14:textId="744898CE"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33.</w:t>
      </w:r>
    </w:p>
  </w:footnote>
  <w:footnote w:id="22">
    <w:p w14:paraId="2BB976A4" w14:textId="7E55AFA3"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39.</w:t>
      </w:r>
    </w:p>
  </w:footnote>
  <w:footnote w:id="23">
    <w:p w14:paraId="43FAAB1C" w14:textId="0B1BC7D9"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4">
    <w:p w14:paraId="7A844F20" w14:textId="555B4650"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109.</w:t>
      </w:r>
    </w:p>
  </w:footnote>
  <w:footnote w:id="25">
    <w:p w14:paraId="5DA9CBE3" w14:textId="6DDD2A60"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6">
    <w:p w14:paraId="5925BA10" w14:textId="35D8C46A" w:rsidR="00362FA7" w:rsidRDefault="00362FA7" w:rsidP="05EBA5AA">
      <w:pPr>
        <w:pStyle w:val="FootnoteText"/>
      </w:pPr>
      <w:r w:rsidRPr="00091683">
        <w:rPr>
          <w:rStyle w:val="FootnoteReference"/>
        </w:rPr>
        <w:footnoteRef/>
      </w:r>
      <w:r w:rsidRPr="00091683">
        <w:t xml:space="preserve"> </w:t>
      </w:r>
      <w:r w:rsidRPr="00091683">
        <w:rPr>
          <w:rFonts w:eastAsia="Calibri"/>
        </w:rPr>
        <w:t xml:space="preserve">“NYC Health Clinics,” DOHMH, available at </w:t>
      </w:r>
      <w:hyperlink r:id="rId16">
        <w:r w:rsidRPr="00091683">
          <w:rPr>
            <w:rStyle w:val="Hyperlink"/>
            <w:rFonts w:eastAsia="Calibri"/>
          </w:rPr>
          <w:t>https://www1.nyc.gov/site/doh/services/allclinics.page</w:t>
        </w:r>
      </w:hyperlink>
      <w:r w:rsidRPr="00091683">
        <w:rPr>
          <w:rFonts w:eastAsia="Calibri"/>
        </w:rPr>
        <w:t>.</w:t>
      </w:r>
    </w:p>
  </w:footnote>
  <w:footnote w:id="27">
    <w:p w14:paraId="782F7B56" w14:textId="58EF982C" w:rsidR="00362FA7" w:rsidRPr="00091683" w:rsidRDefault="00362FA7" w:rsidP="05EBA5AA">
      <w:pPr>
        <w:pStyle w:val="FootnoteText"/>
      </w:pPr>
      <w:r w:rsidRPr="00091683">
        <w:rPr>
          <w:rStyle w:val="FootnoteReference"/>
        </w:rPr>
        <w:footnoteRef/>
      </w:r>
      <w:r w:rsidRPr="00091683">
        <w:t xml:space="preserve"> </w:t>
      </w:r>
      <w:r w:rsidRPr="00091683">
        <w:rPr>
          <w:rFonts w:eastAsia="Calibri"/>
        </w:rPr>
        <w:t xml:space="preserve">“Sexual Health Clinics,” DOHMH, available at </w:t>
      </w:r>
      <w:hyperlink r:id="rId17">
        <w:r w:rsidRPr="00091683">
          <w:rPr>
            <w:rStyle w:val="Hyperlink"/>
            <w:rFonts w:eastAsia="Calibri"/>
          </w:rPr>
          <w:t>https://www1.nyc.gov/site/doh/services/sexual-health-clinics.page</w:t>
        </w:r>
      </w:hyperlink>
      <w:r w:rsidRPr="00091683">
        <w:rPr>
          <w:rFonts w:eastAsia="Calibri"/>
        </w:rPr>
        <w:t>.</w:t>
      </w:r>
    </w:p>
  </w:footnote>
  <w:footnote w:id="28">
    <w:p w14:paraId="30C3B383" w14:textId="546F5E5E"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9">
    <w:p w14:paraId="49E2B2D7" w14:textId="531DCD86" w:rsidR="00362FA7"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30">
    <w:p w14:paraId="73FB8E6F" w14:textId="77777777" w:rsidR="00362FA7" w:rsidRPr="00D270AC" w:rsidRDefault="00362FA7" w:rsidP="00091683">
      <w:pPr>
        <w:rPr>
          <w:sz w:val="20"/>
          <w:szCs w:val="20"/>
        </w:rPr>
      </w:pPr>
      <w:r w:rsidRPr="00D270AC">
        <w:rPr>
          <w:rStyle w:val="FootnoteReference"/>
          <w:sz w:val="20"/>
          <w:szCs w:val="20"/>
        </w:rPr>
        <w:footnoteRef/>
      </w:r>
      <w:r w:rsidRPr="00D270AC">
        <w:rPr>
          <w:sz w:val="20"/>
          <w:szCs w:val="20"/>
        </w:rPr>
        <w:t xml:space="preserve"> 2018 N.Y.C. Local Law No. 185, N.Y.C. Admin. Code §§17-199.1</w:t>
      </w:r>
    </w:p>
  </w:footnote>
  <w:footnote w:id="31">
    <w:p w14:paraId="14943EF9" w14:textId="77777777" w:rsidR="00362FA7" w:rsidRPr="00D270AC" w:rsidRDefault="00362FA7" w:rsidP="00091683">
      <w:pPr>
        <w:pStyle w:val="FootnoteText"/>
      </w:pPr>
      <w:r w:rsidRPr="00D270AC">
        <w:rPr>
          <w:rStyle w:val="FootnoteReference"/>
        </w:rPr>
        <w:footnoteRef/>
      </w:r>
      <w:r w:rsidRPr="00D270AC">
        <w:t xml:space="preserve"> 2018 N.Y.C. Local Law No. 186, N.Y.C. Admin. Code §8-107.</w:t>
      </w:r>
    </w:p>
  </w:footnote>
  <w:footnote w:id="32">
    <w:p w14:paraId="164099AC" w14:textId="77777777" w:rsidR="00362FA7" w:rsidRDefault="00362FA7" w:rsidP="00091683">
      <w:pPr>
        <w:pStyle w:val="FootnoteText"/>
      </w:pPr>
      <w:r>
        <w:rPr>
          <w:rStyle w:val="FootnoteReference"/>
        </w:rPr>
        <w:footnoteRef/>
      </w:r>
      <w:r>
        <w:t xml:space="preserve"> </w:t>
      </w:r>
      <w:r w:rsidRPr="00D270AC">
        <w:rPr>
          <w:i/>
        </w:rPr>
        <w:t>Id.</w:t>
      </w:r>
    </w:p>
  </w:footnote>
  <w:footnote w:id="33">
    <w:p w14:paraId="0566BBCE" w14:textId="402970A2" w:rsidR="00362FA7" w:rsidRDefault="00362FA7">
      <w:pPr>
        <w:pStyle w:val="FootnoteText"/>
      </w:pPr>
      <w:r>
        <w:rPr>
          <w:rStyle w:val="FootnoteReference"/>
        </w:rPr>
        <w:footnoteRef/>
      </w:r>
      <w:r>
        <w:t xml:space="preserve"> NYC Commission on Human Rights, Law: “Lactation Accommodations” (n.d.), </w:t>
      </w:r>
      <w:r w:rsidRPr="0021759E">
        <w:rPr>
          <w:i/>
        </w:rPr>
        <w:t>available at</w:t>
      </w:r>
      <w:r>
        <w:t xml:space="preserve"> </w:t>
      </w:r>
      <w:hyperlink r:id="rId18" w:history="1">
        <w:r w:rsidRPr="00416440">
          <w:rPr>
            <w:rStyle w:val="Hyperlink"/>
          </w:rPr>
          <w:t>https://www1.nyc.gov/site/cchr/law/lactation.page</w:t>
        </w:r>
      </w:hyperlink>
      <w:r>
        <w:t xml:space="preserve">. </w:t>
      </w:r>
    </w:p>
  </w:footnote>
  <w:footnote w:id="34">
    <w:p w14:paraId="228E9F45" w14:textId="475F8A05" w:rsidR="00362FA7" w:rsidRDefault="00362FA7">
      <w:pPr>
        <w:pStyle w:val="FootnoteText"/>
      </w:pPr>
      <w:r>
        <w:rPr>
          <w:rStyle w:val="FootnoteReference"/>
        </w:rPr>
        <w:footnoteRef/>
      </w:r>
      <w:r>
        <w:t xml:space="preserve"> </w:t>
      </w:r>
      <w:r w:rsidRPr="00D270AC">
        <w:t>2018 N.Y.C. Local Law No. 185, N.Y.C. Admin. Code §§17-199.1</w:t>
      </w:r>
      <w:r>
        <w:t xml:space="preserve">; </w:t>
      </w:r>
      <w:r w:rsidRPr="00D270AC">
        <w:t>2018 N.Y.C. Local Law No. 186, N.Y.C. Admin. Code §8-107.</w:t>
      </w:r>
    </w:p>
  </w:footnote>
  <w:footnote w:id="35">
    <w:p w14:paraId="47540C56" w14:textId="77777777" w:rsidR="00362FA7" w:rsidRDefault="00362FA7" w:rsidP="00091683">
      <w:pPr>
        <w:pStyle w:val="FootnoteText"/>
      </w:pPr>
      <w:r>
        <w:rPr>
          <w:rStyle w:val="FootnoteReference"/>
        </w:rPr>
        <w:footnoteRef/>
      </w:r>
      <w:r>
        <w:t xml:space="preserve"> Nigel C. Rollins, et al., “Why invest, and what it will take to improve breastfeeding practices?” The Lancet (Jan. 20, 2016), </w:t>
      </w:r>
      <w:r w:rsidRPr="00EB46AF">
        <w:rPr>
          <w:i/>
        </w:rPr>
        <w:t>available at</w:t>
      </w:r>
      <w:r>
        <w:t xml:space="preserve"> </w:t>
      </w:r>
      <w:hyperlink r:id="rId19" w:history="1">
        <w:r w:rsidRPr="00416440">
          <w:rPr>
            <w:rStyle w:val="Hyperlink"/>
          </w:rPr>
          <w:t>https://www.thelancet.com/journals/lancet/article/PIIS0140-6736(15)01044-2/fulltext</w:t>
        </w:r>
      </w:hyperlink>
      <w:r>
        <w:t>.</w:t>
      </w:r>
    </w:p>
  </w:footnote>
  <w:footnote w:id="36">
    <w:p w14:paraId="7E6A2990" w14:textId="77777777" w:rsidR="00362FA7" w:rsidRPr="00EB46AF" w:rsidRDefault="00362FA7" w:rsidP="00091683">
      <w:pPr>
        <w:pStyle w:val="FootnoteText"/>
        <w:rPr>
          <w:b/>
        </w:rPr>
      </w:pPr>
      <w:r>
        <w:rPr>
          <w:rStyle w:val="FootnoteReference"/>
        </w:rPr>
        <w:footnoteRef/>
      </w:r>
      <w:r>
        <w:t xml:space="preserve"> United Nations, Office of the High Commissioner: </w:t>
      </w:r>
      <w:r w:rsidRPr="00B934F7">
        <w:rPr>
          <w:bCs/>
          <w:i/>
        </w:rPr>
        <w:t>Joint statement by the UN Special Rapporteurs on the Right to Food, Right to Health, the Working Group on Discrimination against Women in law and in practice, and the Committee on the Rights of the Child in support of increased efforts to promote, support and protect breast-feeding</w:t>
      </w:r>
      <w:r>
        <w:t xml:space="preserve">, News (n.d.), </w:t>
      </w:r>
      <w:r w:rsidRPr="00EB46AF">
        <w:rPr>
          <w:i/>
        </w:rPr>
        <w:t>available at</w:t>
      </w:r>
      <w:r>
        <w:t xml:space="preserve"> </w:t>
      </w:r>
      <w:hyperlink r:id="rId20" w:history="1">
        <w:r w:rsidRPr="00416440">
          <w:rPr>
            <w:rStyle w:val="Hyperlink"/>
          </w:rPr>
          <w:t>https://www.ohchr.org/EN/NewsEvents/Pages/DisplayNews.aspx?NewsID=20871&amp;LangID=E</w:t>
        </w:r>
      </w:hyperlink>
      <w:r>
        <w:t xml:space="preserve">. </w:t>
      </w:r>
    </w:p>
  </w:footnote>
  <w:footnote w:id="37">
    <w:p w14:paraId="49C96FD9" w14:textId="77777777" w:rsidR="00362FA7" w:rsidRDefault="00362FA7" w:rsidP="00091683">
      <w:pPr>
        <w:pStyle w:val="FootnoteText"/>
      </w:pPr>
      <w:r>
        <w:rPr>
          <w:rStyle w:val="FootnoteReference"/>
        </w:rPr>
        <w:footnoteRef/>
      </w:r>
      <w:r>
        <w:t xml:space="preserve"> Andrew Jacobs, “Opposition to Breast-Feeding Resolution by U.S. Stuns World Health Officials” New York Times (Jul. 8, 2018), </w:t>
      </w:r>
      <w:r w:rsidRPr="00DF63EA">
        <w:rPr>
          <w:i/>
        </w:rPr>
        <w:t>available at</w:t>
      </w:r>
      <w:r>
        <w:t xml:space="preserve"> </w:t>
      </w:r>
      <w:hyperlink r:id="rId21" w:history="1">
        <w:r w:rsidRPr="00416440">
          <w:rPr>
            <w:rStyle w:val="Hyperlink"/>
          </w:rPr>
          <w:t>https://www.nytimes.com/2018/07/08/health/world-health-breastfeeding-ecuador-trump.html</w:t>
        </w:r>
      </w:hyperlink>
      <w:r>
        <w:t xml:space="preserve">. </w:t>
      </w:r>
    </w:p>
  </w:footnote>
  <w:footnote w:id="38">
    <w:p w14:paraId="4FD4BF75" w14:textId="77777777" w:rsidR="00362FA7" w:rsidRDefault="00362FA7" w:rsidP="00091683">
      <w:pPr>
        <w:pStyle w:val="FootnoteText"/>
      </w:pPr>
      <w:r>
        <w:rPr>
          <w:rStyle w:val="FootnoteReference"/>
        </w:rPr>
        <w:footnoteRef/>
      </w:r>
      <w:r>
        <w:t xml:space="preserve"> NYC Department of Health and Mental Hygiene, </w:t>
      </w:r>
      <w:r w:rsidRPr="00B934F7">
        <w:rPr>
          <w:i/>
        </w:rPr>
        <w:t>Epi Data Brief</w:t>
      </w:r>
      <w:r>
        <w:t xml:space="preserve"> (Aug. 2015), </w:t>
      </w:r>
      <w:r w:rsidRPr="00B934F7">
        <w:rPr>
          <w:i/>
        </w:rPr>
        <w:t>available at</w:t>
      </w:r>
      <w:r>
        <w:t xml:space="preserve"> </w:t>
      </w:r>
      <w:hyperlink r:id="rId22" w:history="1">
        <w:r w:rsidRPr="00416440">
          <w:rPr>
            <w:rStyle w:val="Hyperlink"/>
          </w:rPr>
          <w:t>https://www1.nyc.gov/assets/doh/downloads/pdf/epi/databrief57.pdf</w:t>
        </w:r>
      </w:hyperlink>
      <w:r>
        <w:t xml:space="preserve">. </w:t>
      </w:r>
    </w:p>
  </w:footnote>
  <w:footnote w:id="39">
    <w:p w14:paraId="2FC1CD5D" w14:textId="77777777" w:rsidR="00362FA7" w:rsidRPr="00F5391C" w:rsidRDefault="00362FA7" w:rsidP="00091683">
      <w:pPr>
        <w:pStyle w:val="FootnoteText"/>
        <w:rPr>
          <w:bCs/>
        </w:rPr>
      </w:pPr>
      <w:r>
        <w:rPr>
          <w:rStyle w:val="FootnoteReference"/>
        </w:rPr>
        <w:footnoteRef/>
      </w:r>
      <w:r>
        <w:t xml:space="preserve"> NYC Department of Health and Mental Hygiene</w:t>
      </w:r>
      <w:r w:rsidRPr="00F5391C">
        <w:t xml:space="preserve">, </w:t>
      </w:r>
      <w:r w:rsidRPr="00F5391C">
        <w:rPr>
          <w:bCs/>
          <w:i/>
        </w:rPr>
        <w:t>Health Department Recognizes Breastfeeding-Friendly Spaces in Brooklyn, Launches Breastfeeding Toolkit and Baby Cafes</w:t>
      </w:r>
      <w:r w:rsidRPr="00F5391C">
        <w:rPr>
          <w:bCs/>
        </w:rPr>
        <w:t>, News (</w:t>
      </w:r>
      <w:r>
        <w:rPr>
          <w:bCs/>
        </w:rPr>
        <w:t xml:space="preserve">Aug. 23, 2018), </w:t>
      </w:r>
      <w:r w:rsidRPr="00F5391C">
        <w:rPr>
          <w:bCs/>
          <w:i/>
        </w:rPr>
        <w:t>available at</w:t>
      </w:r>
      <w:r>
        <w:rPr>
          <w:bCs/>
        </w:rPr>
        <w:t xml:space="preserve"> </w:t>
      </w:r>
      <w:hyperlink r:id="rId23" w:history="1">
        <w:r w:rsidRPr="00416440">
          <w:rPr>
            <w:rStyle w:val="Hyperlink"/>
            <w:bCs/>
          </w:rPr>
          <w:t>https://www1.nyc.gov/site/doh/about/press/pr2018/pr069-18.page</w:t>
        </w:r>
      </w:hyperlink>
      <w:r>
        <w:rPr>
          <w:bCs/>
        </w:rPr>
        <w:t xml:space="preserve">. </w:t>
      </w:r>
    </w:p>
  </w:footnote>
  <w:footnote w:id="40">
    <w:p w14:paraId="38F024CE" w14:textId="77777777" w:rsidR="00362FA7" w:rsidRDefault="00362FA7" w:rsidP="00091683">
      <w:pPr>
        <w:pStyle w:val="FootnoteText"/>
      </w:pPr>
      <w:r>
        <w:rPr>
          <w:rStyle w:val="FootnoteReference"/>
        </w:rPr>
        <w:footnoteRef/>
      </w:r>
      <w:r>
        <w:t xml:space="preserve"> United Nations, Office of the High Commissioner: </w:t>
      </w:r>
      <w:r w:rsidRPr="00B934F7">
        <w:rPr>
          <w:bCs/>
          <w:i/>
        </w:rPr>
        <w:t>Joint statement by the UN Special Rapporteurs on the Right to Food, Right to Health, the Working Group on Discrimination against Women in law and in practice, and the Committee on the Rights of the Child in support of increased efforts to promote, support and protect breast-feeding</w:t>
      </w:r>
      <w:r>
        <w:t xml:space="preserve">, News (n.d.), </w:t>
      </w:r>
      <w:r w:rsidRPr="00EB46AF">
        <w:rPr>
          <w:i/>
        </w:rPr>
        <w:t>available at</w:t>
      </w:r>
      <w:r>
        <w:t xml:space="preserve"> </w:t>
      </w:r>
      <w:hyperlink r:id="rId24" w:history="1">
        <w:r w:rsidRPr="00416440">
          <w:rPr>
            <w:rStyle w:val="Hyperlink"/>
          </w:rPr>
          <w:t>https://www.ohchr.org/EN/NewsEvents/Pages/DisplayNews.aspx?NewsID=20871&amp;LangID=E</w:t>
        </w:r>
      </w:hyperlink>
      <w:r>
        <w:t>.</w:t>
      </w:r>
    </w:p>
  </w:footnote>
  <w:footnote w:id="41">
    <w:p w14:paraId="423743E1" w14:textId="773D4CBF" w:rsidR="00362FA7" w:rsidRPr="00C83576" w:rsidRDefault="00362FA7" w:rsidP="6A8D8442">
      <w:pPr>
        <w:pStyle w:val="FootnoteText"/>
      </w:pPr>
      <w:r w:rsidRPr="446A201B">
        <w:rPr>
          <w:rStyle w:val="FootnoteReference"/>
        </w:rPr>
        <w:footnoteRef/>
      </w:r>
      <w:r>
        <w:t xml:space="preserve"> Fact Sheet Intersex, Free &amp; Equal, The United Nations for LGBT Equality, available at </w:t>
      </w:r>
      <w:hyperlink r:id="rId25">
        <w:r w:rsidRPr="446A201B">
          <w:rPr>
            <w:rStyle w:val="Hyperlink"/>
          </w:rPr>
          <w:t>https://www.unfe.org/wp-content/uploads/2017/05/UNFE-Intersex.pdf</w:t>
        </w:r>
      </w:hyperlink>
      <w:r>
        <w:t xml:space="preserve"> </w:t>
      </w:r>
    </w:p>
  </w:footnote>
  <w:footnote w:id="42">
    <w:p w14:paraId="603DBE65" w14:textId="51D12067" w:rsidR="00362FA7" w:rsidRPr="00C83576" w:rsidRDefault="00362FA7" w:rsidP="446A201B">
      <w:pPr>
        <w:pStyle w:val="FootnoteText"/>
      </w:pPr>
      <w:r w:rsidRPr="446A201B">
        <w:rPr>
          <w:rStyle w:val="FootnoteReference"/>
        </w:rPr>
        <w:footnoteRef/>
      </w:r>
      <w:r>
        <w:t xml:space="preserve"> </w:t>
      </w:r>
      <w:r w:rsidRPr="446A201B">
        <w:rPr>
          <w:i/>
          <w:iCs/>
        </w:rPr>
        <w:t>Id.</w:t>
      </w:r>
      <w:r w:rsidRPr="00C83576">
        <w:t xml:space="preserve"> </w:t>
      </w:r>
      <w:r>
        <w:t xml:space="preserve">Kaiser Family Foundation (Nov. 21, 2018), </w:t>
      </w:r>
      <w:r w:rsidRPr="00DA7DE2">
        <w:rPr>
          <w:i/>
        </w:rPr>
        <w:t>available at</w:t>
      </w:r>
      <w:r>
        <w:t xml:space="preserve"> </w:t>
      </w:r>
      <w:hyperlink r:id="rId26" w:history="1">
        <w:r w:rsidRPr="00186186">
          <w:rPr>
            <w:rStyle w:val="Hyperlink"/>
          </w:rPr>
          <w:t>https://www.kff.org/womens-health-policy/issue-brief/proposed-changes-to-title-x-implications-for-women-and-family-planning-providers/</w:t>
        </w:r>
      </w:hyperlink>
      <w:r>
        <w:t>.</w:t>
      </w:r>
    </w:p>
  </w:footnote>
  <w:footnote w:id="43">
    <w:p w14:paraId="706F73EB" w14:textId="60B4893C" w:rsidR="00362FA7" w:rsidRPr="00C83576" w:rsidRDefault="00362FA7" w:rsidP="446A201B">
      <w:pPr>
        <w:pStyle w:val="FootnoteText"/>
      </w:pPr>
      <w:r w:rsidRPr="446A201B">
        <w:rPr>
          <w:rStyle w:val="FootnoteReference"/>
        </w:rPr>
        <w:footnoteRef/>
      </w:r>
      <w:r>
        <w:t xml:space="preserve"> </w:t>
      </w:r>
      <w:r w:rsidRPr="6A8D8442">
        <w:rPr>
          <w:i/>
          <w:iCs/>
        </w:rPr>
        <w:t xml:space="preserve">Id. </w:t>
      </w:r>
      <w:r w:rsidRPr="00C83576">
        <w:t xml:space="preserve"> </w:t>
      </w:r>
      <w:r>
        <w:t xml:space="preserve">Kaiser Family Foundation (Nov. 21, 2018), </w:t>
      </w:r>
      <w:r w:rsidRPr="6A8D8442">
        <w:rPr>
          <w:i/>
          <w:iCs/>
        </w:rPr>
        <w:t>available at</w:t>
      </w:r>
      <w:r>
        <w:t xml:space="preserve"> </w:t>
      </w:r>
      <w:hyperlink r:id="rId27" w:history="1">
        <w:r w:rsidRPr="00186186">
          <w:rPr>
            <w:rStyle w:val="Hyperlink"/>
          </w:rPr>
          <w:t>https://www.kff.org/womens-health-policy/issue-brief/proposed-changes-to-title-x-implications-for-women-and-family-planning-providers/</w:t>
        </w:r>
      </w:hyperlink>
      <w:r>
        <w:t>.</w:t>
      </w:r>
    </w:p>
  </w:footnote>
  <w:footnote w:id="44">
    <w:p w14:paraId="2CF0DC9C" w14:textId="56C2CDEF" w:rsidR="00362FA7" w:rsidRPr="00C83576" w:rsidRDefault="00362FA7" w:rsidP="446A201B">
      <w:pPr>
        <w:pStyle w:val="FootnoteText"/>
      </w:pPr>
      <w:r w:rsidRPr="446A201B">
        <w:rPr>
          <w:rStyle w:val="FootnoteReference"/>
        </w:rPr>
        <w:footnoteRef/>
      </w:r>
      <w:r>
        <w:t xml:space="preserve"> </w:t>
      </w:r>
      <w:r w:rsidRPr="446A201B">
        <w:rPr>
          <w:i/>
          <w:iCs/>
        </w:rPr>
        <w:t>Id.</w:t>
      </w:r>
      <w:r w:rsidRPr="00C83576">
        <w:t xml:space="preserve"> </w:t>
      </w:r>
      <w:r>
        <w:t>Laurie Sobel, et al., “Proposed Changes to Title X: Implications for Women and Family Planning Providers”</w:t>
      </w:r>
      <w:r w:rsidRPr="00C83576">
        <w:t xml:space="preserve"> </w:t>
      </w:r>
      <w:r>
        <w:t xml:space="preserve">Kaiser Family Foundation (Nov. 21, 2018), </w:t>
      </w:r>
      <w:r w:rsidRPr="00DA7DE2">
        <w:rPr>
          <w:i/>
        </w:rPr>
        <w:t>available at</w:t>
      </w:r>
      <w:r>
        <w:t xml:space="preserve"> </w:t>
      </w:r>
      <w:hyperlink r:id="rId28" w:history="1">
        <w:r w:rsidRPr="00186186">
          <w:rPr>
            <w:rStyle w:val="Hyperlink"/>
          </w:rPr>
          <w:t>https://www.kff.org/womens-health-policy/issue-brief/proposed-changes-to-title-x-implications-for-women-and-family-planning-providers/</w:t>
        </w:r>
      </w:hyperlink>
      <w:r>
        <w:t>.</w:t>
      </w:r>
    </w:p>
  </w:footnote>
  <w:footnote w:id="45">
    <w:p w14:paraId="43B0AB62" w14:textId="6CC838CF" w:rsidR="00362FA7" w:rsidRPr="00C83576" w:rsidRDefault="00362FA7" w:rsidP="446A201B">
      <w:pPr>
        <w:pStyle w:val="FootnoteText"/>
      </w:pPr>
      <w:r w:rsidRPr="446A201B">
        <w:rPr>
          <w:rStyle w:val="FootnoteReference"/>
        </w:rPr>
        <w:footnoteRef/>
      </w:r>
      <w:r w:rsidRPr="446A201B">
        <w:rPr>
          <w:i/>
          <w:iCs/>
        </w:rPr>
        <w:t>Intersex Children</w:t>
      </w:r>
      <w:r w:rsidRPr="446A201B">
        <w:t xml:space="preserve">, Human Rights Watch, available at </w:t>
      </w:r>
      <w:hyperlink r:id="rId29">
        <w:r w:rsidRPr="446A201B">
          <w:rPr>
            <w:rStyle w:val="Hyperlink"/>
          </w:rPr>
          <w:t>https://www.hrw.org/topic/childrens-rights/intersex-children</w:t>
        </w:r>
      </w:hyperlink>
      <w:r w:rsidRPr="446A201B">
        <w:t xml:space="preserve">#  </w:t>
      </w:r>
      <w:r w:rsidRPr="00C83576">
        <w:t xml:space="preserve"> New York Abortion Access Fund, </w:t>
      </w:r>
      <w:r w:rsidRPr="00C83576">
        <w:rPr>
          <w:i/>
        </w:rPr>
        <w:t>About</w:t>
      </w:r>
      <w:r w:rsidRPr="00C83576">
        <w:t xml:space="preserve"> (</w:t>
      </w:r>
      <w:r>
        <w:t>n.d.</w:t>
      </w:r>
      <w:r w:rsidRPr="00C83576">
        <w:t xml:space="preserve">), </w:t>
      </w:r>
      <w:r w:rsidRPr="00C83576">
        <w:rPr>
          <w:i/>
        </w:rPr>
        <w:t>available at</w:t>
      </w:r>
      <w:r w:rsidRPr="00C83576">
        <w:t xml:space="preserve"> </w:t>
      </w:r>
      <w:hyperlink r:id="rId30" w:history="1">
        <w:r w:rsidRPr="00186186">
          <w:rPr>
            <w:rStyle w:val="Hyperlink"/>
          </w:rPr>
          <w:t>https://www.nyaaf.org/about/</w:t>
        </w:r>
      </w:hyperlink>
      <w:r>
        <w:t xml:space="preserve">. </w:t>
      </w:r>
    </w:p>
  </w:footnote>
  <w:footnote w:id="46">
    <w:p w14:paraId="18496D12" w14:textId="4456F362" w:rsidR="00362FA7" w:rsidRDefault="00362FA7" w:rsidP="446A201B">
      <w:pPr>
        <w:pStyle w:val="FootnoteText"/>
      </w:pPr>
      <w:r w:rsidRPr="446A201B">
        <w:rPr>
          <w:rStyle w:val="FootnoteReference"/>
        </w:rPr>
        <w:footnoteRef/>
      </w:r>
      <w:r>
        <w:t xml:space="preserve">Fact Sheet Intersex, Free &amp; Equal, The United Nations for LGBT Equality, available at </w:t>
      </w:r>
      <w:hyperlink r:id="rId31">
        <w:r w:rsidRPr="6A8D8442">
          <w:rPr>
            <w:rStyle w:val="Hyperlink"/>
          </w:rPr>
          <w:t>https://www.unfe.org/wp-content/uploads/2017/05/UNFE-Intersex.pdf</w:t>
        </w:r>
      </w:hyperlink>
      <w:r>
        <w:t xml:space="preserve"> </w:t>
      </w:r>
    </w:p>
  </w:footnote>
  <w:footnote w:id="47">
    <w:p w14:paraId="1E136862" w14:textId="505D37E8" w:rsidR="00362FA7" w:rsidRDefault="00362FA7" w:rsidP="65673E0D">
      <w:pPr>
        <w:pStyle w:val="FootnoteText"/>
      </w:pPr>
      <w:r w:rsidRPr="65673E0D">
        <w:rPr>
          <w:rStyle w:val="FootnoteReference"/>
        </w:rPr>
        <w:footnoteRef/>
      </w:r>
      <w:r>
        <w:t xml:space="preserve"> Human Rights Watch, </w:t>
      </w:r>
      <w:r w:rsidRPr="65673E0D">
        <w:rPr>
          <w:i/>
          <w:iCs/>
        </w:rPr>
        <w:t>“I Want to Be Like Nature Made Me”: Medically Unnecessary Surgeries on Intersex Children in the US</w:t>
      </w:r>
      <w:r>
        <w:t xml:space="preserve">, available at </w:t>
      </w:r>
      <w:hyperlink r:id="rId32">
        <w:r w:rsidRPr="65673E0D">
          <w:rPr>
            <w:rStyle w:val="Hyperlink"/>
          </w:rPr>
          <w:t>https://www.hrw.org/report/2017/07/25/i-want-be-nature-made-me/medically-unnecessary-surgeries-intersex-children-us</w:t>
        </w:r>
      </w:hyperlink>
      <w:r>
        <w:t xml:space="preserve"> </w:t>
      </w:r>
    </w:p>
  </w:footnote>
  <w:footnote w:id="48">
    <w:p w14:paraId="01D94074" w14:textId="2A44035C" w:rsidR="00362FA7" w:rsidRDefault="00362FA7" w:rsidP="65673E0D">
      <w:pPr>
        <w:pStyle w:val="FootnoteText"/>
      </w:pPr>
      <w:r w:rsidRPr="65673E0D">
        <w:rPr>
          <w:rStyle w:val="FootnoteReference"/>
        </w:rPr>
        <w:footnoteRef/>
      </w:r>
      <w:r>
        <w:t xml:space="preserve"> Carrie Battan, </w:t>
      </w:r>
      <w:r w:rsidRPr="65673E0D">
        <w:rPr>
          <w:i/>
          <w:iCs/>
        </w:rPr>
        <w:t>Leading Cornell Doctor Performing Genital Cutting</w:t>
      </w:r>
      <w:r>
        <w:t xml:space="preserve">, The Nation, June 21, 2020, available at </w:t>
      </w:r>
      <w:hyperlink r:id="rId33">
        <w:r w:rsidRPr="65673E0D">
          <w:rPr>
            <w:rStyle w:val="Hyperlink"/>
          </w:rPr>
          <w:t>https://www.thenation.com/article/archive/leading-cornell-doctor-performing-genital-cutting/</w:t>
        </w:r>
      </w:hyperlink>
      <w:r>
        <w:t xml:space="preserve"> &amp; Jael Goldfine, </w:t>
      </w:r>
      <w:r w:rsidRPr="65673E0D">
        <w:rPr>
          <w:i/>
          <w:iCs/>
        </w:rPr>
        <w:t>Intersex Activists Marched in NYC to #EndIntersexSurgery</w:t>
      </w:r>
      <w:r>
        <w:t xml:space="preserve">, Paper, October 29, 2018, available at </w:t>
      </w:r>
      <w:hyperlink r:id="rId34" w:anchor="rebelltitem20">
        <w:r w:rsidRPr="65673E0D">
          <w:rPr>
            <w:rStyle w:val="Hyperlink"/>
          </w:rPr>
          <w:t>https://www.papermag.com/end-intersex-surgery-2616342004.html?rebelltitem=20#rebelltitem20</w:t>
        </w:r>
      </w:hyperlink>
      <w:r>
        <w:t xml:space="preserve"> </w:t>
      </w:r>
    </w:p>
  </w:footnote>
  <w:footnote w:id="49">
    <w:p w14:paraId="524BE4B0" w14:textId="1B3CCAB0" w:rsidR="00362FA7" w:rsidRPr="00091683" w:rsidRDefault="00362FA7" w:rsidP="65673E0D">
      <w:pPr>
        <w:pStyle w:val="FootnoteText"/>
      </w:pPr>
      <w:r w:rsidRPr="65673E0D">
        <w:rPr>
          <w:rStyle w:val="FootnoteReference"/>
        </w:rPr>
        <w:footnoteRef/>
      </w:r>
      <w:r>
        <w:t xml:space="preserve"> Nora Neus, </w:t>
      </w:r>
      <w:r w:rsidRPr="65673E0D">
        <w:rPr>
          <w:i/>
          <w:iCs/>
        </w:rPr>
        <w:t>Bill proposed by NY state senator would ban medically unnecessary surgeries on intersex children</w:t>
      </w:r>
      <w:r>
        <w:t xml:space="preserve">, CNN, November 8, 2019, available at </w:t>
      </w:r>
      <w:hyperlink r:id="rId35">
        <w:r w:rsidRPr="65673E0D">
          <w:rPr>
            <w:rStyle w:val="Hyperlink"/>
          </w:rPr>
          <w:t>https://www.cnn.com/2019/11/08/health/ny-bill-bans-intersex-surgery-children/index.html</w:t>
        </w:r>
      </w:hyperlink>
      <w:r>
        <w:t xml:space="preserve">; Muri Assuncāo, </w:t>
      </w:r>
      <w:r w:rsidRPr="65673E0D">
        <w:rPr>
          <w:i/>
          <w:iCs/>
        </w:rPr>
        <w:t>Chicago hospital apologizes for performing genital surgery on intersex infants: ‘Approach was harmful and wrong’</w:t>
      </w:r>
      <w:r>
        <w:t xml:space="preserve">, The NY Daily News, August 1, 2020, available at </w:t>
      </w:r>
      <w:hyperlink r:id="rId36">
        <w:r w:rsidRPr="65673E0D">
          <w:rPr>
            <w:rStyle w:val="Hyperlink"/>
          </w:rPr>
          <w:t>https://www.nydailynews.com/news/national/ny-chicago-hospital-apologizes-genital-surgery-intersex-infants-20200801-ixm75peugfh2jolunx5exfztmu-story.html</w:t>
        </w:r>
      </w:hyperlink>
      <w:r>
        <w:t xml:space="preserve">; &amp; Shefali Luthra, </w:t>
      </w:r>
      <w:r w:rsidRPr="65673E0D">
        <w:rPr>
          <w:i/>
          <w:iCs/>
        </w:rPr>
        <w:t xml:space="preserve">Boston Children’s Hospital will no longer </w:t>
      </w:r>
      <w:r w:rsidRPr="00091683">
        <w:rPr>
          <w:i/>
          <w:iCs/>
        </w:rPr>
        <w:t>perform two types of intersex surgery on children</w:t>
      </w:r>
      <w:r w:rsidRPr="00091683">
        <w:t xml:space="preserve">, the 19th, October 21, 2020, available at </w:t>
      </w:r>
      <w:hyperlink r:id="rId37">
        <w:r w:rsidRPr="00091683">
          <w:rPr>
            <w:rStyle w:val="Hyperlink"/>
          </w:rPr>
          <w:t>https://19thnews.org/2020/10/boston-childrens-hospital-will-no-longer-perform-two-types-of-intersex-surgery-on-children/?utm_source=STAT+Newsletters&amp;utm_campaign=2304913877-MR_COPY_01&amp;utm_medium=email&amp;utm_term=0_8cab1d7961-2304913877-151778981</w:t>
        </w:r>
      </w:hyperlink>
      <w:r w:rsidRPr="00091683">
        <w:t xml:space="preserve">  </w:t>
      </w:r>
    </w:p>
  </w:footnote>
  <w:footnote w:id="50">
    <w:p w14:paraId="6B9C2010" w14:textId="5B697C4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Female Genital Mutilation: Key Facts</w:t>
      </w:r>
      <w:r w:rsidRPr="00091683">
        <w:rPr>
          <w:rFonts w:ascii="Times New Roman" w:hAnsi="Times New Roman"/>
        </w:rPr>
        <w:t xml:space="preserve"> (Jan. 31, 2018), </w:t>
      </w:r>
      <w:r w:rsidRPr="00091683">
        <w:rPr>
          <w:rFonts w:ascii="Times New Roman" w:hAnsi="Times New Roman"/>
          <w:i/>
          <w:iCs/>
        </w:rPr>
        <w:t>available at</w:t>
      </w:r>
      <w:r w:rsidRPr="00091683">
        <w:rPr>
          <w:rFonts w:ascii="Times New Roman" w:hAnsi="Times New Roman"/>
        </w:rPr>
        <w:t xml:space="preserve"> </w:t>
      </w:r>
      <w:hyperlink r:id="rId38">
        <w:r w:rsidRPr="00091683">
          <w:rPr>
            <w:rStyle w:val="Hyperlink"/>
            <w:rFonts w:ascii="Times New Roman" w:hAnsi="Times New Roman"/>
          </w:rPr>
          <w:t>http://www.who.int/news-room/fact-sheets/detail/female-genital-mutilation</w:t>
        </w:r>
      </w:hyperlink>
      <w:r w:rsidRPr="00091683">
        <w:rPr>
          <w:rFonts w:ascii="Times New Roman" w:hAnsi="Times New Roman"/>
        </w:rPr>
        <w:t xml:space="preserve">. </w:t>
      </w:r>
    </w:p>
  </w:footnote>
  <w:footnote w:id="51">
    <w:p w14:paraId="279975B3" w14:textId="4169506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The United Nations Children Fund reports that FGC is found in countries beyond those listed in many guides and the 29 that the United Nations covers, and the total worldwide number is unknown. United Nations Children’s Fund (hereinafter UNICEF), </w:t>
      </w:r>
      <w:r w:rsidRPr="00091683">
        <w:rPr>
          <w:rFonts w:ascii="Times New Roman" w:hAnsi="Times New Roman"/>
          <w:i/>
          <w:iCs/>
        </w:rPr>
        <w:t>Female Genital Mutilation/Cutting: A Statistical Overview and Exploration of the Dynamics of Change</w:t>
      </w:r>
      <w:r w:rsidRPr="00091683">
        <w:rPr>
          <w:rFonts w:ascii="Times New Roman" w:hAnsi="Times New Roman"/>
        </w:rPr>
        <w:t xml:space="preserve"> (2013), </w:t>
      </w:r>
      <w:r w:rsidRPr="00091683">
        <w:rPr>
          <w:rFonts w:ascii="Times New Roman" w:hAnsi="Times New Roman"/>
          <w:i/>
          <w:iCs/>
        </w:rPr>
        <w:t>available at</w:t>
      </w:r>
      <w:r w:rsidRPr="00091683">
        <w:rPr>
          <w:rFonts w:ascii="Times New Roman" w:hAnsi="Times New Roman"/>
        </w:rPr>
        <w:t xml:space="preserve"> </w:t>
      </w:r>
      <w:hyperlink r:id="rId39">
        <w:r w:rsidRPr="00091683">
          <w:rPr>
            <w:rStyle w:val="Hyperlink"/>
            <w:rFonts w:ascii="Times New Roman" w:hAnsi="Times New Roman"/>
          </w:rPr>
          <w:t>https://data.unicef.org/resources/female-genital-mutilationcutting-statistical-overview-exploration-dynamics-change/</w:t>
        </w:r>
      </w:hyperlink>
      <w:r w:rsidRPr="00091683">
        <w:rPr>
          <w:rFonts w:ascii="Times New Roman" w:hAnsi="Times New Roman"/>
        </w:rPr>
        <w:t xml:space="preserve">; WHO, </w:t>
      </w:r>
      <w:r w:rsidRPr="003B233A">
        <w:rPr>
          <w:rFonts w:ascii="Times New Roman" w:hAnsi="Times New Roman"/>
          <w:i/>
          <w:iCs/>
        </w:rPr>
        <w:t xml:space="preserve">Supra </w:t>
      </w:r>
      <w:r w:rsidRPr="003B233A">
        <w:rPr>
          <w:rFonts w:ascii="Times New Roman" w:hAnsi="Times New Roman"/>
        </w:rPr>
        <w:t xml:space="preserve">note 49; </w:t>
      </w:r>
      <w:r w:rsidRPr="003B233A">
        <w:rPr>
          <w:rFonts w:ascii="Times New Roman" w:hAnsi="Times New Roman"/>
          <w:i/>
          <w:iCs/>
        </w:rPr>
        <w:t xml:space="preserve">See </w:t>
      </w:r>
      <w:r w:rsidRPr="003B233A">
        <w:rPr>
          <w:rFonts w:ascii="Times New Roman" w:hAnsi="Times New Roman"/>
        </w:rPr>
        <w:t xml:space="preserve">Owolabi Bjälkander, Donald S. Grant, Vanja Berggren, Heli Bathija &amp; Lars Almroth, </w:t>
      </w:r>
      <w:r w:rsidRPr="003B233A">
        <w:rPr>
          <w:rFonts w:ascii="Times New Roman" w:hAnsi="Times New Roman"/>
          <w:i/>
          <w:iCs/>
        </w:rPr>
        <w:t>Female Genital Mutilation in Sierra Leone: Forms, Reliability of Reported Status, and Accuracy of Related Demographic and Health Survey</w:t>
      </w:r>
      <w:r w:rsidRPr="00091683">
        <w:rPr>
          <w:rFonts w:ascii="Times New Roman" w:hAnsi="Times New Roman"/>
          <w:i/>
          <w:iCs/>
        </w:rPr>
        <w:t xml:space="preserve"> Questions</w:t>
      </w:r>
      <w:r w:rsidRPr="00091683">
        <w:rPr>
          <w:rFonts w:ascii="Times New Roman" w:hAnsi="Times New Roman"/>
        </w:rPr>
        <w:t xml:space="preserve">, 2013(1) </w:t>
      </w:r>
      <w:r w:rsidRPr="00091683">
        <w:rPr>
          <w:rFonts w:ascii="Times New Roman" w:hAnsi="Times New Roman"/>
          <w:smallCaps/>
        </w:rPr>
        <w:t>Obstetrics and Gyn Intl</w:t>
      </w:r>
      <w:r w:rsidRPr="00091683">
        <w:rPr>
          <w:rFonts w:ascii="Times New Roman" w:hAnsi="Times New Roman"/>
        </w:rPr>
        <w:t xml:space="preserve"> 1–14 (2013), </w:t>
      </w:r>
      <w:r w:rsidRPr="00091683">
        <w:rPr>
          <w:rFonts w:ascii="Times New Roman" w:hAnsi="Times New Roman"/>
          <w:i/>
          <w:iCs/>
        </w:rPr>
        <w:t>available at</w:t>
      </w:r>
      <w:r w:rsidRPr="00091683">
        <w:rPr>
          <w:rFonts w:ascii="Times New Roman" w:hAnsi="Times New Roman"/>
        </w:rPr>
        <w:t xml:space="preserve"> </w:t>
      </w:r>
      <w:hyperlink r:id="rId40" w:history="1">
        <w:r w:rsidR="00B24C1E" w:rsidRPr="00F61FCB">
          <w:rPr>
            <w:rStyle w:val="Hyperlink"/>
            <w:rFonts w:ascii="Times New Roman" w:hAnsi="Times New Roman"/>
          </w:rPr>
          <w:t>https://www.hindawi.com/journals/ogi/2013/680926/</w:t>
        </w:r>
      </w:hyperlink>
      <w:r w:rsidRPr="00091683">
        <w:rPr>
          <w:rFonts w:ascii="Times New Roman" w:hAnsi="Times New Roman"/>
        </w:rPr>
        <w:t>.</w:t>
      </w:r>
      <w:r w:rsidR="00B24C1E">
        <w:rPr>
          <w:rFonts w:ascii="Times New Roman" w:hAnsi="Times New Roman"/>
        </w:rPr>
        <w:t xml:space="preserve"> </w:t>
      </w:r>
    </w:p>
  </w:footnote>
  <w:footnote w:id="52">
    <w:p w14:paraId="308E2863" w14:textId="1B934C7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Population Reference Bureau (hereinafter 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41">
        <w:r w:rsidRPr="00091683">
          <w:rPr>
            <w:rStyle w:val="Hyperlink"/>
            <w:rFonts w:ascii="Times New Roman" w:hAnsi="Times New Roman"/>
          </w:rPr>
          <w:t>https://www.prb.org/infographic-fgm/</w:t>
        </w:r>
      </w:hyperlink>
      <w:r w:rsidRPr="00091683">
        <w:rPr>
          <w:rFonts w:ascii="Times New Roman" w:hAnsi="Times New Roman"/>
        </w:rPr>
        <w:t xml:space="preserve">. </w:t>
      </w:r>
    </w:p>
  </w:footnote>
  <w:footnote w:id="53">
    <w:p w14:paraId="584183B3" w14:textId="732B24BC"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 xml:space="preserve">Care of Girls &amp; Women Living with Female Genital Mutilation: A Clinical Handbook </w:t>
      </w:r>
      <w:r w:rsidRPr="00091683">
        <w:rPr>
          <w:rFonts w:ascii="Times New Roman" w:hAnsi="Times New Roman"/>
        </w:rPr>
        <w:t xml:space="preserve">(2018), 16-7, </w:t>
      </w:r>
      <w:r w:rsidRPr="00091683">
        <w:rPr>
          <w:rFonts w:ascii="Times New Roman" w:hAnsi="Times New Roman"/>
          <w:i/>
          <w:iCs/>
        </w:rPr>
        <w:t>available at</w:t>
      </w:r>
      <w:r w:rsidRPr="00091683">
        <w:rPr>
          <w:rFonts w:ascii="Times New Roman" w:hAnsi="Times New Roman"/>
        </w:rPr>
        <w:t xml:space="preserve"> </w:t>
      </w:r>
      <w:hyperlink r:id="rId42">
        <w:r w:rsidRPr="00091683">
          <w:rPr>
            <w:rStyle w:val="Hyperlink"/>
            <w:rFonts w:ascii="Times New Roman" w:hAnsi="Times New Roman"/>
          </w:rPr>
          <w:t>http://apps.who.int/iris/bitstream/handle/10665/272429/9789241513913-eng.pdf?ua=1</w:t>
        </w:r>
      </w:hyperlink>
      <w:r w:rsidRPr="00091683">
        <w:rPr>
          <w:rFonts w:ascii="Times New Roman" w:hAnsi="Times New Roman"/>
        </w:rPr>
        <w:t xml:space="preserve">. </w:t>
      </w:r>
    </w:p>
  </w:footnote>
  <w:footnote w:id="54">
    <w:p w14:paraId="64BD44CF" w14:textId="5A1FBEE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iCs/>
        </w:rPr>
        <w:t xml:space="preserve">See, e.g., </w:t>
      </w:r>
      <w:r w:rsidRPr="00091683">
        <w:rPr>
          <w:rFonts w:ascii="Times New Roman" w:hAnsi="Times New Roman"/>
        </w:rPr>
        <w:t xml:space="preserve">Human Rights Watch, </w:t>
      </w:r>
      <w:r w:rsidRPr="00091683">
        <w:rPr>
          <w:rFonts w:ascii="Times New Roman" w:hAnsi="Times New Roman"/>
          <w:i/>
          <w:iCs/>
        </w:rPr>
        <w:t>They Took Me and Told Me Nothing: Female Genital Mutilation in Iraqi Kurdistan</w:t>
      </w:r>
      <w:r w:rsidRPr="00091683">
        <w:rPr>
          <w:rFonts w:ascii="Times New Roman" w:hAnsi="Times New Roman"/>
        </w:rPr>
        <w:t xml:space="preserve"> (2010), 1, 8, </w:t>
      </w:r>
      <w:r w:rsidRPr="00091683">
        <w:rPr>
          <w:rFonts w:ascii="Times New Roman" w:hAnsi="Times New Roman"/>
          <w:i/>
          <w:iCs/>
        </w:rPr>
        <w:t>available at</w:t>
      </w:r>
      <w:r w:rsidRPr="00091683">
        <w:rPr>
          <w:rFonts w:ascii="Times New Roman" w:hAnsi="Times New Roman"/>
        </w:rPr>
        <w:t xml:space="preserve"> </w:t>
      </w:r>
      <w:hyperlink r:id="rId43">
        <w:r w:rsidRPr="00091683">
          <w:rPr>
            <w:rStyle w:val="Hyperlink"/>
            <w:rFonts w:ascii="Times New Roman" w:hAnsi="Times New Roman"/>
          </w:rPr>
          <w:t>https://www.lawschool.cornell.edu/womenandjustice/upload/They-Took-Me-and-Told-Me-Nothing.pdf</w:t>
        </w:r>
      </w:hyperlink>
      <w:r w:rsidRPr="00091683">
        <w:rPr>
          <w:rFonts w:ascii="Times New Roman" w:hAnsi="Times New Roman"/>
        </w:rPr>
        <w:t xml:space="preserve"> (describing several international treaties, including a Convention of the Elimination of All Forms of Discrimination, or CEDAW, Committee decision in 1990 calling on all states to eradicate FGC).</w:t>
      </w:r>
    </w:p>
  </w:footnote>
  <w:footnote w:id="55">
    <w:p w14:paraId="69F7498C" w14:textId="7B83E1BA" w:rsidR="00362FA7"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UNICEF, </w:t>
      </w:r>
      <w:r w:rsidRPr="00091683">
        <w:rPr>
          <w:rFonts w:ascii="Times New Roman" w:hAnsi="Times New Roman"/>
          <w:i/>
          <w:iCs/>
        </w:rPr>
        <w:t>Female Genital Mutilation/Cutting: A Statistical Overview and Exploration of the Dynamics of Change</w:t>
      </w:r>
      <w:r w:rsidRPr="00091683">
        <w:rPr>
          <w:rFonts w:ascii="Times New Roman" w:hAnsi="Times New Roman"/>
        </w:rPr>
        <w:t xml:space="preserve"> (2013), </w:t>
      </w:r>
      <w:r w:rsidRPr="00091683">
        <w:rPr>
          <w:rFonts w:ascii="Times New Roman" w:hAnsi="Times New Roman"/>
          <w:i/>
          <w:iCs/>
        </w:rPr>
        <w:t>available at</w:t>
      </w:r>
      <w:r w:rsidRPr="00091683">
        <w:rPr>
          <w:rFonts w:ascii="Times New Roman" w:hAnsi="Times New Roman"/>
        </w:rPr>
        <w:t xml:space="preserve"> </w:t>
      </w:r>
      <w:hyperlink r:id="rId44">
        <w:r w:rsidRPr="00091683">
          <w:rPr>
            <w:rStyle w:val="Hyperlink"/>
            <w:rFonts w:ascii="Times New Roman" w:hAnsi="Times New Roman"/>
          </w:rPr>
          <w:t>https://data.unicef.org/resources/female-genital-mutilationcutting-statistical-overview-exploration-dynamics-change/</w:t>
        </w:r>
      </w:hyperlink>
      <w:r w:rsidRPr="00091683">
        <w:rPr>
          <w:rFonts w:ascii="Times New Roman" w:hAnsi="Times New Roman"/>
        </w:rPr>
        <w:t xml:space="preserve">; WHO, Reproductive Health Indicators for Global Monitoring, </w:t>
      </w:r>
      <w:r w:rsidRPr="00091683">
        <w:rPr>
          <w:rFonts w:ascii="Times New Roman" w:hAnsi="Times New Roman"/>
          <w:i/>
          <w:iCs/>
        </w:rPr>
        <w:t>WHO Second Interagency Meeting</w:t>
      </w:r>
      <w:r w:rsidRPr="00091683">
        <w:rPr>
          <w:rFonts w:ascii="Times New Roman" w:hAnsi="Times New Roman"/>
        </w:rPr>
        <w:t xml:space="preserve">, Geneva, Switz., 20-23 (July 17-19, 2000), </w:t>
      </w:r>
      <w:r w:rsidRPr="00091683">
        <w:rPr>
          <w:rFonts w:ascii="Times New Roman" w:hAnsi="Times New Roman"/>
          <w:i/>
          <w:iCs/>
        </w:rPr>
        <w:t>available at</w:t>
      </w:r>
      <w:r w:rsidRPr="00091683">
        <w:rPr>
          <w:rFonts w:ascii="Times New Roman" w:hAnsi="Times New Roman"/>
        </w:rPr>
        <w:t xml:space="preserve"> </w:t>
      </w:r>
      <w:hyperlink r:id="rId45">
        <w:r w:rsidRPr="00091683">
          <w:rPr>
            <w:rStyle w:val="Hyperlink"/>
            <w:rFonts w:ascii="Times New Roman" w:hAnsi="Times New Roman"/>
          </w:rPr>
          <w:t>http://whqlibdoc.who.int/hq/2001/WHO_RHR_01.19.pdf</w:t>
        </w:r>
      </w:hyperlink>
      <w:r w:rsidRPr="00091683">
        <w:rPr>
          <w:rFonts w:ascii="Times New Roman" w:hAnsi="Times New Roman"/>
        </w:rPr>
        <w:t>.</w:t>
      </w:r>
    </w:p>
  </w:footnote>
  <w:footnote w:id="56">
    <w:p w14:paraId="71817E90" w14:textId="38DD405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Reproductive Health Indicators for Global Monitoring</w:t>
      </w:r>
      <w:r w:rsidRPr="00091683">
        <w:rPr>
          <w:rFonts w:ascii="Times New Roman" w:hAnsi="Times New Roman"/>
        </w:rPr>
        <w:t xml:space="preserve">, WHO Second Interagency Meeting, Geneva, Switz., 20-23 (July 17-19, 2000), </w:t>
      </w:r>
      <w:r w:rsidRPr="00091683">
        <w:rPr>
          <w:rFonts w:ascii="Times New Roman" w:hAnsi="Times New Roman"/>
          <w:i/>
          <w:iCs/>
        </w:rPr>
        <w:t>available at</w:t>
      </w:r>
      <w:r w:rsidRPr="00091683">
        <w:rPr>
          <w:rFonts w:ascii="Times New Roman" w:hAnsi="Times New Roman"/>
        </w:rPr>
        <w:t xml:space="preserve"> </w:t>
      </w:r>
      <w:hyperlink r:id="rId46">
        <w:r w:rsidRPr="00091683">
          <w:rPr>
            <w:rStyle w:val="Hyperlink"/>
            <w:rFonts w:ascii="Times New Roman" w:hAnsi="Times New Roman"/>
          </w:rPr>
          <w:t>http://whqlibdoc.who.int/hq/2001/WHO_RHR_01.19.pdf</w:t>
        </w:r>
      </w:hyperlink>
      <w:r w:rsidRPr="00091683">
        <w:rPr>
          <w:rFonts w:ascii="Times New Roman" w:hAnsi="Times New Roman"/>
        </w:rPr>
        <w:t xml:space="preserve">. </w:t>
      </w:r>
    </w:p>
  </w:footnote>
  <w:footnote w:id="57">
    <w:p w14:paraId="2369670E" w14:textId="1F98FEA3"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Reproductive Health Indicators for Global Monitoring</w:t>
      </w:r>
      <w:r w:rsidRPr="00091683">
        <w:rPr>
          <w:rFonts w:ascii="Times New Roman" w:hAnsi="Times New Roman"/>
        </w:rPr>
        <w:t xml:space="preserve">, WHO Second Interagency Meeting, Geneva, Switz., 20-23 (July 17-19, 2000), </w:t>
      </w:r>
      <w:r w:rsidRPr="00091683">
        <w:rPr>
          <w:rFonts w:ascii="Times New Roman" w:hAnsi="Times New Roman"/>
          <w:i/>
          <w:iCs/>
        </w:rPr>
        <w:t>available at</w:t>
      </w:r>
      <w:r w:rsidRPr="00091683">
        <w:rPr>
          <w:rFonts w:ascii="Times New Roman" w:hAnsi="Times New Roman"/>
        </w:rPr>
        <w:t xml:space="preserve"> </w:t>
      </w:r>
      <w:hyperlink r:id="rId47">
        <w:r w:rsidRPr="00091683">
          <w:rPr>
            <w:rStyle w:val="Hyperlink"/>
            <w:rFonts w:ascii="Times New Roman" w:hAnsi="Times New Roman"/>
          </w:rPr>
          <w:t>http://whqlibdoc.who.int/hq/2001/WHO_RHR_01.19.pdf</w:t>
        </w:r>
      </w:hyperlink>
      <w:r w:rsidRPr="00091683">
        <w:rPr>
          <w:rFonts w:ascii="Times New Roman" w:hAnsi="Times New Roman"/>
        </w:rPr>
        <w:t>.</w:t>
      </w:r>
    </w:p>
  </w:footnote>
  <w:footnote w:id="58">
    <w:p w14:paraId="5B8BBEAC" w14:textId="3051132B"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48"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 xml:space="preserve">; Equality Now, </w:t>
      </w:r>
      <w:r w:rsidRPr="00091683">
        <w:rPr>
          <w:rFonts w:ascii="Times New Roman" w:hAnsi="Times New Roman"/>
          <w:i/>
          <w:iCs/>
        </w:rPr>
        <w:t>End FGM</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49">
        <w:r w:rsidRPr="00091683">
          <w:rPr>
            <w:rStyle w:val="Hyperlink"/>
            <w:rFonts w:ascii="Times New Roman" w:hAnsi="Times New Roman"/>
          </w:rPr>
          <w:t>https://www.equalitynow.org/end_fgm?locale=en</w:t>
        </w:r>
      </w:hyperlink>
      <w:r w:rsidRPr="00091683">
        <w:rPr>
          <w:rFonts w:ascii="Times New Roman" w:hAnsi="Times New Roman"/>
        </w:rPr>
        <w:t xml:space="preserve">. </w:t>
      </w:r>
    </w:p>
  </w:footnote>
  <w:footnote w:id="59">
    <w:p w14:paraId="7239D7F5" w14:textId="34AB098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50"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w:t>
      </w:r>
    </w:p>
  </w:footnote>
  <w:footnote w:id="60">
    <w:p w14:paraId="06A811AC" w14:textId="5196023F"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51"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w:t>
      </w:r>
    </w:p>
  </w:footnote>
  <w:footnote w:id="61">
    <w:p w14:paraId="7F405F9A" w14:textId="67997D9A" w:rsidR="00362FA7"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The United Nations Population Fund (hereinafter UNFPA), </w:t>
      </w:r>
      <w:r w:rsidRPr="00091683">
        <w:rPr>
          <w:rFonts w:ascii="Times New Roman" w:hAnsi="Times New Roman"/>
          <w:i/>
          <w:iCs/>
        </w:rPr>
        <w:t>Female Genital Mutilation (FGM) - Frequently Asked Questions</w:t>
      </w:r>
      <w:r w:rsidRPr="00091683">
        <w:rPr>
          <w:rFonts w:ascii="Times New Roman" w:hAnsi="Times New Roman"/>
        </w:rPr>
        <w:t xml:space="preserve"> (Feb. 2018), </w:t>
      </w:r>
      <w:r w:rsidRPr="00091683">
        <w:rPr>
          <w:rFonts w:ascii="Times New Roman" w:hAnsi="Times New Roman"/>
          <w:i/>
          <w:iCs/>
        </w:rPr>
        <w:t>available at</w:t>
      </w:r>
      <w:r w:rsidRPr="00091683">
        <w:rPr>
          <w:rFonts w:ascii="Times New Roman" w:hAnsi="Times New Roman"/>
        </w:rPr>
        <w:t xml:space="preserve"> </w:t>
      </w:r>
      <w:hyperlink r:id="rId52">
        <w:r w:rsidRPr="00091683">
          <w:rPr>
            <w:rStyle w:val="Hyperlink"/>
            <w:rFonts w:ascii="Times New Roman" w:hAnsi="Times New Roman"/>
          </w:rPr>
          <w:t>https://www.unfpa.org/resources/female-genital-mutilation-fgm-frequently-asked-questions</w:t>
        </w:r>
      </w:hyperlink>
      <w:r w:rsidRPr="00091683">
        <w:rPr>
          <w:rFonts w:ascii="Times New Roman" w:hAnsi="Times New Roman"/>
        </w:rPr>
        <w:t xml:space="preserve">. </w:t>
      </w:r>
    </w:p>
  </w:footnote>
  <w:footnote w:id="62">
    <w:p w14:paraId="709D428F" w14:textId="054111B8"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UNFPA, </w:t>
      </w:r>
      <w:r w:rsidRPr="00091683">
        <w:rPr>
          <w:rFonts w:ascii="Times New Roman" w:hAnsi="Times New Roman"/>
          <w:i/>
          <w:iCs/>
        </w:rPr>
        <w:t>UNFPA-UNICEF Joint Programme to Eliminate Female Genital Mutilation</w:t>
      </w:r>
      <w:r w:rsidRPr="00091683">
        <w:rPr>
          <w:rFonts w:ascii="Times New Roman" w:hAnsi="Times New Roman"/>
        </w:rPr>
        <w:t xml:space="preserve"> (Feb. 6, 2018), </w:t>
      </w:r>
      <w:r w:rsidRPr="00091683">
        <w:rPr>
          <w:rFonts w:ascii="Times New Roman" w:hAnsi="Times New Roman"/>
          <w:i/>
          <w:iCs/>
        </w:rPr>
        <w:t>available at</w:t>
      </w:r>
      <w:r w:rsidRPr="00091683">
        <w:rPr>
          <w:rFonts w:ascii="Times New Roman" w:hAnsi="Times New Roman"/>
        </w:rPr>
        <w:t xml:space="preserve"> </w:t>
      </w:r>
      <w:hyperlink r:id="rId53">
        <w:r w:rsidRPr="00091683">
          <w:rPr>
            <w:rStyle w:val="Hyperlink"/>
            <w:rFonts w:ascii="Times New Roman" w:hAnsi="Times New Roman"/>
          </w:rPr>
          <w:t>https://www.unfpa.org/unfpa-unicef-joint-programme-eliminate-female-genital-mutilation</w:t>
        </w:r>
      </w:hyperlink>
      <w:r w:rsidRPr="00091683">
        <w:rPr>
          <w:rFonts w:ascii="Times New Roman" w:hAnsi="Times New Roman"/>
        </w:rPr>
        <w:t xml:space="preserve">.  </w:t>
      </w:r>
    </w:p>
  </w:footnote>
  <w:footnote w:id="63">
    <w:p w14:paraId="149ADFC1" w14:textId="6E896CC8"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Samantha Allen, </w:t>
      </w:r>
      <w:r w:rsidRPr="00091683">
        <w:rPr>
          <w:rFonts w:ascii="Times New Roman" w:hAnsi="Times New Roman"/>
          <w:i/>
          <w:iCs/>
        </w:rPr>
        <w:t>New York Cracks Down on Female Genital Mutilation</w:t>
      </w:r>
      <w:r w:rsidRPr="00091683">
        <w:rPr>
          <w:rFonts w:ascii="Times New Roman" w:hAnsi="Times New Roman"/>
        </w:rPr>
        <w:t xml:space="preserve">, </w:t>
      </w:r>
      <w:r w:rsidRPr="00091683">
        <w:rPr>
          <w:rFonts w:ascii="Times New Roman" w:hAnsi="Times New Roman"/>
          <w:smallCaps/>
        </w:rPr>
        <w:t>The Daily Beast</w:t>
      </w:r>
      <w:r w:rsidRPr="00091683">
        <w:rPr>
          <w:rFonts w:ascii="Times New Roman" w:hAnsi="Times New Roman"/>
        </w:rPr>
        <w:t xml:space="preserve"> (Dec. 2, 2015), </w:t>
      </w:r>
      <w:r w:rsidRPr="00091683">
        <w:rPr>
          <w:rFonts w:ascii="Times New Roman" w:hAnsi="Times New Roman"/>
          <w:i/>
          <w:iCs/>
        </w:rPr>
        <w:t>available at</w:t>
      </w:r>
      <w:r w:rsidRPr="00091683">
        <w:rPr>
          <w:rFonts w:ascii="Times New Roman" w:hAnsi="Times New Roman"/>
        </w:rPr>
        <w:t xml:space="preserve"> </w:t>
      </w:r>
      <w:hyperlink r:id="rId54">
        <w:r w:rsidRPr="00091683">
          <w:rPr>
            <w:rStyle w:val="Hyperlink"/>
            <w:rFonts w:ascii="Times New Roman" w:hAnsi="Times New Roman"/>
          </w:rPr>
          <w:t>https://www.thedailybeast.com/new-york-cracks-down-on-female-genital-mutilation?ref=scroll</w:t>
        </w:r>
      </w:hyperlink>
      <w:r w:rsidRPr="00091683">
        <w:rPr>
          <w:rFonts w:ascii="Times New Roman" w:hAnsi="Times New Roman"/>
        </w:rPr>
        <w:t xml:space="preserve">. </w:t>
      </w:r>
    </w:p>
  </w:footnote>
  <w:footnote w:id="64">
    <w:p w14:paraId="0C202E9A" w14:textId="019FEB89"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55">
        <w:r w:rsidRPr="00091683">
          <w:rPr>
            <w:rStyle w:val="Hyperlink"/>
            <w:rFonts w:ascii="Times New Roman" w:hAnsi="Times New Roman"/>
          </w:rPr>
          <w:t>https://www.prb.org/infographic-fgm/</w:t>
        </w:r>
      </w:hyperlink>
      <w:r w:rsidRPr="00091683">
        <w:rPr>
          <w:rFonts w:ascii="Times New Roman" w:hAnsi="Times New Roman"/>
        </w:rPr>
        <w:t>.</w:t>
      </w:r>
    </w:p>
  </w:footnote>
  <w:footnote w:id="65">
    <w:p w14:paraId="2EE4C208" w14:textId="7AB40D94"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w:t>
      </w:r>
      <w:r w:rsidRPr="00091683">
        <w:rPr>
          <w:rFonts w:ascii="Times New Roman" w:eastAsia="Calibri" w:hAnsi="Times New Roman"/>
          <w:color w:val="000000" w:themeColor="text1"/>
        </w:rPr>
        <w:t>When considering New Jersey, 13 percent of all women and girls at risk of FGC live in the NYC metropolitan area,</w:t>
      </w:r>
      <w:r w:rsidRPr="00091683">
        <w:rPr>
          <w:rFonts w:ascii="Times New Roman" w:eastAsia="Calibri" w:hAnsi="Times New Roman"/>
          <w:i/>
          <w:iCs/>
          <w:color w:val="000000" w:themeColor="text1"/>
        </w:rPr>
        <w:t xml:space="preserve"> see</w:t>
      </w:r>
      <w:r w:rsidRPr="00091683">
        <w:rPr>
          <w:rFonts w:ascii="Times New Roman" w:eastAsia="Calibri" w:hAnsi="Times New Roman"/>
          <w:color w:val="000000" w:themeColor="text1"/>
        </w:rPr>
        <w:t xml:space="preserve"> </w:t>
      </w:r>
      <w:r w:rsidRPr="00091683">
        <w:rPr>
          <w:rFonts w:ascii="Times New Roman" w:hAnsi="Times New Roman"/>
        </w:rPr>
        <w:t xml:space="preserve">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56">
        <w:r w:rsidRPr="00091683">
          <w:rPr>
            <w:rStyle w:val="Hyperlink"/>
            <w:rFonts w:ascii="Times New Roman" w:hAnsi="Times New Roman"/>
          </w:rPr>
          <w:t>https://www.prb.org/infographic-fgm/</w:t>
        </w:r>
      </w:hyperlink>
      <w:r w:rsidRPr="00091683">
        <w:rPr>
          <w:rFonts w:ascii="Times New Roman" w:hAnsi="Times New Roman"/>
        </w:rPr>
        <w:t>;</w:t>
      </w:r>
      <w:r w:rsidRPr="00091683">
        <w:rPr>
          <w:rFonts w:ascii="Times New Roman" w:eastAsia="Calibri" w:hAnsi="Times New Roman"/>
          <w:color w:val="000000" w:themeColor="text1"/>
        </w:rPr>
        <w:t xml:space="preserve"> </w:t>
      </w:r>
      <w:r w:rsidRPr="00091683">
        <w:rPr>
          <w:rFonts w:ascii="Times New Roman" w:hAnsi="Times New Roman"/>
        </w:rPr>
        <w:t xml:space="preserve">Samantha Allen, </w:t>
      </w:r>
      <w:r w:rsidRPr="00091683">
        <w:rPr>
          <w:rFonts w:ascii="Times New Roman" w:hAnsi="Times New Roman"/>
          <w:i/>
          <w:iCs/>
        </w:rPr>
        <w:t>New York Cracks Down on Female Genital Mutilation</w:t>
      </w:r>
      <w:r w:rsidRPr="00091683">
        <w:rPr>
          <w:rFonts w:ascii="Times New Roman" w:hAnsi="Times New Roman"/>
        </w:rPr>
        <w:t xml:space="preserve">, </w:t>
      </w:r>
      <w:r w:rsidRPr="00091683">
        <w:rPr>
          <w:rFonts w:ascii="Times New Roman" w:hAnsi="Times New Roman"/>
          <w:smallCaps/>
        </w:rPr>
        <w:t>The Daily Beast</w:t>
      </w:r>
      <w:r w:rsidRPr="00091683">
        <w:rPr>
          <w:rFonts w:ascii="Times New Roman" w:hAnsi="Times New Roman"/>
        </w:rPr>
        <w:t xml:space="preserve"> (Dec. 2, 2015), </w:t>
      </w:r>
      <w:r w:rsidRPr="00091683">
        <w:rPr>
          <w:rFonts w:ascii="Times New Roman" w:hAnsi="Times New Roman"/>
          <w:i/>
          <w:iCs/>
        </w:rPr>
        <w:t>available at</w:t>
      </w:r>
      <w:r w:rsidRPr="00091683">
        <w:rPr>
          <w:rFonts w:ascii="Times New Roman" w:hAnsi="Times New Roman"/>
        </w:rPr>
        <w:t xml:space="preserve"> </w:t>
      </w:r>
      <w:hyperlink r:id="rId57">
        <w:r w:rsidRPr="00091683">
          <w:rPr>
            <w:rStyle w:val="Hyperlink"/>
            <w:rFonts w:ascii="Times New Roman" w:hAnsi="Times New Roman"/>
          </w:rPr>
          <w:t>https://www.thedailybeast.com/new-york-cracks-down-on-female-genital-mutilation?ref=scroll</w:t>
        </w:r>
      </w:hyperlink>
      <w:r w:rsidRPr="00091683">
        <w:rPr>
          <w:rFonts w:ascii="Times New Roman" w:hAnsi="Times New Roman"/>
        </w:rPr>
        <w:t>.</w:t>
      </w:r>
    </w:p>
  </w:footnote>
  <w:footnote w:id="66">
    <w:p w14:paraId="739CE8DE" w14:textId="4371BD92"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See Julia Jacobs, “Remembering an Era Before Roe, When New York Had the ‘Most Liberal’ Abortion Law” New York Times (Jul. 19, 2018), available at </w:t>
      </w:r>
      <w:hyperlink r:id="rId58">
        <w:r w:rsidRPr="00091683">
          <w:rPr>
            <w:rStyle w:val="Hyperlink"/>
            <w:sz w:val="20"/>
            <w:szCs w:val="20"/>
          </w:rPr>
          <w:t>https://www.nytimes.com/2018/07/19/us/politics/new-york-abortion-roe-wade-nyt.html</w:t>
        </w:r>
      </w:hyperlink>
    </w:p>
  </w:footnote>
  <w:footnote w:id="67">
    <w:p w14:paraId="77C83A5B" w14:textId="2010AC14" w:rsidR="00362FA7" w:rsidRPr="00091683" w:rsidRDefault="00362FA7" w:rsidP="00091683">
      <w:pPr>
        <w:pStyle w:val="FootnoteText"/>
      </w:pPr>
      <w:r w:rsidRPr="00091683">
        <w:rPr>
          <w:rStyle w:val="FootnoteReference"/>
        </w:rPr>
        <w:footnoteRef/>
      </w:r>
      <w:r w:rsidRPr="00091683">
        <w:t xml:space="preserve"> Formerly Assembly Bill 1748 / Senate Bill 2796. New York State Senate, </w:t>
      </w:r>
      <w:r w:rsidRPr="00091683">
        <w:rPr>
          <w:i/>
          <w:iCs/>
        </w:rPr>
        <w:t xml:space="preserve">Reproductive Health Act </w:t>
      </w:r>
      <w:r w:rsidRPr="00091683">
        <w:t xml:space="preserve">(last visited Jan. 27, 2020), </w:t>
      </w:r>
      <w:r w:rsidRPr="00091683">
        <w:rPr>
          <w:i/>
          <w:iCs/>
        </w:rPr>
        <w:t>available at</w:t>
      </w:r>
      <w:r w:rsidRPr="00091683">
        <w:t xml:space="preserve"> </w:t>
      </w:r>
      <w:hyperlink r:id="rId59">
        <w:r w:rsidRPr="00091683">
          <w:rPr>
            <w:rStyle w:val="Hyperlink"/>
          </w:rPr>
          <w:t>https://www.nysenate.gov/issues/reproductive-health-act</w:t>
        </w:r>
      </w:hyperlink>
      <w:r w:rsidRPr="00091683">
        <w:t>.</w:t>
      </w:r>
    </w:p>
  </w:footnote>
  <w:footnote w:id="68">
    <w:p w14:paraId="0A9F4527" w14:textId="7F246C73" w:rsidR="00362FA7" w:rsidRPr="00091683" w:rsidRDefault="00362FA7" w:rsidP="00091683">
      <w:pPr>
        <w:pStyle w:val="FootnoteText"/>
      </w:pPr>
      <w:r w:rsidRPr="00091683">
        <w:rPr>
          <w:rStyle w:val="FootnoteReference"/>
        </w:rPr>
        <w:footnoteRef/>
      </w:r>
      <w:r w:rsidRPr="00091683">
        <w:t xml:space="preserve"> In 1973, the U.S. Supreme Court case </w:t>
      </w:r>
      <w:r w:rsidRPr="00091683">
        <w:rPr>
          <w:i/>
          <w:iCs/>
        </w:rPr>
        <w:t>Roe v. Wade</w:t>
      </w:r>
      <w:r w:rsidRPr="00091683">
        <w:t xml:space="preserve"> ruled that the Constitution of the United States protects a pregnant woman's liberty to choose to have an abortion without excessive government restriction. See </w:t>
      </w:r>
      <w:r w:rsidRPr="00091683">
        <w:rPr>
          <w:u w:val="single"/>
        </w:rPr>
        <w:t>Roe v. Wade</w:t>
      </w:r>
      <w:r w:rsidRPr="00091683">
        <w:t>, 410 U.S. 113 (1973).</w:t>
      </w:r>
    </w:p>
  </w:footnote>
  <w:footnote w:id="69">
    <w:p w14:paraId="061F5ED8" w14:textId="0E41767D" w:rsidR="00362FA7" w:rsidRDefault="00362FA7" w:rsidP="00091683">
      <w:pPr>
        <w:pStyle w:val="FootnoteText"/>
      </w:pPr>
      <w:r w:rsidRPr="00091683">
        <w:rPr>
          <w:rStyle w:val="FootnoteReference"/>
        </w:rPr>
        <w:footnoteRef/>
      </w:r>
      <w:r w:rsidRPr="00091683">
        <w:t xml:space="preserve"> </w:t>
      </w:r>
      <w:r w:rsidRPr="00091683">
        <w:rPr>
          <w:i/>
          <w:iCs/>
        </w:rPr>
        <w:t>See</w:t>
      </w:r>
      <w:r w:rsidRPr="00091683">
        <w:t xml:space="preserve"> American Civil Liberties Union of New York, ”Legislative Memo: Reproductive Health Act” (Jan. 23, 2019), </w:t>
      </w:r>
      <w:r w:rsidRPr="00091683">
        <w:rPr>
          <w:i/>
          <w:iCs/>
        </w:rPr>
        <w:t xml:space="preserve">available at </w:t>
      </w:r>
      <w:hyperlink r:id="rId60">
        <w:r w:rsidRPr="00091683">
          <w:rPr>
            <w:rStyle w:val="Hyperlink"/>
          </w:rPr>
          <w:t>https://www.nyclu.org/en/legislation/legislative-memo-reproductive-health-act</w:t>
        </w:r>
      </w:hyperlink>
      <w:r w:rsidRPr="00091683">
        <w:t>.</w:t>
      </w:r>
      <w:r>
        <w:t xml:space="preserve"> </w:t>
      </w:r>
    </w:p>
  </w:footnote>
  <w:footnote w:id="70">
    <w:p w14:paraId="155E6F33" w14:textId="46A2C9D3" w:rsidR="00362FA7" w:rsidRPr="00091683" w:rsidRDefault="00362FA7" w:rsidP="00091683">
      <w:pPr>
        <w:pStyle w:val="FootnoteText"/>
      </w:pPr>
      <w:r w:rsidRPr="00091683">
        <w:rPr>
          <w:rStyle w:val="FootnoteReference"/>
        </w:rPr>
        <w:footnoteRef/>
      </w:r>
      <w:r w:rsidRPr="00091683">
        <w:t xml:space="preserve"> New York Senate, </w:t>
      </w:r>
      <w:r w:rsidRPr="00091683">
        <w:rPr>
          <w:i/>
          <w:iCs/>
        </w:rPr>
        <w:t xml:space="preserve">Reproductive Health Act </w:t>
      </w:r>
      <w:r w:rsidRPr="00091683">
        <w:t xml:space="preserve">(last visited Jan. 27, 2020), </w:t>
      </w:r>
      <w:r w:rsidRPr="00091683">
        <w:rPr>
          <w:i/>
          <w:iCs/>
        </w:rPr>
        <w:t>available at</w:t>
      </w:r>
      <w:r w:rsidRPr="00091683">
        <w:t xml:space="preserve"> </w:t>
      </w:r>
      <w:hyperlink r:id="rId61">
        <w:r w:rsidRPr="00091683">
          <w:rPr>
            <w:rStyle w:val="Hyperlink"/>
          </w:rPr>
          <w:t>https://www.nysenate.gov/issues/reproductive-health-act</w:t>
        </w:r>
      </w:hyperlink>
      <w:r>
        <w:t xml:space="preserve">; </w:t>
      </w:r>
      <w:r w:rsidRPr="00362FA7">
        <w:rPr>
          <w:i/>
          <w:iCs/>
        </w:rPr>
        <w:t>See</w:t>
      </w:r>
      <w:r>
        <w:t xml:space="preserve"> </w:t>
      </w:r>
      <w:r w:rsidRPr="00091683">
        <w:t>Christina Cauterucci,</w:t>
      </w:r>
      <w:r>
        <w:t xml:space="preserve"> </w:t>
      </w:r>
      <w:r w:rsidRPr="00362FA7">
        <w:rPr>
          <w:i/>
          <w:iCs/>
        </w:rPr>
        <w:t>New York State Still Bans Abortions After 24 Weeks. A Proposed Law Could Offer Exceptions</w:t>
      </w:r>
      <w:r>
        <w:t>,</w:t>
      </w:r>
      <w:r w:rsidRPr="00362FA7">
        <w:rPr>
          <w:smallCaps/>
        </w:rPr>
        <w:t xml:space="preserve"> Slate</w:t>
      </w:r>
      <w:r>
        <w:t xml:space="preserve"> (May 25, 2017), </w:t>
      </w:r>
      <w:r w:rsidRPr="00362FA7">
        <w:rPr>
          <w:i/>
          <w:iCs/>
        </w:rPr>
        <w:t xml:space="preserve">available at </w:t>
      </w:r>
      <w:hyperlink r:id="rId62" w:history="1">
        <w:r w:rsidRPr="00F61FCB">
          <w:rPr>
            <w:rStyle w:val="Hyperlink"/>
          </w:rPr>
          <w:t>https://slate.com/human-interest/2017/05/new-york-state-still-bans-abortions-after-24-weeks-a-proposed-law-could-offer-exceptions.html</w:t>
        </w:r>
      </w:hyperlink>
      <w:r>
        <w:t>.</w:t>
      </w:r>
    </w:p>
  </w:footnote>
  <w:footnote w:id="71">
    <w:p w14:paraId="32984B2F" w14:textId="43F0174D" w:rsidR="00362FA7" w:rsidRPr="00091683" w:rsidRDefault="00362FA7" w:rsidP="00091683">
      <w:pPr>
        <w:pStyle w:val="FootnoteText"/>
      </w:pPr>
      <w:r w:rsidRPr="00091683">
        <w:rPr>
          <w:rStyle w:val="FootnoteReference"/>
        </w:rPr>
        <w:footnoteRef/>
      </w:r>
      <w:r w:rsidRPr="00091683">
        <w:t xml:space="preserve"> Or, an “Act to amend the public health law, in relation to enacting the reproductive health act and revising existing provisions of law regarding abortion; to amend the penal law, the criminal procedure law, the county law and the judiciary law, in relation to abortion; to repeal certain provisions of the public health law relating to abortion; to repeal certain provisions of the education law relating to the sale of contraceptives; and to repeal certain provisions of the penal law relating to abortion.” </w:t>
      </w:r>
      <w:r w:rsidRPr="00091683">
        <w:rPr>
          <w:i/>
          <w:iCs/>
        </w:rPr>
        <w:t>See</w:t>
      </w:r>
      <w:r w:rsidRPr="00091683">
        <w:t xml:space="preserve"> New York State Senator Liz Krueger, </w:t>
      </w:r>
      <w:r w:rsidRPr="00091683">
        <w:rPr>
          <w:i/>
          <w:iCs/>
        </w:rPr>
        <w:t>Senate Bill S2796</w:t>
      </w:r>
      <w:r w:rsidRPr="00091683">
        <w:t xml:space="preserve"> (2017-2018), </w:t>
      </w:r>
      <w:r w:rsidRPr="00091683">
        <w:rPr>
          <w:i/>
          <w:iCs/>
        </w:rPr>
        <w:t xml:space="preserve">available at </w:t>
      </w:r>
      <w:hyperlink r:id="rId63">
        <w:r w:rsidRPr="00091683">
          <w:rPr>
            <w:rStyle w:val="Hyperlink"/>
          </w:rPr>
          <w:t>https://www.nysenate.gov/legislation/bills/2017/S2796</w:t>
        </w:r>
      </w:hyperlink>
      <w:r w:rsidRPr="00091683">
        <w:t>; New York State Panel Law (last visited Jan. 27, 2020),</w:t>
      </w:r>
      <w:r w:rsidRPr="00091683">
        <w:rPr>
          <w:i/>
          <w:iCs/>
        </w:rPr>
        <w:t xml:space="preserve"> available at</w:t>
      </w:r>
      <w:r w:rsidRPr="00091683">
        <w:t xml:space="preserve"> </w:t>
      </w:r>
      <w:hyperlink r:id="rId64" w:anchor="p125.05">
        <w:r w:rsidRPr="00091683">
          <w:rPr>
            <w:rStyle w:val="Hyperlink"/>
          </w:rPr>
          <w:t>http://ypdcrime.com/penal.law/article125.htm#p125.05</w:t>
        </w:r>
      </w:hyperlink>
      <w:r w:rsidRPr="00091683">
        <w:t>.</w:t>
      </w:r>
    </w:p>
  </w:footnote>
  <w:footnote w:id="72">
    <w:p w14:paraId="13376318" w14:textId="77947E34" w:rsidR="00362FA7" w:rsidRPr="00091683" w:rsidRDefault="00362FA7" w:rsidP="00091683">
      <w:pPr>
        <w:pStyle w:val="FootnoteText"/>
      </w:pPr>
      <w:r w:rsidRPr="00091683">
        <w:rPr>
          <w:rStyle w:val="FootnoteReference"/>
        </w:rPr>
        <w:footnoteRef/>
      </w:r>
      <w:r w:rsidRPr="00091683">
        <w:t xml:space="preserve"> New York State Senator Liz Krueger, </w:t>
      </w:r>
      <w:r w:rsidRPr="00091683">
        <w:rPr>
          <w:i/>
          <w:iCs/>
        </w:rPr>
        <w:t>Senate Bill S2796</w:t>
      </w:r>
      <w:r w:rsidRPr="00091683">
        <w:t xml:space="preserve"> (2017-2018), </w:t>
      </w:r>
      <w:r w:rsidRPr="00091683">
        <w:rPr>
          <w:i/>
          <w:iCs/>
        </w:rPr>
        <w:t xml:space="preserve">available at </w:t>
      </w:r>
      <w:hyperlink r:id="rId65">
        <w:r w:rsidRPr="00091683">
          <w:rPr>
            <w:rStyle w:val="Hyperlink"/>
          </w:rPr>
          <w:t>https://www.nysenate.gov/legislation/bills/2017/S2796</w:t>
        </w:r>
      </w:hyperlink>
      <w:r w:rsidRPr="00091683">
        <w:t>.</w:t>
      </w:r>
    </w:p>
  </w:footnote>
  <w:footnote w:id="73">
    <w:p w14:paraId="1276F283" w14:textId="30D079D2"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Public Health Law § 4164</w:t>
      </w:r>
      <w:r w:rsidRPr="00091683">
        <w:rPr>
          <w:i/>
          <w:iCs/>
          <w:sz w:val="20"/>
          <w:szCs w:val="20"/>
        </w:rPr>
        <w:t>, available at</w:t>
      </w:r>
      <w:r w:rsidRPr="00091683">
        <w:rPr>
          <w:sz w:val="20"/>
          <w:szCs w:val="20"/>
        </w:rPr>
        <w:t xml:space="preserve"> </w:t>
      </w:r>
      <w:hyperlink r:id="rId66">
        <w:r w:rsidRPr="00091683">
          <w:rPr>
            <w:rStyle w:val="Hyperlink"/>
            <w:sz w:val="20"/>
            <w:szCs w:val="20"/>
          </w:rPr>
          <w:t>https://codes.findlaw.com/ny/public-health-law/pbh-sect-4164.html</w:t>
        </w:r>
      </w:hyperlink>
      <w:r w:rsidRPr="00091683">
        <w:rPr>
          <w:sz w:val="20"/>
          <w:szCs w:val="20"/>
        </w:rPr>
        <w:t>.</w:t>
      </w:r>
    </w:p>
  </w:footnote>
  <w:footnote w:id="74">
    <w:p w14:paraId="27D6F244" w14:textId="07D15D71" w:rsidR="00362FA7" w:rsidRPr="00091683" w:rsidRDefault="00362FA7" w:rsidP="00091683">
      <w:pPr>
        <w:pStyle w:val="FootnoteText"/>
      </w:pPr>
      <w:r w:rsidRPr="00091683">
        <w:rPr>
          <w:rStyle w:val="FootnoteReference"/>
        </w:rPr>
        <w:footnoteRef/>
      </w:r>
      <w:r w:rsidRPr="00091683">
        <w:t xml:space="preserve"> </w:t>
      </w:r>
      <w:r w:rsidRPr="00091683">
        <w:rPr>
          <w:i/>
          <w:iCs/>
        </w:rPr>
        <w:t>See</w:t>
      </w:r>
      <w:r w:rsidRPr="00091683">
        <w:t xml:space="preserve"> New York Penal Law § 125.05, § 125.20, § 125.40-60.</w:t>
      </w:r>
    </w:p>
  </w:footnote>
  <w:footnote w:id="75">
    <w:p w14:paraId="75CB3C25" w14:textId="22689384" w:rsidR="00362FA7" w:rsidRPr="00091683" w:rsidRDefault="00362FA7" w:rsidP="00091683">
      <w:pPr>
        <w:pStyle w:val="FootnoteText"/>
      </w:pPr>
      <w:r w:rsidRPr="00091683">
        <w:rPr>
          <w:rStyle w:val="FootnoteReference"/>
        </w:rPr>
        <w:footnoteRef/>
      </w:r>
      <w:r w:rsidRPr="00091683">
        <w:t xml:space="preserve"> Rebecca Wind, </w:t>
      </w:r>
      <w:r w:rsidRPr="00091683">
        <w:rPr>
          <w:i/>
          <w:iCs/>
        </w:rPr>
        <w:t xml:space="preserve">Abortion is a Common Experience for U.S. Women, Despite Dramatic Declines in Rates, </w:t>
      </w:r>
      <w:r w:rsidRPr="00091683">
        <w:rPr>
          <w:smallCaps/>
        </w:rPr>
        <w:t>Guttmacher Institute</w:t>
      </w:r>
      <w:r w:rsidRPr="00091683">
        <w:t xml:space="preserve"> (Oct. 19, 2017), </w:t>
      </w:r>
      <w:r w:rsidRPr="00091683">
        <w:rPr>
          <w:i/>
          <w:iCs/>
        </w:rPr>
        <w:t>available at</w:t>
      </w:r>
      <w:r w:rsidRPr="00091683">
        <w:t xml:space="preserve"> </w:t>
      </w:r>
      <w:hyperlink r:id="rId67">
        <w:r w:rsidRPr="00091683">
          <w:rPr>
            <w:rStyle w:val="Hyperlink"/>
          </w:rPr>
          <w:t>https://www.guttmacher.org/news-release/2017/abortion-common-experience-us-women-despite-dramatic-declines-rates</w:t>
        </w:r>
      </w:hyperlink>
      <w:r w:rsidRPr="00091683">
        <w:t>.</w:t>
      </w:r>
    </w:p>
  </w:footnote>
  <w:footnote w:id="76">
    <w:p w14:paraId="5EB54A40" w14:textId="3B9CD858" w:rsidR="00362FA7" w:rsidRPr="00091683" w:rsidRDefault="00362FA7" w:rsidP="00091683">
      <w:pPr>
        <w:pStyle w:val="FootnoteText"/>
      </w:pPr>
      <w:r w:rsidRPr="00091683">
        <w:rPr>
          <w:rStyle w:val="FootnoteReference"/>
        </w:rPr>
        <w:footnoteRef/>
      </w:r>
      <w:r w:rsidRPr="00091683">
        <w:t xml:space="preserve"> </w:t>
      </w:r>
      <w:r w:rsidRPr="00091683">
        <w:rPr>
          <w:i/>
          <w:iCs/>
        </w:rPr>
        <w:t xml:space="preserve">See </w:t>
      </w:r>
      <w:r w:rsidRPr="00091683">
        <w:t xml:space="preserve">James Trussell, “The Cost of Unintended Pregnancy in the United Sates” (3)75 Contraception, 163, 163 (2007), </w:t>
      </w:r>
      <w:r w:rsidRPr="00091683">
        <w:rPr>
          <w:i/>
          <w:iCs/>
        </w:rPr>
        <w:t>available at</w:t>
      </w:r>
      <w:r w:rsidRPr="00091683">
        <w:t xml:space="preserve"> </w:t>
      </w:r>
      <w:hyperlink r:id="rId68">
        <w:r w:rsidRPr="00091683">
          <w:rPr>
            <w:rStyle w:val="Hyperlink"/>
          </w:rPr>
          <w:t>https://doi.org/10.1016/j.contraception.2006.11.009</w:t>
        </w:r>
      </w:hyperlink>
      <w:r w:rsidRPr="00091683">
        <w:t>.</w:t>
      </w:r>
    </w:p>
  </w:footnote>
  <w:footnote w:id="77">
    <w:p w14:paraId="743E1AE8" w14:textId="76F7C165"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The National Academies of Science, Engineering and Medicine, </w:t>
      </w:r>
      <w:r w:rsidRPr="00091683">
        <w:rPr>
          <w:i/>
          <w:iCs/>
          <w:sz w:val="20"/>
          <w:szCs w:val="20"/>
        </w:rPr>
        <w:t>The Safety and Quality of Abortion Care</w:t>
      </w:r>
    </w:p>
    <w:p w14:paraId="6A42BAE0" w14:textId="52EF6E9E" w:rsidR="00362FA7" w:rsidRDefault="00362FA7" w:rsidP="00091683">
      <w:r w:rsidRPr="00091683">
        <w:rPr>
          <w:i/>
          <w:iCs/>
          <w:sz w:val="20"/>
          <w:szCs w:val="20"/>
        </w:rPr>
        <w:t>in the United States</w:t>
      </w:r>
      <w:r w:rsidRPr="00091683">
        <w:rPr>
          <w:sz w:val="20"/>
          <w:szCs w:val="20"/>
        </w:rPr>
        <w:t xml:space="preserve"> (Mat. 2018), </w:t>
      </w:r>
      <w:r w:rsidRPr="00091683">
        <w:rPr>
          <w:i/>
          <w:iCs/>
          <w:sz w:val="20"/>
          <w:szCs w:val="20"/>
        </w:rPr>
        <w:t>available at</w:t>
      </w:r>
      <w:r w:rsidRPr="00091683">
        <w:rPr>
          <w:sz w:val="20"/>
          <w:szCs w:val="20"/>
        </w:rPr>
        <w:t xml:space="preserve"> </w:t>
      </w:r>
      <w:hyperlink r:id="rId69">
        <w:r w:rsidRPr="00091683">
          <w:rPr>
            <w:rStyle w:val="Hyperlink"/>
            <w:sz w:val="20"/>
            <w:szCs w:val="20"/>
          </w:rPr>
          <w:t>http://nationalacademies.org/hmd/reports/2018/the-safety-and-quality-of-abortion-care-in-the-united-states.aspx</w:t>
        </w:r>
      </w:hyperlink>
      <w:r w:rsidRPr="00091683">
        <w:rPr>
          <w:sz w:val="20"/>
          <w:szCs w:val="20"/>
        </w:rPr>
        <w:t xml:space="preserve">; Guttmacher Institute; Tracy Weitz et al., </w:t>
      </w:r>
      <w:hyperlink r:id="rId70">
        <w:r w:rsidRPr="00091683">
          <w:rPr>
            <w:rStyle w:val="Hyperlink"/>
            <w:sz w:val="20"/>
            <w:szCs w:val="20"/>
          </w:rPr>
          <w:t>Sa</w:t>
        </w:r>
        <w:r w:rsidRPr="00091683">
          <w:rPr>
            <w:rStyle w:val="Hyperlink"/>
            <w:i/>
            <w:iCs/>
            <w:sz w:val="20"/>
            <w:szCs w:val="20"/>
          </w:rPr>
          <w:t>fety of Aspiration Abortion Performed by Nurse Practitioners</w:t>
        </w:r>
        <w:r w:rsidRPr="00091683">
          <w:rPr>
            <w:rStyle w:val="Hyperlink"/>
            <w:sz w:val="20"/>
            <w:szCs w:val="20"/>
          </w:rPr>
          <w:t>, Certified Nurse Midwives, and Physician Assistants under a California Legal Waiver</w:t>
        </w:r>
      </w:hyperlink>
      <w:r w:rsidRPr="00091683">
        <w:rPr>
          <w:sz w:val="20"/>
          <w:szCs w:val="20"/>
        </w:rPr>
        <w:t xml:space="preserve">, 103(3) </w:t>
      </w:r>
      <w:r w:rsidRPr="00091683">
        <w:rPr>
          <w:smallCaps/>
          <w:sz w:val="20"/>
          <w:szCs w:val="20"/>
        </w:rPr>
        <w:t>American Journal of Public Health</w:t>
      </w:r>
      <w:r w:rsidRPr="00091683">
        <w:rPr>
          <w:sz w:val="20"/>
          <w:szCs w:val="20"/>
        </w:rPr>
        <w:t xml:space="preserve"> 454–461 (2013).</w:t>
      </w:r>
    </w:p>
  </w:footnote>
  <w:footnote w:id="78">
    <w:p w14:paraId="31C75FDE" w14:textId="163B6A5E" w:rsidR="00362FA7" w:rsidRDefault="00362FA7">
      <w:pPr>
        <w:pStyle w:val="FootnoteText"/>
      </w:pPr>
      <w:r>
        <w:rPr>
          <w:rStyle w:val="FootnoteReference"/>
        </w:rPr>
        <w:footnoteRef/>
      </w:r>
      <w:r>
        <w:t xml:space="preserve"> </w:t>
      </w:r>
      <w:r w:rsidRPr="00362FA7">
        <w:rPr>
          <w:i/>
          <w:iCs/>
        </w:rPr>
        <w:t>See</w:t>
      </w:r>
      <w:r>
        <w:t xml:space="preserve"> ACLU of New York, </w:t>
      </w:r>
      <w:r w:rsidRPr="00362FA7">
        <w:rPr>
          <w:i/>
          <w:iCs/>
        </w:rPr>
        <w:t xml:space="preserve">What You Need to Know about the Reproductive Health Act </w:t>
      </w:r>
      <w:r>
        <w:t xml:space="preserve">(last visited October 26, 2020), </w:t>
      </w:r>
      <w:r w:rsidRPr="00362FA7">
        <w:rPr>
          <w:i/>
          <w:iCs/>
        </w:rPr>
        <w:t>available at</w:t>
      </w:r>
      <w:r>
        <w:t xml:space="preserve"> </w:t>
      </w:r>
      <w:hyperlink r:id="rId71" w:history="1">
        <w:r w:rsidRPr="00F61FCB">
          <w:rPr>
            <w:rStyle w:val="Hyperlink"/>
          </w:rPr>
          <w:t>https://www.nyclu.org/en/campaigns/what-you-need-know-about-reproductive-health-act</w:t>
        </w:r>
      </w:hyperlink>
      <w:r>
        <w:t xml:space="preserve">; New York State Senator Liz Krueger, </w:t>
      </w:r>
      <w:r w:rsidRPr="00362FA7">
        <w:rPr>
          <w:i/>
          <w:iCs/>
        </w:rPr>
        <w:t>FAQs about the Reproductive Health Act</w:t>
      </w:r>
      <w:r>
        <w:t xml:space="preserve"> (Feb. 12, 2019),</w:t>
      </w:r>
      <w:r w:rsidRPr="00362FA7">
        <w:rPr>
          <w:i/>
          <w:iCs/>
        </w:rPr>
        <w:t xml:space="preserve"> available at</w:t>
      </w:r>
      <w:r>
        <w:t xml:space="preserve"> </w:t>
      </w:r>
      <w:hyperlink r:id="rId72" w:history="1">
        <w:r w:rsidRPr="00F61FCB">
          <w:rPr>
            <w:rStyle w:val="Hyperlink"/>
          </w:rPr>
          <w:t>https://www.nysenate.gov/newsroom/articles/2019/liz-krueger/faqs-about-reproductive-health-act</w:t>
        </w:r>
      </w:hyperlink>
      <w:r>
        <w:t xml:space="preserve">. </w:t>
      </w:r>
    </w:p>
  </w:footnote>
  <w:footnote w:id="79">
    <w:p w14:paraId="66BB0F48" w14:textId="49B6C05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New York Penal Law § 125.05, § 125.20, § 125.40-60.</w:t>
      </w:r>
    </w:p>
  </w:footnote>
  <w:footnote w:id="80">
    <w:p w14:paraId="596191F8" w14:textId="0BD5386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00585DC8">
        <w:rPr>
          <w:rFonts w:ascii="Times New Roman" w:hAnsi="Times New Roman"/>
          <w:i/>
        </w:rPr>
        <w:t>Id.</w:t>
      </w:r>
    </w:p>
  </w:footnote>
  <w:footnote w:id="81">
    <w:p w14:paraId="083A69C5" w14:textId="3130EA1B" w:rsidR="00362FA7" w:rsidRPr="00091683" w:rsidRDefault="00362FA7" w:rsidP="0044214F">
      <w:pPr>
        <w:pStyle w:val="footnotetext0"/>
        <w:rPr>
          <w:rFonts w:ascii="Times New Roman" w:hAnsi="Times New Roman"/>
          <w:b/>
          <w:bCs/>
        </w:rPr>
      </w:pPr>
      <w:r w:rsidRPr="00091683">
        <w:rPr>
          <w:rStyle w:val="footnotereference0"/>
          <w:rFonts w:ascii="Times New Roman" w:hAnsi="Times New Roman"/>
        </w:rPr>
        <w:footnoteRef/>
      </w:r>
      <w:r w:rsidRPr="00091683">
        <w:rPr>
          <w:rFonts w:ascii="Times New Roman" w:hAnsi="Times New Roman"/>
        </w:rPr>
        <w:t xml:space="preserve"> U.S. Federal Register, </w:t>
      </w:r>
      <w:r w:rsidRPr="00091683">
        <w:rPr>
          <w:rFonts w:ascii="Times New Roman" w:hAnsi="Times New Roman"/>
          <w:bCs/>
        </w:rPr>
        <w:t xml:space="preserve">Compliance With Statutory Program Integrity Requirements, A Proposed Rule by the Health and Human Services Department: “Compliance With Statutory Program Integrity Requirements” (Jun. 1, 2018), </w:t>
      </w:r>
      <w:r w:rsidRPr="00091683">
        <w:rPr>
          <w:rFonts w:ascii="Times New Roman" w:hAnsi="Times New Roman"/>
          <w:bCs/>
          <w:i/>
        </w:rPr>
        <w:t>available at</w:t>
      </w:r>
      <w:r w:rsidRPr="00091683">
        <w:rPr>
          <w:rFonts w:ascii="Times New Roman" w:hAnsi="Times New Roman"/>
          <w:bCs/>
        </w:rPr>
        <w:t xml:space="preserve"> </w:t>
      </w:r>
      <w:hyperlink r:id="rId73" w:history="1">
        <w:r w:rsidRPr="00091683">
          <w:rPr>
            <w:rStyle w:val="Hyperlink"/>
            <w:rFonts w:ascii="Times New Roman" w:hAnsi="Times New Roman"/>
            <w:bCs/>
          </w:rPr>
          <w:t>https://www.federalregister.gov/documents/2018/06/01/2018-11673/compliance-with-statutory-program-integrity-requirements</w:t>
        </w:r>
      </w:hyperlink>
      <w:r w:rsidRPr="00091683">
        <w:rPr>
          <w:rFonts w:ascii="Times New Roman" w:hAnsi="Times New Roman"/>
          <w:bCs/>
        </w:rPr>
        <w:t>.</w:t>
      </w:r>
      <w:r w:rsidRPr="00091683">
        <w:rPr>
          <w:rFonts w:ascii="Times New Roman" w:hAnsi="Times New Roman"/>
          <w:b/>
          <w:bCs/>
        </w:rPr>
        <w:t xml:space="preserve"> </w:t>
      </w:r>
    </w:p>
  </w:footnote>
  <w:footnote w:id="82">
    <w:p w14:paraId="68BBD382" w14:textId="0E0DE932" w:rsidR="00362FA7" w:rsidRPr="00C83576"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U.S. Department of Health &amp; Human Services, Office of Population Affairs, Title X Statutes, Regulations, and Legislative Mandates (n.d.), </w:t>
      </w:r>
      <w:r w:rsidRPr="00091683">
        <w:rPr>
          <w:rFonts w:ascii="Times New Roman" w:hAnsi="Times New Roman"/>
          <w:i/>
        </w:rPr>
        <w:t xml:space="preserve">available at </w:t>
      </w:r>
      <w:hyperlink r:id="rId74"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w:t>
      </w:r>
      <w:r>
        <w:rPr>
          <w:rFonts w:ascii="Times New Roman" w:hAnsi="Times New Roman"/>
        </w:rPr>
        <w:t xml:space="preserve"> </w:t>
      </w:r>
    </w:p>
  </w:footnote>
  <w:footnote w:id="83">
    <w:p w14:paraId="764C61C4" w14:textId="212E6DE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eastAsia="Calibri" w:hAnsi="Times New Roman"/>
          <w:i/>
          <w:color w:val="000000"/>
        </w:rPr>
        <w:t xml:space="preserve">See </w:t>
      </w:r>
      <w:r w:rsidRPr="00091683">
        <w:rPr>
          <w:rFonts w:ascii="Times New Roman" w:eastAsia="Calibri" w:hAnsi="Times New Roman"/>
          <w:color w:val="000000"/>
        </w:rPr>
        <w:t xml:space="preserve">section 1001, </w:t>
      </w:r>
      <w:r w:rsidRPr="00091683">
        <w:rPr>
          <w:rFonts w:ascii="Times New Roman" w:hAnsi="Times New Roman"/>
        </w:rPr>
        <w:t xml:space="preserve">U.S. Department of Health &amp; Human Services, Office of Population Affairs, Title X Statutes, Regulations, and Legislative Mandates (n.d.), </w:t>
      </w:r>
      <w:r w:rsidRPr="00091683">
        <w:rPr>
          <w:rFonts w:ascii="Times New Roman" w:hAnsi="Times New Roman"/>
          <w:i/>
        </w:rPr>
        <w:t xml:space="preserve">available at </w:t>
      </w:r>
      <w:hyperlink r:id="rId75"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 “grants under Section 1001 assist in the establishment and operation of voluntary family planning projects which provide a broad range of acceptable and effective family planning methods and related preventive health services that include natural family planning methods, infertility services, and services for adolescents; highly effective contraceptive methods; breast and cervical cancer screening and prevention services that correspond with nationally recognized standards of care; STD and HIV prevention education, counseling, testing, and referral; adolescent abstinence counseling; and other preventive health services. The broad range of services does not include abortion as a method of family planning.”).</w:t>
      </w:r>
    </w:p>
  </w:footnote>
  <w:footnote w:id="84">
    <w:p w14:paraId="2A585470" w14:textId="21AA95A2"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eastAsia="Calibri" w:hAnsi="Times New Roman"/>
          <w:i/>
          <w:color w:val="000000"/>
        </w:rPr>
        <w:t>See</w:t>
      </w:r>
      <w:r w:rsidRPr="00091683">
        <w:rPr>
          <w:rFonts w:ascii="Times New Roman" w:eastAsia="Calibri" w:hAnsi="Times New Roman"/>
          <w:color w:val="000000"/>
        </w:rPr>
        <w:t xml:space="preserve"> section 1003, </w:t>
      </w:r>
      <w:r w:rsidRPr="00091683">
        <w:rPr>
          <w:rFonts w:ascii="Times New Roman" w:hAnsi="Times New Roman"/>
        </w:rPr>
        <w:t xml:space="preserve">U.S. Department of Health &amp; Human Services, Office of Population Affairs, Title X Statutes, Regulations, and Legislative Mandates (n.d.), </w:t>
      </w:r>
      <w:r w:rsidRPr="00091683">
        <w:rPr>
          <w:rFonts w:ascii="Times New Roman" w:hAnsi="Times New Roman"/>
          <w:i/>
        </w:rPr>
        <w:t xml:space="preserve">available at </w:t>
      </w:r>
      <w:hyperlink r:id="rId76"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 xml:space="preserve">(explaining that, “grants under Section 1003 provide training for personnel working in family planning services projects described under Section 1001. The purpose of this training is to promote and improve the delivery of family planning services. Read more about the National Training Centers.”). </w:t>
      </w:r>
    </w:p>
  </w:footnote>
  <w:footnote w:id="85">
    <w:p w14:paraId="4D6D7A99" w14:textId="0469374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1004, U.S. Department of Health &amp; Human Services, Office of Population Affairs, Title X Statutes, Regulations, and Legislative Mandates (n.d.), </w:t>
      </w:r>
      <w:r w:rsidRPr="00091683">
        <w:rPr>
          <w:rFonts w:ascii="Times New Roman" w:hAnsi="Times New Roman"/>
          <w:i/>
        </w:rPr>
        <w:t xml:space="preserve">available at </w:t>
      </w:r>
      <w:hyperlink r:id="rId77"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 xml:space="preserve">(explaining that, </w:t>
      </w:r>
      <w:r w:rsidRPr="00091683">
        <w:rPr>
          <w:rFonts w:ascii="Times New Roman" w:hAnsi="Times New Roman"/>
        </w:rPr>
        <w:t xml:space="preserve">“grants and contracts under Section 1004 provide for projects for research in the biomedical, contraceptive development, behavioral, and program implementation fields related to family planning and population. Projects under this Section conduct data analysis and related research and evaluation on issues of interest to the family planning field, as well as research into specific topic areas related to service delivery improvement. Research on male reproductive health has been a focus of applied research activities since 1997. All research activities funded under Section 1004 support ensuring and improving the quality of family planning services. Read more about Title X Service Delivery Improvement activities.”). </w:t>
      </w:r>
    </w:p>
  </w:footnote>
  <w:footnote w:id="86">
    <w:p w14:paraId="52279040" w14:textId="018084B6"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1005, U.S. Department of Health &amp; Human Services, Office of Population Affairs, Title X Statutes, Regulations, and Legislative Mandates (n.d.), </w:t>
      </w:r>
      <w:r w:rsidRPr="00091683">
        <w:rPr>
          <w:rFonts w:ascii="Times New Roman" w:hAnsi="Times New Roman"/>
          <w:i/>
        </w:rPr>
        <w:t xml:space="preserve">available at </w:t>
      </w:r>
      <w:hyperlink r:id="rId78"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w:t>
      </w:r>
      <w:r w:rsidRPr="00091683">
        <w:rPr>
          <w:rFonts w:ascii="Times New Roman" w:hAnsi="Times New Roman"/>
        </w:rPr>
        <w:t xml:space="preserve"> </w:t>
      </w:r>
      <w:r w:rsidRPr="00091683">
        <w:rPr>
          <w:rFonts w:ascii="Times New Roman" w:eastAsia="Calibri" w:hAnsi="Times New Roman"/>
          <w:color w:val="000000"/>
        </w:rPr>
        <w:t xml:space="preserve">“grants and contracts under Section 1005 provide for the development and dissemination of informational and educational materials including the OPA website and the Title X family planning clinic locator database.”). </w:t>
      </w:r>
    </w:p>
  </w:footnote>
  <w:footnote w:id="87">
    <w:p w14:paraId="46B4C6F8" w14:textId="67A3704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1008; U.S. Department of Health &amp; Human Services, Office of Population Affairs, Title X Statutes, Regulations, and Legislative Mandates (n.d.), </w:t>
      </w:r>
      <w:r w:rsidRPr="00091683">
        <w:rPr>
          <w:rFonts w:ascii="Times New Roman" w:hAnsi="Times New Roman"/>
          <w:i/>
        </w:rPr>
        <w:t xml:space="preserve">available at </w:t>
      </w:r>
      <w:hyperlink r:id="rId79"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w:t>
      </w:r>
      <w:r w:rsidRPr="00091683">
        <w:rPr>
          <w:rFonts w:ascii="Times New Roman" w:hAnsi="Times New Roman"/>
        </w:rPr>
        <w:t xml:space="preserve"> </w:t>
      </w:r>
      <w:r w:rsidRPr="00091683">
        <w:rPr>
          <w:rFonts w:ascii="Times New Roman" w:eastAsia="Calibri" w:hAnsi="Times New Roman"/>
          <w:color w:val="000000"/>
        </w:rPr>
        <w:t>“none of the funds appropriated under this title shall be used in programs where abortion is a method of family planning.”)</w:t>
      </w:r>
      <w:r w:rsidRPr="00091683">
        <w:rPr>
          <w:rFonts w:ascii="Times New Roman" w:hAnsi="Times New Roman"/>
        </w:rPr>
        <w:t xml:space="preserve">; U.S. Department of Health &amp; Human Services, HHS Press Office “HHS Releases Final Title X Rule Detailing Family Planning Grant Program (Feb. 22, 2019), </w:t>
      </w:r>
      <w:r w:rsidRPr="00091683">
        <w:rPr>
          <w:rFonts w:ascii="Times New Roman" w:hAnsi="Times New Roman"/>
          <w:i/>
        </w:rPr>
        <w:t>available at</w:t>
      </w:r>
      <w:r w:rsidRPr="00091683">
        <w:rPr>
          <w:rFonts w:ascii="Times New Roman" w:hAnsi="Times New Roman"/>
        </w:rPr>
        <w:t xml:space="preserve"> </w:t>
      </w:r>
      <w:hyperlink r:id="rId80" w:history="1">
        <w:r w:rsidRPr="00091683">
          <w:rPr>
            <w:rStyle w:val="Hyperlink"/>
            <w:rFonts w:ascii="Times New Roman" w:hAnsi="Times New Roman"/>
          </w:rPr>
          <w:t>https://www.hhs.gov/about/news/2019/02/22/hhs-releases-final-title-x-rule-detailing-family-planning-grant-program.html</w:t>
        </w:r>
      </w:hyperlink>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w:t>
      </w:r>
      <w:r w:rsidRPr="00091683">
        <w:rPr>
          <w:rFonts w:ascii="Times New Roman" w:eastAsia="Calibri" w:hAnsi="Times New Roman"/>
          <w:color w:val="000000"/>
        </w:rPr>
        <w:t>Cuts to Title X</w:t>
      </w:r>
      <w:r w:rsidRPr="00091683" w:rsidDel="00C76133">
        <w:rPr>
          <w:rFonts w:ascii="Times New Roman" w:eastAsia="Calibri" w:hAnsi="Times New Roman"/>
          <w:color w:val="000000"/>
        </w:rPr>
        <w:t xml:space="preserve"> </w:t>
      </w:r>
      <w:r w:rsidRPr="00091683">
        <w:rPr>
          <w:rFonts w:ascii="Times New Roman" w:eastAsia="Calibri" w:hAnsi="Times New Roman"/>
          <w:color w:val="000000"/>
        </w:rPr>
        <w:t>eligibility also affects 340B funding, which allows health centers to negotiate significantly better drug pricing.</w:t>
      </w:r>
    </w:p>
  </w:footnote>
  <w:footnote w:id="88">
    <w:p w14:paraId="0D404D87" w14:textId="282E7E89" w:rsidR="00362FA7" w:rsidRPr="00C83576"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U.S. Department of Health &amp; Human Services, HHS Press Office “HHS Releases Final Title X Rule Detailing Family Planning Grant Program (Feb. 22, 2019), </w:t>
      </w:r>
      <w:r w:rsidRPr="00091683">
        <w:rPr>
          <w:rFonts w:ascii="Times New Roman" w:hAnsi="Times New Roman"/>
          <w:i/>
        </w:rPr>
        <w:t>available at</w:t>
      </w:r>
      <w:r w:rsidRPr="00091683">
        <w:rPr>
          <w:rFonts w:ascii="Times New Roman" w:hAnsi="Times New Roman"/>
        </w:rPr>
        <w:t xml:space="preserve"> </w:t>
      </w:r>
      <w:hyperlink r:id="rId81" w:history="1">
        <w:r w:rsidRPr="00091683">
          <w:rPr>
            <w:rStyle w:val="Hyperlink"/>
            <w:rFonts w:ascii="Times New Roman" w:hAnsi="Times New Roman"/>
          </w:rPr>
          <w:t>https://www.hhs.gov/about/news/2019/02/22/hhs-releases-final-title-x-rule-detailing-family-planning-grant-program.html</w:t>
        </w:r>
      </w:hyperlink>
      <w:r w:rsidRPr="00091683">
        <w:rPr>
          <w:rFonts w:ascii="Times New Roman" w:hAnsi="Times New Roman"/>
        </w:rPr>
        <w:t xml:space="preserve">. </w:t>
      </w:r>
    </w:p>
  </w:footnote>
  <w:footnote w:id="89">
    <w:p w14:paraId="51413A6A" w14:textId="26DA7E9C"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 xml:space="preserve">See </w:t>
      </w:r>
      <w:r w:rsidRPr="00091683">
        <w:rPr>
          <w:rFonts w:ascii="Times New Roman" w:hAnsi="Times New Roman"/>
        </w:rPr>
        <w:t xml:space="preserve">U.S. Department of Health &amp; Human Services, Office of Population Affairs, </w:t>
      </w:r>
      <w:r w:rsidRPr="00091683">
        <w:rPr>
          <w:rFonts w:ascii="Times New Roman" w:hAnsi="Times New Roman"/>
          <w:i/>
        </w:rPr>
        <w:t>Title X Service Grants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82" w:history="1">
        <w:r w:rsidRPr="00091683">
          <w:rPr>
            <w:rStyle w:val="Hyperlink"/>
            <w:rFonts w:ascii="Times New Roman" w:hAnsi="Times New Roman"/>
          </w:rPr>
          <w:t>https://opa.hhs.gov/grant-programs/title-x-service-grants</w:t>
        </w:r>
      </w:hyperlink>
      <w:r w:rsidRPr="00091683">
        <w:rPr>
          <w:rFonts w:ascii="Times New Roman" w:hAnsi="Times New Roman"/>
        </w:rPr>
        <w:t xml:space="preserve">; Office of NYC Comptroller Scott M. Stringer, </w:t>
      </w:r>
      <w:r w:rsidRPr="00091683">
        <w:rPr>
          <w:rFonts w:ascii="Times New Roman" w:hAnsi="Times New Roman"/>
          <w:i/>
        </w:rPr>
        <w:t>Title X Funding in NYC: A Critical Resource That Must Be Protected</w:t>
      </w:r>
      <w:r w:rsidRPr="00091683">
        <w:rPr>
          <w:rFonts w:ascii="Times New Roman" w:hAnsi="Times New Roman"/>
        </w:rPr>
        <w:t xml:space="preserve"> (Aug. 2017), </w:t>
      </w:r>
      <w:r w:rsidRPr="00091683">
        <w:rPr>
          <w:rFonts w:ascii="Times New Roman" w:hAnsi="Times New Roman"/>
          <w:i/>
        </w:rPr>
        <w:t>available at</w:t>
      </w:r>
      <w:r w:rsidRPr="00091683">
        <w:rPr>
          <w:rFonts w:ascii="Times New Roman" w:hAnsi="Times New Roman"/>
        </w:rPr>
        <w:t xml:space="preserve"> </w:t>
      </w:r>
      <w:hyperlink r:id="rId83" w:history="1">
        <w:r w:rsidRPr="00091683">
          <w:rPr>
            <w:rStyle w:val="Hyperlink"/>
            <w:rFonts w:ascii="Times New Roman" w:hAnsi="Times New Roman"/>
          </w:rPr>
          <w:t>https://comptroller.nyc.gov/wp-content/uploads/documents/Title_X_Funding_in_NYC.pdf</w:t>
        </w:r>
      </w:hyperlink>
      <w:r w:rsidRPr="00091683">
        <w:rPr>
          <w:rFonts w:ascii="Times New Roman" w:hAnsi="Times New Roman"/>
        </w:rPr>
        <w:t xml:space="preserve">; </w:t>
      </w:r>
      <w:r w:rsidRPr="00091683">
        <w:rPr>
          <w:rFonts w:ascii="Times New Roman" w:eastAsia="Calibri" w:hAnsi="Times New Roman"/>
          <w:color w:val="000000"/>
        </w:rPr>
        <w:t>Public Law 91-572 (Dec. 25, 1970).</w:t>
      </w:r>
    </w:p>
  </w:footnote>
  <w:footnote w:id="90">
    <w:p w14:paraId="6F98970B" w14:textId="28D4420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Sites that do not offer abortion services may still qualify for Title X funds, but may decide not to participate because of concerns about clinical standards of care, medical liability, and burdensome administrative requirements. </w:t>
      </w:r>
      <w:r w:rsidRPr="00091683">
        <w:rPr>
          <w:rFonts w:ascii="Times New Roman" w:hAnsi="Times New Roman"/>
          <w:i/>
        </w:rPr>
        <w:t>See</w:t>
      </w:r>
      <w:r w:rsidRPr="00091683">
        <w:rPr>
          <w:rFonts w:ascii="Times New Roman" w:hAnsi="Times New Roman"/>
        </w:rPr>
        <w:t xml:space="preserve"> Laurie Sobel, et al., “Proposed Changes to Title X: Implications for Women and Family Planning Providers” Kaiser Family Foundation (Nov. 21, 2018), </w:t>
      </w:r>
      <w:r w:rsidRPr="00091683">
        <w:rPr>
          <w:rFonts w:ascii="Times New Roman" w:hAnsi="Times New Roman"/>
          <w:i/>
        </w:rPr>
        <w:t>available at</w:t>
      </w:r>
      <w:r w:rsidRPr="00091683">
        <w:rPr>
          <w:rFonts w:ascii="Times New Roman" w:hAnsi="Times New Roman"/>
        </w:rPr>
        <w:t xml:space="preserve"> </w:t>
      </w:r>
      <w:hyperlink r:id="rId84" w:history="1">
        <w:r w:rsidRPr="00091683">
          <w:rPr>
            <w:rStyle w:val="Hyperlink"/>
            <w:rFonts w:ascii="Times New Roman" w:hAnsi="Times New Roman"/>
          </w:rPr>
          <w:t>https://www.kff.org/womens-health-policy/issue-brief/proposed-changes-to-title-x-implications-for-women-and-family-planning-providers/</w:t>
        </w:r>
      </w:hyperlink>
      <w:r w:rsidRPr="00091683">
        <w:rPr>
          <w:rFonts w:ascii="Times New Roman" w:hAnsi="Times New Roman"/>
        </w:rPr>
        <w:t xml:space="preserve">. </w:t>
      </w:r>
    </w:p>
  </w:footnote>
  <w:footnote w:id="91">
    <w:p w14:paraId="6185BB1F" w14:textId="1B2EB20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Laurie Sobel, et al., “Proposed Changes to Title X: Implications for Women and Family Planning Providers” Kaiser Family Foundation (Nov. 21, 2018), </w:t>
      </w:r>
      <w:r w:rsidRPr="00091683">
        <w:rPr>
          <w:rFonts w:ascii="Times New Roman" w:hAnsi="Times New Roman"/>
          <w:i/>
        </w:rPr>
        <w:t>available at</w:t>
      </w:r>
      <w:r w:rsidRPr="00091683">
        <w:rPr>
          <w:rFonts w:ascii="Times New Roman" w:hAnsi="Times New Roman"/>
        </w:rPr>
        <w:t xml:space="preserve"> </w:t>
      </w:r>
      <w:hyperlink r:id="rId85" w:history="1">
        <w:r w:rsidRPr="00091683">
          <w:rPr>
            <w:rStyle w:val="Hyperlink"/>
            <w:rFonts w:ascii="Times New Roman" w:hAnsi="Times New Roman"/>
          </w:rPr>
          <w:t>https://www.kff.org/womens-health-policy/issue-brief/proposed-changes-to-title-x-implications-for-women-and-family-planning-providers/</w:t>
        </w:r>
      </w:hyperlink>
      <w:r w:rsidRPr="00091683">
        <w:rPr>
          <w:rFonts w:ascii="Times New Roman" w:hAnsi="Times New Roman"/>
        </w:rPr>
        <w:t>.</w:t>
      </w:r>
    </w:p>
  </w:footnote>
  <w:footnote w:id="92">
    <w:p w14:paraId="71669F36" w14:textId="7D3A5397" w:rsidR="00362FA7" w:rsidRPr="00091683" w:rsidRDefault="00362FA7" w:rsidP="002578CB">
      <w:pPr>
        <w:pStyle w:val="FootnoteText"/>
        <w:tabs>
          <w:tab w:val="left" w:pos="1500"/>
        </w:tabs>
      </w:pPr>
      <w:r w:rsidRPr="00091683">
        <w:rPr>
          <w:rStyle w:val="FootnoteReference"/>
        </w:rPr>
        <w:footnoteRef/>
      </w:r>
      <w:r w:rsidRPr="00091683">
        <w:t xml:space="preserve"> </w:t>
      </w:r>
      <w:r w:rsidR="002578CB" w:rsidRPr="002578CB">
        <w:rPr>
          <w:i/>
          <w:iCs/>
        </w:rPr>
        <w:t xml:space="preserve">Id. </w:t>
      </w:r>
      <w:r w:rsidR="002578CB">
        <w:tab/>
      </w:r>
    </w:p>
  </w:footnote>
  <w:footnote w:id="93">
    <w:p w14:paraId="6252A16D" w14:textId="731BEC85" w:rsidR="00362FA7" w:rsidRPr="00091683" w:rsidRDefault="00362FA7">
      <w:pPr>
        <w:pStyle w:val="FootnoteText"/>
      </w:pPr>
      <w:r w:rsidRPr="00091683">
        <w:rPr>
          <w:rStyle w:val="FootnoteReference"/>
        </w:rPr>
        <w:footnoteRef/>
      </w:r>
      <w:r w:rsidRPr="00091683">
        <w:t xml:space="preserve"> </w:t>
      </w:r>
      <w:r w:rsidR="002578CB" w:rsidRPr="002578CB">
        <w:rPr>
          <w:i/>
          <w:iCs/>
        </w:rPr>
        <w:t>Id.</w:t>
      </w:r>
    </w:p>
  </w:footnote>
  <w:footnote w:id="94">
    <w:p w14:paraId="5A6179FC" w14:textId="55C39F90" w:rsidR="00362FA7" w:rsidRPr="00091683" w:rsidRDefault="00362FA7" w:rsidP="05EBA5AA">
      <w:pPr>
        <w:pStyle w:val="FootnoteText"/>
      </w:pPr>
      <w:r w:rsidRPr="00091683">
        <w:rPr>
          <w:rStyle w:val="FootnoteReference"/>
        </w:rPr>
        <w:footnoteRef/>
      </w:r>
      <w:r w:rsidRPr="00091683">
        <w:t xml:space="preserve"> </w:t>
      </w:r>
      <w:r w:rsidR="002578CB">
        <w:t xml:space="preserve">Carter Sherman, </w:t>
      </w:r>
      <w:r w:rsidR="002578CB" w:rsidRPr="002578CB">
        <w:rPr>
          <w:i/>
          <w:iCs/>
        </w:rPr>
        <w:t>6 States Are Now Rejecting Federal Money Because of Trump's Abortion 'Gag Rule</w:t>
      </w:r>
      <w:r w:rsidR="002578CB">
        <w:t>,</w:t>
      </w:r>
      <w:r w:rsidR="002578CB" w:rsidRPr="002578CB">
        <w:t>'</w:t>
      </w:r>
      <w:r w:rsidR="002578CB">
        <w:t xml:space="preserve"> </w:t>
      </w:r>
      <w:r w:rsidR="002578CB" w:rsidRPr="002578CB">
        <w:rPr>
          <w:smallCaps/>
        </w:rPr>
        <w:t xml:space="preserve">Vice News </w:t>
      </w:r>
      <w:r w:rsidR="002578CB">
        <w:t xml:space="preserve">(Aug. 30, 2019), </w:t>
      </w:r>
      <w:r w:rsidR="002578CB" w:rsidRPr="002578CB">
        <w:rPr>
          <w:i/>
          <w:iCs/>
        </w:rPr>
        <w:t>available at</w:t>
      </w:r>
      <w:r w:rsidR="002578CB" w:rsidRPr="002578CB">
        <w:t xml:space="preserve"> </w:t>
      </w:r>
      <w:hyperlink r:id="rId86" w:history="1">
        <w:r w:rsidR="002578CB" w:rsidRPr="00F61FCB">
          <w:rPr>
            <w:rStyle w:val="Hyperlink"/>
          </w:rPr>
          <w:t>https://www.vice.com/en/article/ne8n8b/6-states-are-now-rejecting-federal-money-because-of-trumps-abortion-gag-rule</w:t>
        </w:r>
      </w:hyperlink>
      <w:r w:rsidR="002578CB">
        <w:t xml:space="preserve">. </w:t>
      </w:r>
    </w:p>
  </w:footnote>
  <w:footnote w:id="95">
    <w:p w14:paraId="7FC265C4" w14:textId="55FC7B7E" w:rsidR="00362FA7" w:rsidRPr="00091683" w:rsidRDefault="00362FA7" w:rsidP="05EBA5AA">
      <w:pPr>
        <w:rPr>
          <w:sz w:val="20"/>
          <w:szCs w:val="20"/>
        </w:rPr>
      </w:pPr>
      <w:r w:rsidRPr="00091683">
        <w:rPr>
          <w:rStyle w:val="FootnoteReference"/>
          <w:sz w:val="20"/>
          <w:szCs w:val="20"/>
        </w:rPr>
        <w:footnoteRef/>
      </w:r>
      <w:r w:rsidRPr="00091683">
        <w:rPr>
          <w:sz w:val="20"/>
          <w:szCs w:val="20"/>
        </w:rPr>
        <w:t xml:space="preserve"> </w:t>
      </w:r>
      <w:r w:rsidR="00F52489">
        <w:rPr>
          <w:sz w:val="20"/>
          <w:szCs w:val="20"/>
        </w:rPr>
        <w:t xml:space="preserve">Andy Babusik, </w:t>
      </w:r>
      <w:r w:rsidR="00F52489" w:rsidRPr="00F52489">
        <w:rPr>
          <w:i/>
          <w:iCs/>
          <w:sz w:val="20"/>
          <w:szCs w:val="20"/>
        </w:rPr>
        <w:t>New York State Says "No" to Trump's "Gag Rule" for Title X Funding</w:t>
      </w:r>
      <w:r w:rsidR="00F52489">
        <w:rPr>
          <w:sz w:val="20"/>
          <w:szCs w:val="20"/>
        </w:rPr>
        <w:t xml:space="preserve">, FOX (Aug. 28, 2019), </w:t>
      </w:r>
      <w:r w:rsidR="00F52489" w:rsidRPr="00F52489">
        <w:rPr>
          <w:i/>
          <w:iCs/>
          <w:sz w:val="20"/>
          <w:szCs w:val="20"/>
        </w:rPr>
        <w:t xml:space="preserve">available at </w:t>
      </w:r>
      <w:hyperlink r:id="rId87" w:history="1">
        <w:r w:rsidR="00F52489" w:rsidRPr="00F61FCB">
          <w:rPr>
            <w:rStyle w:val="Hyperlink"/>
            <w:sz w:val="20"/>
            <w:szCs w:val="20"/>
          </w:rPr>
          <w:t>http://www.wicz.com/story/40976715/new-york-state-says-no-to-trumps-gag-rule-for-title-x-funding</w:t>
        </w:r>
      </w:hyperlink>
      <w:r w:rsidR="00F52489">
        <w:rPr>
          <w:sz w:val="20"/>
          <w:szCs w:val="20"/>
        </w:rPr>
        <w:t>.</w:t>
      </w:r>
    </w:p>
  </w:footnote>
  <w:footnote w:id="96">
    <w:p w14:paraId="5DA2A44C" w14:textId="48EC80A6" w:rsidR="00362FA7" w:rsidRPr="00091683" w:rsidRDefault="00362FA7" w:rsidP="05EBA5AA">
      <w:pPr>
        <w:pStyle w:val="FootnoteText"/>
      </w:pPr>
      <w:r w:rsidRPr="00091683">
        <w:rPr>
          <w:rStyle w:val="FootnoteReference"/>
        </w:rPr>
        <w:footnoteRef/>
      </w:r>
      <w:r w:rsidRPr="00091683">
        <w:t xml:space="preserve"> See, e.g., </w:t>
      </w:r>
      <w:r w:rsidR="00F52489">
        <w:t xml:space="preserve">Sarah MacCammon, </w:t>
      </w:r>
      <w:r w:rsidR="00F52489" w:rsidRPr="00F52489">
        <w:rPr>
          <w:i/>
          <w:iCs/>
        </w:rPr>
        <w:t>Planned Parenthood Withdraws From Title X Program Over Trump Abortion Rule</w:t>
      </w:r>
      <w:r w:rsidR="00F52489">
        <w:t xml:space="preserve">, NPR (Aug. 19, 2019), </w:t>
      </w:r>
      <w:r w:rsidR="00F52489" w:rsidRPr="00F52489">
        <w:rPr>
          <w:i/>
          <w:iCs/>
        </w:rPr>
        <w:t xml:space="preserve">available at </w:t>
      </w:r>
      <w:hyperlink r:id="rId88" w:history="1">
        <w:r w:rsidR="00F52489" w:rsidRPr="00F61FCB">
          <w:rPr>
            <w:rStyle w:val="Hyperlink"/>
          </w:rPr>
          <w:t>https://www.npr.org/2019/08/19/752438119/planned-parenthood-out-of-title-x-over-trump-rule</w:t>
        </w:r>
      </w:hyperlink>
      <w:r w:rsidRPr="00091683">
        <w:t xml:space="preserve">; </w:t>
      </w:r>
      <w:r w:rsidR="00F52489">
        <w:t xml:space="preserve">Public Health Solutions, </w:t>
      </w:r>
      <w:r w:rsidR="00F52489" w:rsidRPr="00F52489">
        <w:rPr>
          <w:i/>
          <w:iCs/>
        </w:rPr>
        <w:t>Statement from PHS President and CEO, Lisa M. David Rejecting Title X Funding</w:t>
      </w:r>
      <w:r w:rsidR="00F52489">
        <w:t xml:space="preserve"> (Aug. 2, 2019), </w:t>
      </w:r>
      <w:r w:rsidR="00F52489" w:rsidRPr="00F52489">
        <w:rPr>
          <w:i/>
          <w:iCs/>
        </w:rPr>
        <w:t xml:space="preserve">available at </w:t>
      </w:r>
      <w:hyperlink r:id="rId89" w:history="1">
        <w:r w:rsidR="00F52489" w:rsidRPr="00F61FCB">
          <w:rPr>
            <w:rStyle w:val="Hyperlink"/>
          </w:rPr>
          <w:t>https://www.healthsolutions.org/blog/statement-from-phs-president-ceo-lisa-m-david-rejecting-title-x-funding/</w:t>
        </w:r>
      </w:hyperlink>
      <w:r w:rsidR="00F52489">
        <w:t>.</w:t>
      </w:r>
      <w:r w:rsidRPr="00091683">
        <w:t xml:space="preserve">  </w:t>
      </w:r>
    </w:p>
  </w:footnote>
  <w:footnote w:id="97">
    <w:p w14:paraId="3EB8406C" w14:textId="29C0C2B9" w:rsidR="00362FA7" w:rsidRDefault="00362FA7" w:rsidP="05EBA5AA">
      <w:pPr>
        <w:pStyle w:val="FootnoteText"/>
      </w:pPr>
      <w:r w:rsidRPr="00091683">
        <w:rPr>
          <w:rStyle w:val="FootnoteReference"/>
        </w:rPr>
        <w:footnoteRef/>
      </w:r>
      <w:r w:rsidRPr="00091683">
        <w:t xml:space="preserve"> See </w:t>
      </w:r>
      <w:r w:rsidR="00F52489">
        <w:t xml:space="preserve">Jennifer Calfas, </w:t>
      </w:r>
      <w:r w:rsidR="00F52489" w:rsidRPr="00F52489">
        <w:rPr>
          <w:i/>
          <w:iCs/>
        </w:rPr>
        <w:t>States Look to Fill Funding Gaps for Clinics Providing Abortions</w:t>
      </w:r>
      <w:r w:rsidR="00F52489">
        <w:rPr>
          <w:i/>
          <w:iCs/>
        </w:rPr>
        <w:t xml:space="preserve">, </w:t>
      </w:r>
      <w:r w:rsidR="00F52489" w:rsidRPr="00F52489">
        <w:rPr>
          <w:smallCaps/>
        </w:rPr>
        <w:t>Wall Street Journal</w:t>
      </w:r>
      <w:r w:rsidR="00F52489" w:rsidRPr="00F52489">
        <w:t xml:space="preserve"> </w:t>
      </w:r>
      <w:r w:rsidR="00F52489">
        <w:t xml:space="preserve">(Feb. 14, 2020), </w:t>
      </w:r>
      <w:r w:rsidR="00F52489" w:rsidRPr="00F52489">
        <w:rPr>
          <w:i/>
          <w:iCs/>
        </w:rPr>
        <w:t xml:space="preserve">available at </w:t>
      </w:r>
      <w:hyperlink r:id="rId90" w:history="1">
        <w:r w:rsidR="00F52489" w:rsidRPr="00F61FCB">
          <w:rPr>
            <w:rStyle w:val="Hyperlink"/>
          </w:rPr>
          <w:t>https://www.wsj.com/articles/states-look-to-fill-funding-gaps-for-clinics-providing-abortions-11581718953</w:t>
        </w:r>
      </w:hyperlink>
      <w:r w:rsidRPr="00091683">
        <w:t>.</w:t>
      </w:r>
      <w:r>
        <w:t xml:space="preserve"> </w:t>
      </w:r>
    </w:p>
  </w:footnote>
  <w:footnote w:id="98">
    <w:p w14:paraId="4E918C0B" w14:textId="62FB0A59" w:rsidR="00362FA7" w:rsidRPr="00091683" w:rsidRDefault="00362FA7" w:rsidP="05EBA5AA">
      <w:pPr>
        <w:pStyle w:val="FootnoteText"/>
      </w:pPr>
      <w:r w:rsidRPr="00091683">
        <w:rPr>
          <w:rStyle w:val="FootnoteReference"/>
        </w:rPr>
        <w:footnoteRef/>
      </w:r>
      <w:r w:rsidRPr="00091683">
        <w:t xml:space="preserve"> </w:t>
      </w:r>
      <w:r w:rsidRPr="00091683">
        <w:rPr>
          <w:color w:val="000000" w:themeColor="text1"/>
        </w:rPr>
        <w:t xml:space="preserve">PHS sub-grantees included organizations like Community Health Network (CHN) and Planned Parenthood of New York (PPNY), while 11 hospitals in NYC receive funding through NYSDOH. Together, NYSDOH and PHS. </w:t>
      </w:r>
    </w:p>
  </w:footnote>
  <w:footnote w:id="99">
    <w:p w14:paraId="4A7DFF43" w14:textId="47D29F04" w:rsidR="00362FA7" w:rsidRPr="00091683" w:rsidRDefault="00362FA7" w:rsidP="05EBA5AA">
      <w:pPr>
        <w:pStyle w:val="FootnoteText"/>
        <w:rPr>
          <w:color w:val="FF0000"/>
        </w:rPr>
      </w:pPr>
      <w:r w:rsidRPr="00091683">
        <w:rPr>
          <w:rStyle w:val="FootnoteReference"/>
        </w:rPr>
        <w:footnoteRef/>
      </w:r>
      <w:r w:rsidRPr="00091683">
        <w:t xml:space="preserve"> </w:t>
      </w:r>
      <w:r w:rsidR="00F52489">
        <w:t>New York State, Making Progress Happen: FY 2021 Executive Budget (2020), available at (</w:t>
      </w:r>
      <w:hyperlink r:id="rId91" w:history="1">
        <w:r w:rsidR="00F52489" w:rsidRPr="00F61FCB">
          <w:rPr>
            <w:rStyle w:val="Hyperlink"/>
          </w:rPr>
          <w:t>https://www.governor.ny.gov/sites/governor.ny.gov/files/atoms/files/FY2021BudgetBook.pdf</w:t>
        </w:r>
      </w:hyperlink>
      <w:r w:rsidR="00F52489">
        <w:t>.</w:t>
      </w:r>
    </w:p>
  </w:footnote>
  <w:footnote w:id="100">
    <w:p w14:paraId="46EACE5D" w14:textId="477ACE7B" w:rsidR="00362FA7" w:rsidRPr="00091683" w:rsidRDefault="00362FA7" w:rsidP="05EBA5AA">
      <w:pPr>
        <w:pStyle w:val="FootnoteText"/>
      </w:pPr>
      <w:r w:rsidRPr="00091683">
        <w:rPr>
          <w:rStyle w:val="FootnoteReference"/>
        </w:rPr>
        <w:footnoteRef/>
      </w:r>
      <w:r w:rsidRPr="00091683">
        <w:t xml:space="preserve"> Ruth Dawson, </w:t>
      </w:r>
      <w:r w:rsidRPr="00F52489">
        <w:rPr>
          <w:i/>
          <w:iCs/>
        </w:rPr>
        <w:t>Trump Administration’s Domestic Gag Rule Has Slashed the Title X Network’s Capacity by Half</w:t>
      </w:r>
      <w:r w:rsidRPr="00091683">
        <w:t xml:space="preserve"> (Feb. 5, 2020</w:t>
      </w:r>
      <w:r w:rsidRPr="00F52489">
        <w:rPr>
          <w:i/>
          <w:iCs/>
        </w:rPr>
        <w:t>), available at</w:t>
      </w:r>
      <w:r w:rsidRPr="00091683">
        <w:t xml:space="preserve"> </w:t>
      </w:r>
      <w:hyperlink r:id="rId92">
        <w:r w:rsidRPr="00091683">
          <w:rPr>
            <w:rStyle w:val="Hyperlink"/>
          </w:rPr>
          <w:t>https://www.guttmacher.org/article/2020/02/trump-administrations-domestic-gag-rule-has-slashed-title-x-networks-capacity-half#</w:t>
        </w:r>
      </w:hyperlink>
      <w:r w:rsidRPr="00091683">
        <w:t xml:space="preserve">; Judith M. Orvos, Impact of Title X changes on family planning access for Texas teens, Contemporary OB/GYN (Mar. 5, 2020), </w:t>
      </w:r>
      <w:r w:rsidRPr="00F52489">
        <w:rPr>
          <w:i/>
          <w:iCs/>
        </w:rPr>
        <w:t>available at</w:t>
      </w:r>
      <w:r w:rsidRPr="00091683">
        <w:t xml:space="preserve"> </w:t>
      </w:r>
      <w:hyperlink r:id="rId93">
        <w:r w:rsidRPr="00091683">
          <w:rPr>
            <w:rStyle w:val="Hyperlink"/>
          </w:rPr>
          <w:t>https://www.contemporaryobgyn.net/view/impact-title-x-changes-family-planning-access-texas-teens</w:t>
        </w:r>
      </w:hyperlink>
      <w:r w:rsidRPr="00091683">
        <w:t>; Laurie Sobel, et al., “Proposed Changes to Title X: Implications for Women and Family Planning Providers” Kaiser Family Foundation (Sep. 20, 2019), available at</w:t>
      </w:r>
      <w:r w:rsidRPr="00091683">
        <w:rPr>
          <w:rFonts w:ascii="Cambria" w:eastAsia="Cambria" w:hAnsi="Cambria" w:cs="Cambria"/>
        </w:rPr>
        <w:t xml:space="preserve"> </w:t>
      </w:r>
      <w:hyperlink r:id="rId94">
        <w:r w:rsidRPr="00091683">
          <w:rPr>
            <w:rStyle w:val="Hyperlink"/>
          </w:rPr>
          <w:t>https://www.kff.org/womens-health-policy/issue-brief/data-note-impact-of-new-title-x-regulations-on-network-participation/</w:t>
        </w:r>
      </w:hyperlink>
      <w:r w:rsidRPr="0009168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35B739F"/>
    <w:multiLevelType w:val="hybridMultilevel"/>
    <w:tmpl w:val="1A6E7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04FA"/>
    <w:multiLevelType w:val="hybridMultilevel"/>
    <w:tmpl w:val="0FB4E536"/>
    <w:lvl w:ilvl="0" w:tplc="0C64DECC">
      <w:start w:val="1"/>
      <w:numFmt w:val="bullet"/>
      <w:lvlText w:val=""/>
      <w:lvlJc w:val="left"/>
      <w:pPr>
        <w:tabs>
          <w:tab w:val="num" w:pos="720"/>
        </w:tabs>
        <w:ind w:left="720" w:hanging="360"/>
      </w:pPr>
      <w:rPr>
        <w:rFonts w:ascii="Symbol" w:hAnsi="Symbol" w:hint="default"/>
        <w:sz w:val="20"/>
      </w:rPr>
    </w:lvl>
    <w:lvl w:ilvl="1" w:tplc="B9964D6A" w:tentative="1">
      <w:start w:val="1"/>
      <w:numFmt w:val="bullet"/>
      <w:lvlText w:val="o"/>
      <w:lvlJc w:val="left"/>
      <w:pPr>
        <w:tabs>
          <w:tab w:val="num" w:pos="1440"/>
        </w:tabs>
        <w:ind w:left="1440" w:hanging="360"/>
      </w:pPr>
      <w:rPr>
        <w:rFonts w:ascii="Courier New" w:hAnsi="Courier New" w:hint="default"/>
        <w:sz w:val="20"/>
      </w:rPr>
    </w:lvl>
    <w:lvl w:ilvl="2" w:tplc="71764E66" w:tentative="1">
      <w:start w:val="1"/>
      <w:numFmt w:val="bullet"/>
      <w:lvlText w:val=""/>
      <w:lvlJc w:val="left"/>
      <w:pPr>
        <w:tabs>
          <w:tab w:val="num" w:pos="2160"/>
        </w:tabs>
        <w:ind w:left="2160" w:hanging="360"/>
      </w:pPr>
      <w:rPr>
        <w:rFonts w:ascii="Wingdings" w:hAnsi="Wingdings" w:hint="default"/>
        <w:sz w:val="20"/>
      </w:rPr>
    </w:lvl>
    <w:lvl w:ilvl="3" w:tplc="F586DC50" w:tentative="1">
      <w:start w:val="1"/>
      <w:numFmt w:val="bullet"/>
      <w:lvlText w:val=""/>
      <w:lvlJc w:val="left"/>
      <w:pPr>
        <w:tabs>
          <w:tab w:val="num" w:pos="2880"/>
        </w:tabs>
        <w:ind w:left="2880" w:hanging="360"/>
      </w:pPr>
      <w:rPr>
        <w:rFonts w:ascii="Wingdings" w:hAnsi="Wingdings" w:hint="default"/>
        <w:sz w:val="20"/>
      </w:rPr>
    </w:lvl>
    <w:lvl w:ilvl="4" w:tplc="8D78C828" w:tentative="1">
      <w:start w:val="1"/>
      <w:numFmt w:val="bullet"/>
      <w:lvlText w:val=""/>
      <w:lvlJc w:val="left"/>
      <w:pPr>
        <w:tabs>
          <w:tab w:val="num" w:pos="3600"/>
        </w:tabs>
        <w:ind w:left="3600" w:hanging="360"/>
      </w:pPr>
      <w:rPr>
        <w:rFonts w:ascii="Wingdings" w:hAnsi="Wingdings" w:hint="default"/>
        <w:sz w:val="20"/>
      </w:rPr>
    </w:lvl>
    <w:lvl w:ilvl="5" w:tplc="5DBA0EC2" w:tentative="1">
      <w:start w:val="1"/>
      <w:numFmt w:val="bullet"/>
      <w:lvlText w:val=""/>
      <w:lvlJc w:val="left"/>
      <w:pPr>
        <w:tabs>
          <w:tab w:val="num" w:pos="4320"/>
        </w:tabs>
        <w:ind w:left="4320" w:hanging="360"/>
      </w:pPr>
      <w:rPr>
        <w:rFonts w:ascii="Wingdings" w:hAnsi="Wingdings" w:hint="default"/>
        <w:sz w:val="20"/>
      </w:rPr>
    </w:lvl>
    <w:lvl w:ilvl="6" w:tplc="9CAC18F6" w:tentative="1">
      <w:start w:val="1"/>
      <w:numFmt w:val="bullet"/>
      <w:lvlText w:val=""/>
      <w:lvlJc w:val="left"/>
      <w:pPr>
        <w:tabs>
          <w:tab w:val="num" w:pos="5040"/>
        </w:tabs>
        <w:ind w:left="5040" w:hanging="360"/>
      </w:pPr>
      <w:rPr>
        <w:rFonts w:ascii="Wingdings" w:hAnsi="Wingdings" w:hint="default"/>
        <w:sz w:val="20"/>
      </w:rPr>
    </w:lvl>
    <w:lvl w:ilvl="7" w:tplc="DE9453FE" w:tentative="1">
      <w:start w:val="1"/>
      <w:numFmt w:val="bullet"/>
      <w:lvlText w:val=""/>
      <w:lvlJc w:val="left"/>
      <w:pPr>
        <w:tabs>
          <w:tab w:val="num" w:pos="5760"/>
        </w:tabs>
        <w:ind w:left="5760" w:hanging="360"/>
      </w:pPr>
      <w:rPr>
        <w:rFonts w:ascii="Wingdings" w:hAnsi="Wingdings" w:hint="default"/>
        <w:sz w:val="20"/>
      </w:rPr>
    </w:lvl>
    <w:lvl w:ilvl="8" w:tplc="D0027E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1923"/>
    <w:multiLevelType w:val="hybridMultilevel"/>
    <w:tmpl w:val="FFFFFFFF"/>
    <w:lvl w:ilvl="0" w:tplc="1668E6FA">
      <w:start w:val="1"/>
      <w:numFmt w:val="upperLetter"/>
      <w:lvlText w:val="%1."/>
      <w:lvlJc w:val="left"/>
      <w:pPr>
        <w:ind w:left="720" w:hanging="360"/>
      </w:pPr>
    </w:lvl>
    <w:lvl w:ilvl="1" w:tplc="BE4886DA">
      <w:start w:val="1"/>
      <w:numFmt w:val="lowerLetter"/>
      <w:lvlText w:val="%2."/>
      <w:lvlJc w:val="left"/>
      <w:pPr>
        <w:ind w:left="1440" w:hanging="360"/>
      </w:pPr>
    </w:lvl>
    <w:lvl w:ilvl="2" w:tplc="BC2EB13E">
      <w:start w:val="1"/>
      <w:numFmt w:val="lowerRoman"/>
      <w:lvlText w:val="%3."/>
      <w:lvlJc w:val="right"/>
      <w:pPr>
        <w:ind w:left="2160" w:hanging="180"/>
      </w:pPr>
    </w:lvl>
    <w:lvl w:ilvl="3" w:tplc="1812BDD8">
      <w:start w:val="1"/>
      <w:numFmt w:val="decimal"/>
      <w:lvlText w:val="%4."/>
      <w:lvlJc w:val="left"/>
      <w:pPr>
        <w:ind w:left="2880" w:hanging="360"/>
      </w:pPr>
    </w:lvl>
    <w:lvl w:ilvl="4" w:tplc="B6206344">
      <w:start w:val="1"/>
      <w:numFmt w:val="lowerLetter"/>
      <w:lvlText w:val="%5."/>
      <w:lvlJc w:val="left"/>
      <w:pPr>
        <w:ind w:left="3600" w:hanging="360"/>
      </w:pPr>
    </w:lvl>
    <w:lvl w:ilvl="5" w:tplc="8E80370C">
      <w:start w:val="1"/>
      <w:numFmt w:val="lowerRoman"/>
      <w:lvlText w:val="%6."/>
      <w:lvlJc w:val="right"/>
      <w:pPr>
        <w:ind w:left="4320" w:hanging="180"/>
      </w:pPr>
    </w:lvl>
    <w:lvl w:ilvl="6" w:tplc="10969FCC">
      <w:start w:val="1"/>
      <w:numFmt w:val="decimal"/>
      <w:lvlText w:val="%7."/>
      <w:lvlJc w:val="left"/>
      <w:pPr>
        <w:ind w:left="5040" w:hanging="360"/>
      </w:pPr>
    </w:lvl>
    <w:lvl w:ilvl="7" w:tplc="0212BAB4">
      <w:start w:val="1"/>
      <w:numFmt w:val="lowerLetter"/>
      <w:lvlText w:val="%8."/>
      <w:lvlJc w:val="left"/>
      <w:pPr>
        <w:ind w:left="5760" w:hanging="360"/>
      </w:pPr>
    </w:lvl>
    <w:lvl w:ilvl="8" w:tplc="2D2EB6EA">
      <w:start w:val="1"/>
      <w:numFmt w:val="lowerRoman"/>
      <w:lvlText w:val="%9."/>
      <w:lvlJc w:val="right"/>
      <w:pPr>
        <w:ind w:left="6480" w:hanging="180"/>
      </w:pPr>
    </w:lvl>
  </w:abstractNum>
  <w:abstractNum w:abstractNumId="4" w15:restartNumberingAfterBreak="0">
    <w:nsid w:val="0C1F31F1"/>
    <w:multiLevelType w:val="hybridMultilevel"/>
    <w:tmpl w:val="4F40DF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F73B51"/>
    <w:multiLevelType w:val="hybridMultilevel"/>
    <w:tmpl w:val="AC1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F6EF2"/>
    <w:multiLevelType w:val="hybridMultilevel"/>
    <w:tmpl w:val="F52419FC"/>
    <w:lvl w:ilvl="0" w:tplc="21F07534">
      <w:start w:val="1"/>
      <w:numFmt w:val="bullet"/>
      <w:lvlText w:val="·"/>
      <w:lvlJc w:val="left"/>
      <w:pPr>
        <w:ind w:left="720" w:hanging="360"/>
      </w:pPr>
      <w:rPr>
        <w:rFonts w:ascii="Symbol" w:hAnsi="Symbol" w:hint="default"/>
      </w:rPr>
    </w:lvl>
    <w:lvl w:ilvl="1" w:tplc="F0DA6B6E">
      <w:start w:val="1"/>
      <w:numFmt w:val="bullet"/>
      <w:lvlText w:val="o"/>
      <w:lvlJc w:val="left"/>
      <w:pPr>
        <w:ind w:left="1440" w:hanging="360"/>
      </w:pPr>
      <w:rPr>
        <w:rFonts w:ascii="Courier New" w:hAnsi="Courier New" w:hint="default"/>
      </w:rPr>
    </w:lvl>
    <w:lvl w:ilvl="2" w:tplc="B47A4C88">
      <w:start w:val="1"/>
      <w:numFmt w:val="bullet"/>
      <w:lvlText w:val=""/>
      <w:lvlJc w:val="left"/>
      <w:pPr>
        <w:ind w:left="2160" w:hanging="360"/>
      </w:pPr>
      <w:rPr>
        <w:rFonts w:ascii="Wingdings" w:hAnsi="Wingdings" w:hint="default"/>
      </w:rPr>
    </w:lvl>
    <w:lvl w:ilvl="3" w:tplc="700AAB5E">
      <w:start w:val="1"/>
      <w:numFmt w:val="bullet"/>
      <w:lvlText w:val=""/>
      <w:lvlJc w:val="left"/>
      <w:pPr>
        <w:ind w:left="2880" w:hanging="360"/>
      </w:pPr>
      <w:rPr>
        <w:rFonts w:ascii="Symbol" w:hAnsi="Symbol" w:hint="default"/>
      </w:rPr>
    </w:lvl>
    <w:lvl w:ilvl="4" w:tplc="CDCCB256">
      <w:start w:val="1"/>
      <w:numFmt w:val="bullet"/>
      <w:lvlText w:val="o"/>
      <w:lvlJc w:val="left"/>
      <w:pPr>
        <w:ind w:left="3600" w:hanging="360"/>
      </w:pPr>
      <w:rPr>
        <w:rFonts w:ascii="Courier New" w:hAnsi="Courier New" w:hint="default"/>
      </w:rPr>
    </w:lvl>
    <w:lvl w:ilvl="5" w:tplc="2BEA0A6C">
      <w:start w:val="1"/>
      <w:numFmt w:val="bullet"/>
      <w:lvlText w:val=""/>
      <w:lvlJc w:val="left"/>
      <w:pPr>
        <w:ind w:left="4320" w:hanging="360"/>
      </w:pPr>
      <w:rPr>
        <w:rFonts w:ascii="Wingdings" w:hAnsi="Wingdings" w:hint="default"/>
      </w:rPr>
    </w:lvl>
    <w:lvl w:ilvl="6" w:tplc="0EE82E66">
      <w:start w:val="1"/>
      <w:numFmt w:val="bullet"/>
      <w:lvlText w:val=""/>
      <w:lvlJc w:val="left"/>
      <w:pPr>
        <w:ind w:left="5040" w:hanging="360"/>
      </w:pPr>
      <w:rPr>
        <w:rFonts w:ascii="Symbol" w:hAnsi="Symbol" w:hint="default"/>
      </w:rPr>
    </w:lvl>
    <w:lvl w:ilvl="7" w:tplc="7DE4096C">
      <w:start w:val="1"/>
      <w:numFmt w:val="bullet"/>
      <w:lvlText w:val="o"/>
      <w:lvlJc w:val="left"/>
      <w:pPr>
        <w:ind w:left="5760" w:hanging="360"/>
      </w:pPr>
      <w:rPr>
        <w:rFonts w:ascii="Courier New" w:hAnsi="Courier New" w:hint="default"/>
      </w:rPr>
    </w:lvl>
    <w:lvl w:ilvl="8" w:tplc="CA68A8CE">
      <w:start w:val="1"/>
      <w:numFmt w:val="bullet"/>
      <w:lvlText w:val=""/>
      <w:lvlJc w:val="left"/>
      <w:pPr>
        <w:ind w:left="6480" w:hanging="360"/>
      </w:pPr>
      <w:rPr>
        <w:rFonts w:ascii="Wingdings" w:hAnsi="Wingdings" w:hint="default"/>
      </w:rPr>
    </w:lvl>
  </w:abstractNum>
  <w:abstractNum w:abstractNumId="7" w15:restartNumberingAfterBreak="0">
    <w:nsid w:val="1A3112F1"/>
    <w:multiLevelType w:val="hybridMultilevel"/>
    <w:tmpl w:val="C3005FDE"/>
    <w:lvl w:ilvl="0" w:tplc="2766D8AC">
      <w:start w:val="1"/>
      <w:numFmt w:val="bullet"/>
      <w:lvlText w:val=""/>
      <w:lvlJc w:val="left"/>
      <w:pPr>
        <w:tabs>
          <w:tab w:val="num" w:pos="720"/>
        </w:tabs>
        <w:ind w:left="720" w:hanging="360"/>
      </w:pPr>
      <w:rPr>
        <w:rFonts w:ascii="Symbol" w:hAnsi="Symbol" w:hint="default"/>
        <w:sz w:val="20"/>
      </w:rPr>
    </w:lvl>
    <w:lvl w:ilvl="1" w:tplc="C26A0870">
      <w:start w:val="1"/>
      <w:numFmt w:val="bullet"/>
      <w:lvlText w:val="o"/>
      <w:lvlJc w:val="left"/>
      <w:pPr>
        <w:tabs>
          <w:tab w:val="num" w:pos="1440"/>
        </w:tabs>
        <w:ind w:left="1440" w:hanging="360"/>
      </w:pPr>
      <w:rPr>
        <w:rFonts w:ascii="Courier New" w:hAnsi="Courier New" w:hint="default"/>
        <w:sz w:val="20"/>
      </w:rPr>
    </w:lvl>
    <w:lvl w:ilvl="2" w:tplc="0AFE023C" w:tentative="1">
      <w:start w:val="1"/>
      <w:numFmt w:val="bullet"/>
      <w:lvlText w:val=""/>
      <w:lvlJc w:val="left"/>
      <w:pPr>
        <w:tabs>
          <w:tab w:val="num" w:pos="2160"/>
        </w:tabs>
        <w:ind w:left="2160" w:hanging="360"/>
      </w:pPr>
      <w:rPr>
        <w:rFonts w:ascii="Wingdings" w:hAnsi="Wingdings" w:hint="default"/>
        <w:sz w:val="20"/>
      </w:rPr>
    </w:lvl>
    <w:lvl w:ilvl="3" w:tplc="0C1CF544" w:tentative="1">
      <w:start w:val="1"/>
      <w:numFmt w:val="bullet"/>
      <w:lvlText w:val=""/>
      <w:lvlJc w:val="left"/>
      <w:pPr>
        <w:tabs>
          <w:tab w:val="num" w:pos="2880"/>
        </w:tabs>
        <w:ind w:left="2880" w:hanging="360"/>
      </w:pPr>
      <w:rPr>
        <w:rFonts w:ascii="Wingdings" w:hAnsi="Wingdings" w:hint="default"/>
        <w:sz w:val="20"/>
      </w:rPr>
    </w:lvl>
    <w:lvl w:ilvl="4" w:tplc="D7F2DB78" w:tentative="1">
      <w:start w:val="1"/>
      <w:numFmt w:val="bullet"/>
      <w:lvlText w:val=""/>
      <w:lvlJc w:val="left"/>
      <w:pPr>
        <w:tabs>
          <w:tab w:val="num" w:pos="3600"/>
        </w:tabs>
        <w:ind w:left="3600" w:hanging="360"/>
      </w:pPr>
      <w:rPr>
        <w:rFonts w:ascii="Wingdings" w:hAnsi="Wingdings" w:hint="default"/>
        <w:sz w:val="20"/>
      </w:rPr>
    </w:lvl>
    <w:lvl w:ilvl="5" w:tplc="283029C8" w:tentative="1">
      <w:start w:val="1"/>
      <w:numFmt w:val="bullet"/>
      <w:lvlText w:val=""/>
      <w:lvlJc w:val="left"/>
      <w:pPr>
        <w:tabs>
          <w:tab w:val="num" w:pos="4320"/>
        </w:tabs>
        <w:ind w:left="4320" w:hanging="360"/>
      </w:pPr>
      <w:rPr>
        <w:rFonts w:ascii="Wingdings" w:hAnsi="Wingdings" w:hint="default"/>
        <w:sz w:val="20"/>
      </w:rPr>
    </w:lvl>
    <w:lvl w:ilvl="6" w:tplc="63C4DA64" w:tentative="1">
      <w:start w:val="1"/>
      <w:numFmt w:val="bullet"/>
      <w:lvlText w:val=""/>
      <w:lvlJc w:val="left"/>
      <w:pPr>
        <w:tabs>
          <w:tab w:val="num" w:pos="5040"/>
        </w:tabs>
        <w:ind w:left="5040" w:hanging="360"/>
      </w:pPr>
      <w:rPr>
        <w:rFonts w:ascii="Wingdings" w:hAnsi="Wingdings" w:hint="default"/>
        <w:sz w:val="20"/>
      </w:rPr>
    </w:lvl>
    <w:lvl w:ilvl="7" w:tplc="B5FC3D72" w:tentative="1">
      <w:start w:val="1"/>
      <w:numFmt w:val="bullet"/>
      <w:lvlText w:val=""/>
      <w:lvlJc w:val="left"/>
      <w:pPr>
        <w:tabs>
          <w:tab w:val="num" w:pos="5760"/>
        </w:tabs>
        <w:ind w:left="5760" w:hanging="360"/>
      </w:pPr>
      <w:rPr>
        <w:rFonts w:ascii="Wingdings" w:hAnsi="Wingdings" w:hint="default"/>
        <w:sz w:val="20"/>
      </w:rPr>
    </w:lvl>
    <w:lvl w:ilvl="8" w:tplc="B80C4C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149"/>
    <w:multiLevelType w:val="hybridMultilevel"/>
    <w:tmpl w:val="FFFFFFFF"/>
    <w:lvl w:ilvl="0" w:tplc="9912AE8C">
      <w:start w:val="1"/>
      <w:numFmt w:val="decimal"/>
      <w:lvlText w:val="%1."/>
      <w:lvlJc w:val="left"/>
      <w:pPr>
        <w:ind w:left="720" w:hanging="360"/>
      </w:pPr>
    </w:lvl>
    <w:lvl w:ilvl="1" w:tplc="D63C6546">
      <w:start w:val="1"/>
      <w:numFmt w:val="lowerLetter"/>
      <w:lvlText w:val="%2."/>
      <w:lvlJc w:val="left"/>
      <w:pPr>
        <w:ind w:left="1440" w:hanging="360"/>
      </w:pPr>
    </w:lvl>
    <w:lvl w:ilvl="2" w:tplc="AACE42F6">
      <w:start w:val="1"/>
      <w:numFmt w:val="lowerRoman"/>
      <w:lvlText w:val="%3."/>
      <w:lvlJc w:val="right"/>
      <w:pPr>
        <w:ind w:left="2160" w:hanging="180"/>
      </w:pPr>
    </w:lvl>
    <w:lvl w:ilvl="3" w:tplc="4F0E22CE">
      <w:start w:val="1"/>
      <w:numFmt w:val="decimal"/>
      <w:lvlText w:val="%4."/>
      <w:lvlJc w:val="left"/>
      <w:pPr>
        <w:ind w:left="2880" w:hanging="360"/>
      </w:pPr>
    </w:lvl>
    <w:lvl w:ilvl="4" w:tplc="B3DA543E">
      <w:start w:val="1"/>
      <w:numFmt w:val="lowerLetter"/>
      <w:lvlText w:val="%5."/>
      <w:lvlJc w:val="left"/>
      <w:pPr>
        <w:ind w:left="3600" w:hanging="360"/>
      </w:pPr>
    </w:lvl>
    <w:lvl w:ilvl="5" w:tplc="38C8AC22">
      <w:start w:val="1"/>
      <w:numFmt w:val="lowerRoman"/>
      <w:lvlText w:val="%6."/>
      <w:lvlJc w:val="right"/>
      <w:pPr>
        <w:ind w:left="4320" w:hanging="180"/>
      </w:pPr>
    </w:lvl>
    <w:lvl w:ilvl="6" w:tplc="2C7050DC">
      <w:start w:val="1"/>
      <w:numFmt w:val="decimal"/>
      <w:lvlText w:val="%7."/>
      <w:lvlJc w:val="left"/>
      <w:pPr>
        <w:ind w:left="5040" w:hanging="360"/>
      </w:pPr>
    </w:lvl>
    <w:lvl w:ilvl="7" w:tplc="9D681264">
      <w:start w:val="1"/>
      <w:numFmt w:val="lowerLetter"/>
      <w:lvlText w:val="%8."/>
      <w:lvlJc w:val="left"/>
      <w:pPr>
        <w:ind w:left="5760" w:hanging="360"/>
      </w:pPr>
    </w:lvl>
    <w:lvl w:ilvl="8" w:tplc="D39E0D4E">
      <w:start w:val="1"/>
      <w:numFmt w:val="lowerRoman"/>
      <w:lvlText w:val="%9."/>
      <w:lvlJc w:val="right"/>
      <w:pPr>
        <w:ind w:left="6480" w:hanging="180"/>
      </w:pPr>
    </w:lvl>
  </w:abstractNum>
  <w:abstractNum w:abstractNumId="9"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FA4FAA"/>
    <w:multiLevelType w:val="hybridMultilevel"/>
    <w:tmpl w:val="F6B890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752A5E"/>
    <w:multiLevelType w:val="hybridMultilevel"/>
    <w:tmpl w:val="04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4628"/>
    <w:multiLevelType w:val="hybridMultilevel"/>
    <w:tmpl w:val="6792A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3939EC"/>
    <w:multiLevelType w:val="hybridMultilevel"/>
    <w:tmpl w:val="061251FC"/>
    <w:numStyleLink w:val="ImportedStyle1"/>
  </w:abstractNum>
  <w:abstractNum w:abstractNumId="14" w15:restartNumberingAfterBreak="0">
    <w:nsid w:val="2C417919"/>
    <w:multiLevelType w:val="hybridMultilevel"/>
    <w:tmpl w:val="1A7A13BC"/>
    <w:lvl w:ilvl="0" w:tplc="1E586102">
      <w:start w:val="4"/>
      <w:numFmt w:val="decimal"/>
      <w:lvlText w:val="%1."/>
      <w:lvlJc w:val="left"/>
      <w:pPr>
        <w:tabs>
          <w:tab w:val="num" w:pos="720"/>
        </w:tabs>
        <w:ind w:left="720" w:hanging="360"/>
      </w:pPr>
    </w:lvl>
    <w:lvl w:ilvl="1" w:tplc="12FA5DBE" w:tentative="1">
      <w:start w:val="1"/>
      <w:numFmt w:val="decimal"/>
      <w:lvlText w:val="%2."/>
      <w:lvlJc w:val="left"/>
      <w:pPr>
        <w:tabs>
          <w:tab w:val="num" w:pos="1440"/>
        </w:tabs>
        <w:ind w:left="1440" w:hanging="360"/>
      </w:pPr>
    </w:lvl>
    <w:lvl w:ilvl="2" w:tplc="B1DE086E" w:tentative="1">
      <w:start w:val="1"/>
      <w:numFmt w:val="decimal"/>
      <w:lvlText w:val="%3."/>
      <w:lvlJc w:val="left"/>
      <w:pPr>
        <w:tabs>
          <w:tab w:val="num" w:pos="2160"/>
        </w:tabs>
        <w:ind w:left="2160" w:hanging="360"/>
      </w:pPr>
    </w:lvl>
    <w:lvl w:ilvl="3" w:tplc="E30CD5F4" w:tentative="1">
      <w:start w:val="1"/>
      <w:numFmt w:val="decimal"/>
      <w:lvlText w:val="%4."/>
      <w:lvlJc w:val="left"/>
      <w:pPr>
        <w:tabs>
          <w:tab w:val="num" w:pos="2880"/>
        </w:tabs>
        <w:ind w:left="2880" w:hanging="360"/>
      </w:pPr>
    </w:lvl>
    <w:lvl w:ilvl="4" w:tplc="A7003C88" w:tentative="1">
      <w:start w:val="1"/>
      <w:numFmt w:val="decimal"/>
      <w:lvlText w:val="%5."/>
      <w:lvlJc w:val="left"/>
      <w:pPr>
        <w:tabs>
          <w:tab w:val="num" w:pos="3600"/>
        </w:tabs>
        <w:ind w:left="3600" w:hanging="360"/>
      </w:pPr>
    </w:lvl>
    <w:lvl w:ilvl="5" w:tplc="A24E2A12" w:tentative="1">
      <w:start w:val="1"/>
      <w:numFmt w:val="decimal"/>
      <w:lvlText w:val="%6."/>
      <w:lvlJc w:val="left"/>
      <w:pPr>
        <w:tabs>
          <w:tab w:val="num" w:pos="4320"/>
        </w:tabs>
        <w:ind w:left="4320" w:hanging="360"/>
      </w:pPr>
    </w:lvl>
    <w:lvl w:ilvl="6" w:tplc="68DEA4F8" w:tentative="1">
      <w:start w:val="1"/>
      <w:numFmt w:val="decimal"/>
      <w:lvlText w:val="%7."/>
      <w:lvlJc w:val="left"/>
      <w:pPr>
        <w:tabs>
          <w:tab w:val="num" w:pos="5040"/>
        </w:tabs>
        <w:ind w:left="5040" w:hanging="360"/>
      </w:pPr>
    </w:lvl>
    <w:lvl w:ilvl="7" w:tplc="2BDC250E" w:tentative="1">
      <w:start w:val="1"/>
      <w:numFmt w:val="decimal"/>
      <w:lvlText w:val="%8."/>
      <w:lvlJc w:val="left"/>
      <w:pPr>
        <w:tabs>
          <w:tab w:val="num" w:pos="5760"/>
        </w:tabs>
        <w:ind w:left="5760" w:hanging="360"/>
      </w:pPr>
    </w:lvl>
    <w:lvl w:ilvl="8" w:tplc="E9AE3472" w:tentative="1">
      <w:start w:val="1"/>
      <w:numFmt w:val="decimal"/>
      <w:lvlText w:val="%9."/>
      <w:lvlJc w:val="left"/>
      <w:pPr>
        <w:tabs>
          <w:tab w:val="num" w:pos="6480"/>
        </w:tabs>
        <w:ind w:left="6480" w:hanging="360"/>
      </w:pPr>
    </w:lvl>
  </w:abstractNum>
  <w:abstractNum w:abstractNumId="15" w15:restartNumberingAfterBreak="0">
    <w:nsid w:val="368130E7"/>
    <w:multiLevelType w:val="hybridMultilevel"/>
    <w:tmpl w:val="755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F282A"/>
    <w:multiLevelType w:val="hybridMultilevel"/>
    <w:tmpl w:val="00980EE0"/>
    <w:lvl w:ilvl="0" w:tplc="6B0E6176">
      <w:start w:val="1"/>
      <w:numFmt w:val="decimal"/>
      <w:lvlText w:val="%1."/>
      <w:lvlJc w:val="left"/>
      <w:pPr>
        <w:tabs>
          <w:tab w:val="num" w:pos="720"/>
        </w:tabs>
        <w:ind w:left="720" w:hanging="360"/>
      </w:pPr>
    </w:lvl>
    <w:lvl w:ilvl="1" w:tplc="762AB68C" w:tentative="1">
      <w:start w:val="1"/>
      <w:numFmt w:val="decimal"/>
      <w:lvlText w:val="%2."/>
      <w:lvlJc w:val="left"/>
      <w:pPr>
        <w:tabs>
          <w:tab w:val="num" w:pos="1440"/>
        </w:tabs>
        <w:ind w:left="1440" w:hanging="360"/>
      </w:pPr>
    </w:lvl>
    <w:lvl w:ilvl="2" w:tplc="902A176C" w:tentative="1">
      <w:start w:val="1"/>
      <w:numFmt w:val="decimal"/>
      <w:lvlText w:val="%3."/>
      <w:lvlJc w:val="left"/>
      <w:pPr>
        <w:tabs>
          <w:tab w:val="num" w:pos="2160"/>
        </w:tabs>
        <w:ind w:left="2160" w:hanging="360"/>
      </w:pPr>
    </w:lvl>
    <w:lvl w:ilvl="3" w:tplc="03D45E56" w:tentative="1">
      <w:start w:val="1"/>
      <w:numFmt w:val="decimal"/>
      <w:lvlText w:val="%4."/>
      <w:lvlJc w:val="left"/>
      <w:pPr>
        <w:tabs>
          <w:tab w:val="num" w:pos="2880"/>
        </w:tabs>
        <w:ind w:left="2880" w:hanging="360"/>
      </w:pPr>
    </w:lvl>
    <w:lvl w:ilvl="4" w:tplc="7AC67484" w:tentative="1">
      <w:start w:val="1"/>
      <w:numFmt w:val="decimal"/>
      <w:lvlText w:val="%5."/>
      <w:lvlJc w:val="left"/>
      <w:pPr>
        <w:tabs>
          <w:tab w:val="num" w:pos="3600"/>
        </w:tabs>
        <w:ind w:left="3600" w:hanging="360"/>
      </w:pPr>
    </w:lvl>
    <w:lvl w:ilvl="5" w:tplc="76E0F90C" w:tentative="1">
      <w:start w:val="1"/>
      <w:numFmt w:val="decimal"/>
      <w:lvlText w:val="%6."/>
      <w:lvlJc w:val="left"/>
      <w:pPr>
        <w:tabs>
          <w:tab w:val="num" w:pos="4320"/>
        </w:tabs>
        <w:ind w:left="4320" w:hanging="360"/>
      </w:pPr>
    </w:lvl>
    <w:lvl w:ilvl="6" w:tplc="C262CF5C" w:tentative="1">
      <w:start w:val="1"/>
      <w:numFmt w:val="decimal"/>
      <w:lvlText w:val="%7."/>
      <w:lvlJc w:val="left"/>
      <w:pPr>
        <w:tabs>
          <w:tab w:val="num" w:pos="5040"/>
        </w:tabs>
        <w:ind w:left="5040" w:hanging="360"/>
      </w:pPr>
    </w:lvl>
    <w:lvl w:ilvl="7" w:tplc="79FC4184" w:tentative="1">
      <w:start w:val="1"/>
      <w:numFmt w:val="decimal"/>
      <w:lvlText w:val="%8."/>
      <w:lvlJc w:val="left"/>
      <w:pPr>
        <w:tabs>
          <w:tab w:val="num" w:pos="5760"/>
        </w:tabs>
        <w:ind w:left="5760" w:hanging="360"/>
      </w:pPr>
    </w:lvl>
    <w:lvl w:ilvl="8" w:tplc="D054D224" w:tentative="1">
      <w:start w:val="1"/>
      <w:numFmt w:val="decimal"/>
      <w:lvlText w:val="%9."/>
      <w:lvlJc w:val="left"/>
      <w:pPr>
        <w:tabs>
          <w:tab w:val="num" w:pos="6480"/>
        </w:tabs>
        <w:ind w:left="6480" w:hanging="360"/>
      </w:pPr>
    </w:lvl>
  </w:abstractNum>
  <w:abstractNum w:abstractNumId="17"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120521"/>
    <w:multiLevelType w:val="hybridMultilevel"/>
    <w:tmpl w:val="CC4E4C22"/>
    <w:lvl w:ilvl="0" w:tplc="1EB8E206">
      <w:start w:val="1"/>
      <w:numFmt w:val="decimal"/>
      <w:lvlText w:val="%1."/>
      <w:lvlJc w:val="left"/>
      <w:pPr>
        <w:tabs>
          <w:tab w:val="num" w:pos="720"/>
        </w:tabs>
        <w:ind w:left="720" w:hanging="360"/>
      </w:pPr>
    </w:lvl>
    <w:lvl w:ilvl="1" w:tplc="A4C0F524" w:tentative="1">
      <w:start w:val="1"/>
      <w:numFmt w:val="decimal"/>
      <w:lvlText w:val="%2."/>
      <w:lvlJc w:val="left"/>
      <w:pPr>
        <w:tabs>
          <w:tab w:val="num" w:pos="1440"/>
        </w:tabs>
        <w:ind w:left="1440" w:hanging="360"/>
      </w:pPr>
    </w:lvl>
    <w:lvl w:ilvl="2" w:tplc="F348C3DA" w:tentative="1">
      <w:start w:val="1"/>
      <w:numFmt w:val="decimal"/>
      <w:lvlText w:val="%3."/>
      <w:lvlJc w:val="left"/>
      <w:pPr>
        <w:tabs>
          <w:tab w:val="num" w:pos="2160"/>
        </w:tabs>
        <w:ind w:left="2160" w:hanging="360"/>
      </w:pPr>
    </w:lvl>
    <w:lvl w:ilvl="3" w:tplc="F6BAC31A" w:tentative="1">
      <w:start w:val="1"/>
      <w:numFmt w:val="decimal"/>
      <w:lvlText w:val="%4."/>
      <w:lvlJc w:val="left"/>
      <w:pPr>
        <w:tabs>
          <w:tab w:val="num" w:pos="2880"/>
        </w:tabs>
        <w:ind w:left="2880" w:hanging="360"/>
      </w:pPr>
    </w:lvl>
    <w:lvl w:ilvl="4" w:tplc="376479C8" w:tentative="1">
      <w:start w:val="1"/>
      <w:numFmt w:val="decimal"/>
      <w:lvlText w:val="%5."/>
      <w:lvlJc w:val="left"/>
      <w:pPr>
        <w:tabs>
          <w:tab w:val="num" w:pos="3600"/>
        </w:tabs>
        <w:ind w:left="3600" w:hanging="360"/>
      </w:pPr>
    </w:lvl>
    <w:lvl w:ilvl="5" w:tplc="910A92DA" w:tentative="1">
      <w:start w:val="1"/>
      <w:numFmt w:val="decimal"/>
      <w:lvlText w:val="%6."/>
      <w:lvlJc w:val="left"/>
      <w:pPr>
        <w:tabs>
          <w:tab w:val="num" w:pos="4320"/>
        </w:tabs>
        <w:ind w:left="4320" w:hanging="360"/>
      </w:pPr>
    </w:lvl>
    <w:lvl w:ilvl="6" w:tplc="3C749E50" w:tentative="1">
      <w:start w:val="1"/>
      <w:numFmt w:val="decimal"/>
      <w:lvlText w:val="%7."/>
      <w:lvlJc w:val="left"/>
      <w:pPr>
        <w:tabs>
          <w:tab w:val="num" w:pos="5040"/>
        </w:tabs>
        <w:ind w:left="5040" w:hanging="360"/>
      </w:pPr>
    </w:lvl>
    <w:lvl w:ilvl="7" w:tplc="F2B23836" w:tentative="1">
      <w:start w:val="1"/>
      <w:numFmt w:val="decimal"/>
      <w:lvlText w:val="%8."/>
      <w:lvlJc w:val="left"/>
      <w:pPr>
        <w:tabs>
          <w:tab w:val="num" w:pos="5760"/>
        </w:tabs>
        <w:ind w:left="5760" w:hanging="360"/>
      </w:pPr>
    </w:lvl>
    <w:lvl w:ilvl="8" w:tplc="CF1A96E8" w:tentative="1">
      <w:start w:val="1"/>
      <w:numFmt w:val="decimal"/>
      <w:lvlText w:val="%9."/>
      <w:lvlJc w:val="left"/>
      <w:pPr>
        <w:tabs>
          <w:tab w:val="num" w:pos="6480"/>
        </w:tabs>
        <w:ind w:left="6480" w:hanging="360"/>
      </w:pPr>
    </w:lvl>
  </w:abstractNum>
  <w:abstractNum w:abstractNumId="19"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C4618F"/>
    <w:multiLevelType w:val="hybridMultilevel"/>
    <w:tmpl w:val="0BAAB4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3B4D68"/>
    <w:multiLevelType w:val="hybridMultilevel"/>
    <w:tmpl w:val="13CA736E"/>
    <w:lvl w:ilvl="0" w:tplc="FFFFFFFF">
      <w:start w:val="1"/>
      <w:numFmt w:val="lowerLetter"/>
      <w:lvlText w:val="%1."/>
      <w:lvlJc w:val="left"/>
      <w:pPr>
        <w:ind w:left="720" w:hanging="360"/>
      </w:pPr>
      <w:rPr>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0684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6FC8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C8DA6">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80B5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80AF6">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C42D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E1E0A">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E045C">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D16BF7"/>
    <w:multiLevelType w:val="hybridMultilevel"/>
    <w:tmpl w:val="424A97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F86391"/>
    <w:multiLevelType w:val="hybridMultilevel"/>
    <w:tmpl w:val="28A24438"/>
    <w:numStyleLink w:val="ImportedStyle2"/>
  </w:abstractNum>
  <w:abstractNum w:abstractNumId="24" w15:restartNumberingAfterBreak="0">
    <w:nsid w:val="5AAE1D37"/>
    <w:multiLevelType w:val="hybridMultilevel"/>
    <w:tmpl w:val="E60C0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E3BC4"/>
    <w:multiLevelType w:val="hybridMultilevel"/>
    <w:tmpl w:val="03180986"/>
    <w:lvl w:ilvl="0" w:tplc="5202811A">
      <w:start w:val="1"/>
      <w:numFmt w:val="bullet"/>
      <w:lvlText w:val=""/>
      <w:lvlJc w:val="left"/>
      <w:pPr>
        <w:tabs>
          <w:tab w:val="num" w:pos="720"/>
        </w:tabs>
        <w:ind w:left="720" w:hanging="360"/>
      </w:pPr>
      <w:rPr>
        <w:rFonts w:ascii="Symbol" w:hAnsi="Symbol" w:hint="default"/>
        <w:sz w:val="20"/>
      </w:rPr>
    </w:lvl>
    <w:lvl w:ilvl="1" w:tplc="3E2CA3A0" w:tentative="1">
      <w:start w:val="1"/>
      <w:numFmt w:val="bullet"/>
      <w:lvlText w:val="o"/>
      <w:lvlJc w:val="left"/>
      <w:pPr>
        <w:tabs>
          <w:tab w:val="num" w:pos="1440"/>
        </w:tabs>
        <w:ind w:left="1440" w:hanging="360"/>
      </w:pPr>
      <w:rPr>
        <w:rFonts w:ascii="Courier New" w:hAnsi="Courier New" w:hint="default"/>
        <w:sz w:val="20"/>
      </w:rPr>
    </w:lvl>
    <w:lvl w:ilvl="2" w:tplc="DA8CB262" w:tentative="1">
      <w:start w:val="1"/>
      <w:numFmt w:val="bullet"/>
      <w:lvlText w:val=""/>
      <w:lvlJc w:val="left"/>
      <w:pPr>
        <w:tabs>
          <w:tab w:val="num" w:pos="2160"/>
        </w:tabs>
        <w:ind w:left="2160" w:hanging="360"/>
      </w:pPr>
      <w:rPr>
        <w:rFonts w:ascii="Wingdings" w:hAnsi="Wingdings" w:hint="default"/>
        <w:sz w:val="20"/>
      </w:rPr>
    </w:lvl>
    <w:lvl w:ilvl="3" w:tplc="D5747BBA" w:tentative="1">
      <w:start w:val="1"/>
      <w:numFmt w:val="bullet"/>
      <w:lvlText w:val=""/>
      <w:lvlJc w:val="left"/>
      <w:pPr>
        <w:tabs>
          <w:tab w:val="num" w:pos="2880"/>
        </w:tabs>
        <w:ind w:left="2880" w:hanging="360"/>
      </w:pPr>
      <w:rPr>
        <w:rFonts w:ascii="Wingdings" w:hAnsi="Wingdings" w:hint="default"/>
        <w:sz w:val="20"/>
      </w:rPr>
    </w:lvl>
    <w:lvl w:ilvl="4" w:tplc="10B8E212" w:tentative="1">
      <w:start w:val="1"/>
      <w:numFmt w:val="bullet"/>
      <w:lvlText w:val=""/>
      <w:lvlJc w:val="left"/>
      <w:pPr>
        <w:tabs>
          <w:tab w:val="num" w:pos="3600"/>
        </w:tabs>
        <w:ind w:left="3600" w:hanging="360"/>
      </w:pPr>
      <w:rPr>
        <w:rFonts w:ascii="Wingdings" w:hAnsi="Wingdings" w:hint="default"/>
        <w:sz w:val="20"/>
      </w:rPr>
    </w:lvl>
    <w:lvl w:ilvl="5" w:tplc="92D0D93E" w:tentative="1">
      <w:start w:val="1"/>
      <w:numFmt w:val="bullet"/>
      <w:lvlText w:val=""/>
      <w:lvlJc w:val="left"/>
      <w:pPr>
        <w:tabs>
          <w:tab w:val="num" w:pos="4320"/>
        </w:tabs>
        <w:ind w:left="4320" w:hanging="360"/>
      </w:pPr>
      <w:rPr>
        <w:rFonts w:ascii="Wingdings" w:hAnsi="Wingdings" w:hint="default"/>
        <w:sz w:val="20"/>
      </w:rPr>
    </w:lvl>
    <w:lvl w:ilvl="6" w:tplc="AC5A7020" w:tentative="1">
      <w:start w:val="1"/>
      <w:numFmt w:val="bullet"/>
      <w:lvlText w:val=""/>
      <w:lvlJc w:val="left"/>
      <w:pPr>
        <w:tabs>
          <w:tab w:val="num" w:pos="5040"/>
        </w:tabs>
        <w:ind w:left="5040" w:hanging="360"/>
      </w:pPr>
      <w:rPr>
        <w:rFonts w:ascii="Wingdings" w:hAnsi="Wingdings" w:hint="default"/>
        <w:sz w:val="20"/>
      </w:rPr>
    </w:lvl>
    <w:lvl w:ilvl="7" w:tplc="D7AED652" w:tentative="1">
      <w:start w:val="1"/>
      <w:numFmt w:val="bullet"/>
      <w:lvlText w:val=""/>
      <w:lvlJc w:val="left"/>
      <w:pPr>
        <w:tabs>
          <w:tab w:val="num" w:pos="5760"/>
        </w:tabs>
        <w:ind w:left="5760" w:hanging="360"/>
      </w:pPr>
      <w:rPr>
        <w:rFonts w:ascii="Wingdings" w:hAnsi="Wingdings" w:hint="default"/>
        <w:sz w:val="20"/>
      </w:rPr>
    </w:lvl>
    <w:lvl w:ilvl="8" w:tplc="A0B0116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1180F"/>
    <w:multiLevelType w:val="hybridMultilevel"/>
    <w:tmpl w:val="FFFFFFFF"/>
    <w:lvl w:ilvl="0" w:tplc="4610576E">
      <w:start w:val="1"/>
      <w:numFmt w:val="bullet"/>
      <w:lvlText w:val="·"/>
      <w:lvlJc w:val="left"/>
      <w:pPr>
        <w:ind w:left="720" w:hanging="360"/>
      </w:pPr>
      <w:rPr>
        <w:rFonts w:ascii="Symbol" w:hAnsi="Symbol" w:hint="default"/>
      </w:rPr>
    </w:lvl>
    <w:lvl w:ilvl="1" w:tplc="834A2C48">
      <w:start w:val="1"/>
      <w:numFmt w:val="bullet"/>
      <w:lvlText w:val="o"/>
      <w:lvlJc w:val="left"/>
      <w:pPr>
        <w:ind w:left="1440" w:hanging="360"/>
      </w:pPr>
      <w:rPr>
        <w:rFonts w:ascii="Courier New" w:hAnsi="Courier New" w:hint="default"/>
      </w:rPr>
    </w:lvl>
    <w:lvl w:ilvl="2" w:tplc="3DB22AD8">
      <w:start w:val="1"/>
      <w:numFmt w:val="bullet"/>
      <w:lvlText w:val=""/>
      <w:lvlJc w:val="left"/>
      <w:pPr>
        <w:ind w:left="2160" w:hanging="360"/>
      </w:pPr>
      <w:rPr>
        <w:rFonts w:ascii="Wingdings" w:hAnsi="Wingdings" w:hint="default"/>
      </w:rPr>
    </w:lvl>
    <w:lvl w:ilvl="3" w:tplc="0E5666E2">
      <w:start w:val="1"/>
      <w:numFmt w:val="bullet"/>
      <w:lvlText w:val=""/>
      <w:lvlJc w:val="left"/>
      <w:pPr>
        <w:ind w:left="2880" w:hanging="360"/>
      </w:pPr>
      <w:rPr>
        <w:rFonts w:ascii="Symbol" w:hAnsi="Symbol" w:hint="default"/>
      </w:rPr>
    </w:lvl>
    <w:lvl w:ilvl="4" w:tplc="5896C854">
      <w:start w:val="1"/>
      <w:numFmt w:val="bullet"/>
      <w:lvlText w:val="o"/>
      <w:lvlJc w:val="left"/>
      <w:pPr>
        <w:ind w:left="3600" w:hanging="360"/>
      </w:pPr>
      <w:rPr>
        <w:rFonts w:ascii="Courier New" w:hAnsi="Courier New" w:hint="default"/>
      </w:rPr>
    </w:lvl>
    <w:lvl w:ilvl="5" w:tplc="E7589730">
      <w:start w:val="1"/>
      <w:numFmt w:val="bullet"/>
      <w:lvlText w:val=""/>
      <w:lvlJc w:val="left"/>
      <w:pPr>
        <w:ind w:left="4320" w:hanging="360"/>
      </w:pPr>
      <w:rPr>
        <w:rFonts w:ascii="Wingdings" w:hAnsi="Wingdings" w:hint="default"/>
      </w:rPr>
    </w:lvl>
    <w:lvl w:ilvl="6" w:tplc="7F78A5FE">
      <w:start w:val="1"/>
      <w:numFmt w:val="bullet"/>
      <w:lvlText w:val=""/>
      <w:lvlJc w:val="left"/>
      <w:pPr>
        <w:ind w:left="5040" w:hanging="360"/>
      </w:pPr>
      <w:rPr>
        <w:rFonts w:ascii="Symbol" w:hAnsi="Symbol" w:hint="default"/>
      </w:rPr>
    </w:lvl>
    <w:lvl w:ilvl="7" w:tplc="97005490">
      <w:start w:val="1"/>
      <w:numFmt w:val="bullet"/>
      <w:lvlText w:val="o"/>
      <w:lvlJc w:val="left"/>
      <w:pPr>
        <w:ind w:left="5760" w:hanging="360"/>
      </w:pPr>
      <w:rPr>
        <w:rFonts w:ascii="Courier New" w:hAnsi="Courier New" w:hint="default"/>
      </w:rPr>
    </w:lvl>
    <w:lvl w:ilvl="8" w:tplc="A7981C52">
      <w:start w:val="1"/>
      <w:numFmt w:val="bullet"/>
      <w:lvlText w:val=""/>
      <w:lvlJc w:val="left"/>
      <w:pPr>
        <w:ind w:left="6480" w:hanging="360"/>
      </w:pPr>
      <w:rPr>
        <w:rFonts w:ascii="Wingdings" w:hAnsi="Wingdings" w:hint="default"/>
      </w:rPr>
    </w:lvl>
  </w:abstractNum>
  <w:abstractNum w:abstractNumId="28" w15:restartNumberingAfterBreak="0">
    <w:nsid w:val="68652BC8"/>
    <w:multiLevelType w:val="hybridMultilevel"/>
    <w:tmpl w:val="FFFFFFFF"/>
    <w:lvl w:ilvl="0" w:tplc="B2BC6CC2">
      <w:start w:val="1"/>
      <w:numFmt w:val="upperLetter"/>
      <w:lvlText w:val="%1."/>
      <w:lvlJc w:val="left"/>
      <w:pPr>
        <w:ind w:left="720" w:hanging="360"/>
      </w:pPr>
    </w:lvl>
    <w:lvl w:ilvl="1" w:tplc="AC6E8770">
      <w:start w:val="1"/>
      <w:numFmt w:val="lowerLetter"/>
      <w:lvlText w:val="%2."/>
      <w:lvlJc w:val="left"/>
      <w:pPr>
        <w:ind w:left="1440" w:hanging="360"/>
      </w:pPr>
    </w:lvl>
    <w:lvl w:ilvl="2" w:tplc="6D885F20">
      <w:start w:val="1"/>
      <w:numFmt w:val="lowerRoman"/>
      <w:lvlText w:val="%3."/>
      <w:lvlJc w:val="right"/>
      <w:pPr>
        <w:ind w:left="2160" w:hanging="180"/>
      </w:pPr>
    </w:lvl>
    <w:lvl w:ilvl="3" w:tplc="AD88C180">
      <w:start w:val="1"/>
      <w:numFmt w:val="decimal"/>
      <w:lvlText w:val="%4."/>
      <w:lvlJc w:val="left"/>
      <w:pPr>
        <w:ind w:left="2880" w:hanging="360"/>
      </w:pPr>
    </w:lvl>
    <w:lvl w:ilvl="4" w:tplc="EE52878C">
      <w:start w:val="1"/>
      <w:numFmt w:val="lowerLetter"/>
      <w:lvlText w:val="%5."/>
      <w:lvlJc w:val="left"/>
      <w:pPr>
        <w:ind w:left="3600" w:hanging="360"/>
      </w:pPr>
    </w:lvl>
    <w:lvl w:ilvl="5" w:tplc="6CB4B330">
      <w:start w:val="1"/>
      <w:numFmt w:val="lowerRoman"/>
      <w:lvlText w:val="%6."/>
      <w:lvlJc w:val="right"/>
      <w:pPr>
        <w:ind w:left="4320" w:hanging="180"/>
      </w:pPr>
    </w:lvl>
    <w:lvl w:ilvl="6" w:tplc="E2C65554">
      <w:start w:val="1"/>
      <w:numFmt w:val="decimal"/>
      <w:lvlText w:val="%7."/>
      <w:lvlJc w:val="left"/>
      <w:pPr>
        <w:ind w:left="5040" w:hanging="360"/>
      </w:pPr>
    </w:lvl>
    <w:lvl w:ilvl="7" w:tplc="FA005FCA">
      <w:start w:val="1"/>
      <w:numFmt w:val="lowerLetter"/>
      <w:lvlText w:val="%8."/>
      <w:lvlJc w:val="left"/>
      <w:pPr>
        <w:ind w:left="5760" w:hanging="360"/>
      </w:pPr>
    </w:lvl>
    <w:lvl w:ilvl="8" w:tplc="51A49A20">
      <w:start w:val="1"/>
      <w:numFmt w:val="lowerRoman"/>
      <w:lvlText w:val="%9."/>
      <w:lvlJc w:val="right"/>
      <w:pPr>
        <w:ind w:left="6480" w:hanging="180"/>
      </w:pPr>
    </w:lvl>
  </w:abstractNum>
  <w:abstractNum w:abstractNumId="29"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B60E3D"/>
    <w:multiLevelType w:val="hybridMultilevel"/>
    <w:tmpl w:val="FFFFFFFF"/>
    <w:lvl w:ilvl="0" w:tplc="E2706688">
      <w:start w:val="1"/>
      <w:numFmt w:val="bullet"/>
      <w:lvlText w:val="·"/>
      <w:lvlJc w:val="left"/>
      <w:pPr>
        <w:ind w:left="720" w:hanging="360"/>
      </w:pPr>
      <w:rPr>
        <w:rFonts w:ascii="Symbol" w:hAnsi="Symbol" w:hint="default"/>
      </w:rPr>
    </w:lvl>
    <w:lvl w:ilvl="1" w:tplc="F07EC826">
      <w:start w:val="1"/>
      <w:numFmt w:val="bullet"/>
      <w:lvlText w:val="o"/>
      <w:lvlJc w:val="left"/>
      <w:pPr>
        <w:ind w:left="1440" w:hanging="360"/>
      </w:pPr>
      <w:rPr>
        <w:rFonts w:ascii="Courier New" w:hAnsi="Courier New" w:hint="default"/>
      </w:rPr>
    </w:lvl>
    <w:lvl w:ilvl="2" w:tplc="0C8225C0">
      <w:start w:val="1"/>
      <w:numFmt w:val="bullet"/>
      <w:lvlText w:val=""/>
      <w:lvlJc w:val="left"/>
      <w:pPr>
        <w:ind w:left="2160" w:hanging="360"/>
      </w:pPr>
      <w:rPr>
        <w:rFonts w:ascii="Wingdings" w:hAnsi="Wingdings" w:hint="default"/>
      </w:rPr>
    </w:lvl>
    <w:lvl w:ilvl="3" w:tplc="9FCCE1EC">
      <w:start w:val="1"/>
      <w:numFmt w:val="bullet"/>
      <w:lvlText w:val=""/>
      <w:lvlJc w:val="left"/>
      <w:pPr>
        <w:ind w:left="2880" w:hanging="360"/>
      </w:pPr>
      <w:rPr>
        <w:rFonts w:ascii="Symbol" w:hAnsi="Symbol" w:hint="default"/>
      </w:rPr>
    </w:lvl>
    <w:lvl w:ilvl="4" w:tplc="D2FE15B2">
      <w:start w:val="1"/>
      <w:numFmt w:val="bullet"/>
      <w:lvlText w:val="o"/>
      <w:lvlJc w:val="left"/>
      <w:pPr>
        <w:ind w:left="3600" w:hanging="360"/>
      </w:pPr>
      <w:rPr>
        <w:rFonts w:ascii="Courier New" w:hAnsi="Courier New" w:hint="default"/>
      </w:rPr>
    </w:lvl>
    <w:lvl w:ilvl="5" w:tplc="AC943314">
      <w:start w:val="1"/>
      <w:numFmt w:val="bullet"/>
      <w:lvlText w:val=""/>
      <w:lvlJc w:val="left"/>
      <w:pPr>
        <w:ind w:left="4320" w:hanging="360"/>
      </w:pPr>
      <w:rPr>
        <w:rFonts w:ascii="Wingdings" w:hAnsi="Wingdings" w:hint="default"/>
      </w:rPr>
    </w:lvl>
    <w:lvl w:ilvl="6" w:tplc="D0CEE45E">
      <w:start w:val="1"/>
      <w:numFmt w:val="bullet"/>
      <w:lvlText w:val=""/>
      <w:lvlJc w:val="left"/>
      <w:pPr>
        <w:ind w:left="5040" w:hanging="360"/>
      </w:pPr>
      <w:rPr>
        <w:rFonts w:ascii="Symbol" w:hAnsi="Symbol" w:hint="default"/>
      </w:rPr>
    </w:lvl>
    <w:lvl w:ilvl="7" w:tplc="AEB84FA4">
      <w:start w:val="1"/>
      <w:numFmt w:val="bullet"/>
      <w:lvlText w:val="o"/>
      <w:lvlJc w:val="left"/>
      <w:pPr>
        <w:ind w:left="5760" w:hanging="360"/>
      </w:pPr>
      <w:rPr>
        <w:rFonts w:ascii="Courier New" w:hAnsi="Courier New" w:hint="default"/>
      </w:rPr>
    </w:lvl>
    <w:lvl w:ilvl="8" w:tplc="D6A050B6">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8"/>
  </w:num>
  <w:num w:numId="4">
    <w:abstractNumId w:val="8"/>
  </w:num>
  <w:num w:numId="5">
    <w:abstractNumId w:val="0"/>
  </w:num>
  <w:num w:numId="6">
    <w:abstractNumId w:val="19"/>
  </w:num>
  <w:num w:numId="7">
    <w:abstractNumId w:val="13"/>
  </w:num>
  <w:num w:numId="8">
    <w:abstractNumId w:val="17"/>
  </w:num>
  <w:num w:numId="9">
    <w:abstractNumId w:val="23"/>
  </w:num>
  <w:num w:numId="10">
    <w:abstractNumId w:val="26"/>
  </w:num>
  <w:num w:numId="11">
    <w:abstractNumId w:val="18"/>
  </w:num>
  <w:num w:numId="12">
    <w:abstractNumId w:val="16"/>
  </w:num>
  <w:num w:numId="13">
    <w:abstractNumId w:val="14"/>
  </w:num>
  <w:num w:numId="14">
    <w:abstractNumId w:val="9"/>
  </w:num>
  <w:num w:numId="15">
    <w:abstractNumId w:val="25"/>
  </w:num>
  <w:num w:numId="16">
    <w:abstractNumId w:val="29"/>
  </w:num>
  <w:num w:numId="17">
    <w:abstractNumId w:val="7"/>
  </w:num>
  <w:num w:numId="18">
    <w:abstractNumId w:val="15"/>
  </w:num>
  <w:num w:numId="19">
    <w:abstractNumId w:val="22"/>
  </w:num>
  <w:num w:numId="20">
    <w:abstractNumId w:val="4"/>
  </w:num>
  <w:num w:numId="21">
    <w:abstractNumId w:val="10"/>
  </w:num>
  <w:num w:numId="22">
    <w:abstractNumId w:val="1"/>
  </w:num>
  <w:num w:numId="23">
    <w:abstractNumId w:val="21"/>
  </w:num>
  <w:num w:numId="24">
    <w:abstractNumId w:val="20"/>
  </w:num>
  <w:num w:numId="25">
    <w:abstractNumId w:val="24"/>
  </w:num>
  <w:num w:numId="26">
    <w:abstractNumId w:val="2"/>
  </w:num>
  <w:num w:numId="27">
    <w:abstractNumId w:val="12"/>
  </w:num>
  <w:num w:numId="28">
    <w:abstractNumId w:val="11"/>
  </w:num>
  <w:num w:numId="29">
    <w:abstractNumId w:val="6"/>
  </w:num>
  <w:num w:numId="30">
    <w:abstractNumId w:val="31"/>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182C"/>
    <w:rsid w:val="00002EAE"/>
    <w:rsid w:val="00013477"/>
    <w:rsid w:val="000179E7"/>
    <w:rsid w:val="00017EAA"/>
    <w:rsid w:val="0002021A"/>
    <w:rsid w:val="00031A34"/>
    <w:rsid w:val="00032E59"/>
    <w:rsid w:val="00043411"/>
    <w:rsid w:val="00047321"/>
    <w:rsid w:val="00051840"/>
    <w:rsid w:val="0006118E"/>
    <w:rsid w:val="00064301"/>
    <w:rsid w:val="00067723"/>
    <w:rsid w:val="00086164"/>
    <w:rsid w:val="00091683"/>
    <w:rsid w:val="000A7278"/>
    <w:rsid w:val="000B6406"/>
    <w:rsid w:val="000D469C"/>
    <w:rsid w:val="000E511C"/>
    <w:rsid w:val="000F4ECF"/>
    <w:rsid w:val="000F7AAA"/>
    <w:rsid w:val="000F7F95"/>
    <w:rsid w:val="00101642"/>
    <w:rsid w:val="00107DA3"/>
    <w:rsid w:val="00110672"/>
    <w:rsid w:val="00110D42"/>
    <w:rsid w:val="001110C8"/>
    <w:rsid w:val="00115026"/>
    <w:rsid w:val="00115281"/>
    <w:rsid w:val="00120003"/>
    <w:rsid w:val="00124EF2"/>
    <w:rsid w:val="00124F2F"/>
    <w:rsid w:val="001321F4"/>
    <w:rsid w:val="00136AEC"/>
    <w:rsid w:val="00137132"/>
    <w:rsid w:val="0015164A"/>
    <w:rsid w:val="001544BD"/>
    <w:rsid w:val="0015646B"/>
    <w:rsid w:val="0017583D"/>
    <w:rsid w:val="001779FB"/>
    <w:rsid w:val="00180989"/>
    <w:rsid w:val="00190B44"/>
    <w:rsid w:val="0019399D"/>
    <w:rsid w:val="001A5885"/>
    <w:rsid w:val="001B1BE6"/>
    <w:rsid w:val="001B23FA"/>
    <w:rsid w:val="001B33DB"/>
    <w:rsid w:val="001B3A92"/>
    <w:rsid w:val="001B45C4"/>
    <w:rsid w:val="001B6E1C"/>
    <w:rsid w:val="001C4F11"/>
    <w:rsid w:val="001C7848"/>
    <w:rsid w:val="001D6A5C"/>
    <w:rsid w:val="001E3485"/>
    <w:rsid w:val="001E684B"/>
    <w:rsid w:val="001F0C86"/>
    <w:rsid w:val="00203083"/>
    <w:rsid w:val="0021759E"/>
    <w:rsid w:val="00217F81"/>
    <w:rsid w:val="002376D1"/>
    <w:rsid w:val="00237EFD"/>
    <w:rsid w:val="00245949"/>
    <w:rsid w:val="00245C9E"/>
    <w:rsid w:val="002550B9"/>
    <w:rsid w:val="002578CB"/>
    <w:rsid w:val="002665F8"/>
    <w:rsid w:val="00266CCF"/>
    <w:rsid w:val="002706C2"/>
    <w:rsid w:val="00275B14"/>
    <w:rsid w:val="002803C3"/>
    <w:rsid w:val="0029285C"/>
    <w:rsid w:val="002A2A9D"/>
    <w:rsid w:val="002A5D81"/>
    <w:rsid w:val="002B0834"/>
    <w:rsid w:val="002B3459"/>
    <w:rsid w:val="002B440A"/>
    <w:rsid w:val="002B6A8B"/>
    <w:rsid w:val="002B726C"/>
    <w:rsid w:val="002B7EB0"/>
    <w:rsid w:val="002C1919"/>
    <w:rsid w:val="002C4D53"/>
    <w:rsid w:val="002D120C"/>
    <w:rsid w:val="002E7E9D"/>
    <w:rsid w:val="002F0535"/>
    <w:rsid w:val="002F0969"/>
    <w:rsid w:val="002F1254"/>
    <w:rsid w:val="002F1D44"/>
    <w:rsid w:val="002F62ED"/>
    <w:rsid w:val="003157A7"/>
    <w:rsid w:val="00324DE9"/>
    <w:rsid w:val="00326E62"/>
    <w:rsid w:val="00327336"/>
    <w:rsid w:val="003276F1"/>
    <w:rsid w:val="00331D32"/>
    <w:rsid w:val="003452AC"/>
    <w:rsid w:val="003620E5"/>
    <w:rsid w:val="00362661"/>
    <w:rsid w:val="00362FA7"/>
    <w:rsid w:val="0036742E"/>
    <w:rsid w:val="003812E4"/>
    <w:rsid w:val="00394852"/>
    <w:rsid w:val="00394B4E"/>
    <w:rsid w:val="003A08F1"/>
    <w:rsid w:val="003A4289"/>
    <w:rsid w:val="003A4EE4"/>
    <w:rsid w:val="003B233A"/>
    <w:rsid w:val="003C1005"/>
    <w:rsid w:val="003C27B6"/>
    <w:rsid w:val="003C5672"/>
    <w:rsid w:val="003C784C"/>
    <w:rsid w:val="003D6A66"/>
    <w:rsid w:val="003F10A0"/>
    <w:rsid w:val="003F700A"/>
    <w:rsid w:val="003F7AE1"/>
    <w:rsid w:val="0040130E"/>
    <w:rsid w:val="004013FA"/>
    <w:rsid w:val="004142BC"/>
    <w:rsid w:val="00415698"/>
    <w:rsid w:val="00417921"/>
    <w:rsid w:val="004304FE"/>
    <w:rsid w:val="0044214F"/>
    <w:rsid w:val="004421C0"/>
    <w:rsid w:val="004449EA"/>
    <w:rsid w:val="00451597"/>
    <w:rsid w:val="0045540A"/>
    <w:rsid w:val="00456688"/>
    <w:rsid w:val="00456A83"/>
    <w:rsid w:val="00466093"/>
    <w:rsid w:val="00466DE8"/>
    <w:rsid w:val="00472C25"/>
    <w:rsid w:val="00473F3E"/>
    <w:rsid w:val="004900AE"/>
    <w:rsid w:val="004A1FE2"/>
    <w:rsid w:val="004A4949"/>
    <w:rsid w:val="004B0530"/>
    <w:rsid w:val="004B380A"/>
    <w:rsid w:val="004B3B33"/>
    <w:rsid w:val="004B43BC"/>
    <w:rsid w:val="004B71DA"/>
    <w:rsid w:val="004B7AEA"/>
    <w:rsid w:val="004C1C04"/>
    <w:rsid w:val="004C6738"/>
    <w:rsid w:val="004E00F2"/>
    <w:rsid w:val="004E55C1"/>
    <w:rsid w:val="004E6EE5"/>
    <w:rsid w:val="004F0864"/>
    <w:rsid w:val="004F29C4"/>
    <w:rsid w:val="005004CF"/>
    <w:rsid w:val="00500C02"/>
    <w:rsid w:val="00501786"/>
    <w:rsid w:val="005041A3"/>
    <w:rsid w:val="0050636C"/>
    <w:rsid w:val="005155FD"/>
    <w:rsid w:val="00522DEF"/>
    <w:rsid w:val="00532E67"/>
    <w:rsid w:val="005413FF"/>
    <w:rsid w:val="005418B0"/>
    <w:rsid w:val="00542778"/>
    <w:rsid w:val="00554046"/>
    <w:rsid w:val="00562AA2"/>
    <w:rsid w:val="00562FAC"/>
    <w:rsid w:val="00563452"/>
    <w:rsid w:val="00570A10"/>
    <w:rsid w:val="005774C7"/>
    <w:rsid w:val="0058130F"/>
    <w:rsid w:val="005831D6"/>
    <w:rsid w:val="00584084"/>
    <w:rsid w:val="00585DC8"/>
    <w:rsid w:val="005A0C29"/>
    <w:rsid w:val="005A27F6"/>
    <w:rsid w:val="005A2A7F"/>
    <w:rsid w:val="005A35A8"/>
    <w:rsid w:val="005A385D"/>
    <w:rsid w:val="005A77AC"/>
    <w:rsid w:val="005B7EB2"/>
    <w:rsid w:val="005C4CBC"/>
    <w:rsid w:val="005D130D"/>
    <w:rsid w:val="005D2DB1"/>
    <w:rsid w:val="005D3DCC"/>
    <w:rsid w:val="005D760D"/>
    <w:rsid w:val="005D7EC0"/>
    <w:rsid w:val="005F14C5"/>
    <w:rsid w:val="005F3657"/>
    <w:rsid w:val="005F39F9"/>
    <w:rsid w:val="005F6329"/>
    <w:rsid w:val="00600ABB"/>
    <w:rsid w:val="0061660B"/>
    <w:rsid w:val="00616E22"/>
    <w:rsid w:val="0062031A"/>
    <w:rsid w:val="006456BA"/>
    <w:rsid w:val="00645E7B"/>
    <w:rsid w:val="006468DA"/>
    <w:rsid w:val="00650EA2"/>
    <w:rsid w:val="00655428"/>
    <w:rsid w:val="00656B9A"/>
    <w:rsid w:val="006630F5"/>
    <w:rsid w:val="00665B26"/>
    <w:rsid w:val="006720B2"/>
    <w:rsid w:val="00676231"/>
    <w:rsid w:val="00680CA0"/>
    <w:rsid w:val="00681293"/>
    <w:rsid w:val="00694C87"/>
    <w:rsid w:val="006B289D"/>
    <w:rsid w:val="006B4EF5"/>
    <w:rsid w:val="006C02CF"/>
    <w:rsid w:val="006C25BB"/>
    <w:rsid w:val="006C568E"/>
    <w:rsid w:val="006E1F84"/>
    <w:rsid w:val="006E52AD"/>
    <w:rsid w:val="006F5FAF"/>
    <w:rsid w:val="007104CE"/>
    <w:rsid w:val="00716F42"/>
    <w:rsid w:val="00725629"/>
    <w:rsid w:val="007343F8"/>
    <w:rsid w:val="00743645"/>
    <w:rsid w:val="00750FB4"/>
    <w:rsid w:val="007673B4"/>
    <w:rsid w:val="00773A82"/>
    <w:rsid w:val="00775DD4"/>
    <w:rsid w:val="00786339"/>
    <w:rsid w:val="007942A7"/>
    <w:rsid w:val="00795B75"/>
    <w:rsid w:val="007A65A2"/>
    <w:rsid w:val="007A7D8B"/>
    <w:rsid w:val="007B2FB7"/>
    <w:rsid w:val="007C10AD"/>
    <w:rsid w:val="007D0013"/>
    <w:rsid w:val="007E1564"/>
    <w:rsid w:val="007E1BF9"/>
    <w:rsid w:val="007E607E"/>
    <w:rsid w:val="007E6883"/>
    <w:rsid w:val="007E68AE"/>
    <w:rsid w:val="007F483A"/>
    <w:rsid w:val="0080068B"/>
    <w:rsid w:val="00803885"/>
    <w:rsid w:val="00803DF1"/>
    <w:rsid w:val="00810243"/>
    <w:rsid w:val="0082439B"/>
    <w:rsid w:val="00824825"/>
    <w:rsid w:val="00827D56"/>
    <w:rsid w:val="00837BE2"/>
    <w:rsid w:val="0084251B"/>
    <w:rsid w:val="00844C5F"/>
    <w:rsid w:val="00847B5A"/>
    <w:rsid w:val="00860AFD"/>
    <w:rsid w:val="008677F4"/>
    <w:rsid w:val="00870412"/>
    <w:rsid w:val="008736D8"/>
    <w:rsid w:val="008C1265"/>
    <w:rsid w:val="008E5FF1"/>
    <w:rsid w:val="008F13E2"/>
    <w:rsid w:val="008F4350"/>
    <w:rsid w:val="008F4C42"/>
    <w:rsid w:val="008F62BD"/>
    <w:rsid w:val="00910CE2"/>
    <w:rsid w:val="009156FB"/>
    <w:rsid w:val="00915F72"/>
    <w:rsid w:val="00920186"/>
    <w:rsid w:val="0093254C"/>
    <w:rsid w:val="00944627"/>
    <w:rsid w:val="00945170"/>
    <w:rsid w:val="00945EB8"/>
    <w:rsid w:val="00946261"/>
    <w:rsid w:val="00964838"/>
    <w:rsid w:val="00972DCB"/>
    <w:rsid w:val="00976B28"/>
    <w:rsid w:val="009833A5"/>
    <w:rsid w:val="00987028"/>
    <w:rsid w:val="00991C19"/>
    <w:rsid w:val="00992DC9"/>
    <w:rsid w:val="00993449"/>
    <w:rsid w:val="009B2A19"/>
    <w:rsid w:val="009B2F75"/>
    <w:rsid w:val="009B6628"/>
    <w:rsid w:val="009D6FB4"/>
    <w:rsid w:val="009E0066"/>
    <w:rsid w:val="009E10DC"/>
    <w:rsid w:val="009E125E"/>
    <w:rsid w:val="009E12D2"/>
    <w:rsid w:val="009E3B90"/>
    <w:rsid w:val="009E4B5F"/>
    <w:rsid w:val="009F4AAD"/>
    <w:rsid w:val="00A0022C"/>
    <w:rsid w:val="00A0385B"/>
    <w:rsid w:val="00A03D91"/>
    <w:rsid w:val="00A061A3"/>
    <w:rsid w:val="00A14E14"/>
    <w:rsid w:val="00A20B2B"/>
    <w:rsid w:val="00A25203"/>
    <w:rsid w:val="00A3399E"/>
    <w:rsid w:val="00A40140"/>
    <w:rsid w:val="00A4181B"/>
    <w:rsid w:val="00A4359F"/>
    <w:rsid w:val="00A5407E"/>
    <w:rsid w:val="00A604A4"/>
    <w:rsid w:val="00A6056D"/>
    <w:rsid w:val="00A6687B"/>
    <w:rsid w:val="00A864C7"/>
    <w:rsid w:val="00A9394C"/>
    <w:rsid w:val="00AA54F9"/>
    <w:rsid w:val="00AC2946"/>
    <w:rsid w:val="00AD63BE"/>
    <w:rsid w:val="00AF1F4F"/>
    <w:rsid w:val="00AF4FFA"/>
    <w:rsid w:val="00B02C93"/>
    <w:rsid w:val="00B037CF"/>
    <w:rsid w:val="00B048F8"/>
    <w:rsid w:val="00B21DF7"/>
    <w:rsid w:val="00B24C1E"/>
    <w:rsid w:val="00B3278C"/>
    <w:rsid w:val="00B4115B"/>
    <w:rsid w:val="00B50EC3"/>
    <w:rsid w:val="00B5570F"/>
    <w:rsid w:val="00B55BA8"/>
    <w:rsid w:val="00B64FCB"/>
    <w:rsid w:val="00B666E5"/>
    <w:rsid w:val="00B73DBA"/>
    <w:rsid w:val="00B7439E"/>
    <w:rsid w:val="00B7465B"/>
    <w:rsid w:val="00B75770"/>
    <w:rsid w:val="00B7648C"/>
    <w:rsid w:val="00B77962"/>
    <w:rsid w:val="00B83052"/>
    <w:rsid w:val="00B8434C"/>
    <w:rsid w:val="00B92498"/>
    <w:rsid w:val="00B930FF"/>
    <w:rsid w:val="00B94B66"/>
    <w:rsid w:val="00B94D21"/>
    <w:rsid w:val="00B9517D"/>
    <w:rsid w:val="00B958BA"/>
    <w:rsid w:val="00BB1A99"/>
    <w:rsid w:val="00BB4391"/>
    <w:rsid w:val="00BB531A"/>
    <w:rsid w:val="00BD06B6"/>
    <w:rsid w:val="00BE044F"/>
    <w:rsid w:val="00BE17C5"/>
    <w:rsid w:val="00C137B4"/>
    <w:rsid w:val="00C14112"/>
    <w:rsid w:val="00C1627C"/>
    <w:rsid w:val="00C168A6"/>
    <w:rsid w:val="00C2671A"/>
    <w:rsid w:val="00C2789E"/>
    <w:rsid w:val="00C36794"/>
    <w:rsid w:val="00C422D4"/>
    <w:rsid w:val="00C432E3"/>
    <w:rsid w:val="00C455CE"/>
    <w:rsid w:val="00C47511"/>
    <w:rsid w:val="00C572CF"/>
    <w:rsid w:val="00C57693"/>
    <w:rsid w:val="00C643B3"/>
    <w:rsid w:val="00C669F4"/>
    <w:rsid w:val="00C76133"/>
    <w:rsid w:val="00C77CC7"/>
    <w:rsid w:val="00C83576"/>
    <w:rsid w:val="00C93238"/>
    <w:rsid w:val="00C96D4C"/>
    <w:rsid w:val="00CA3430"/>
    <w:rsid w:val="00CA6E06"/>
    <w:rsid w:val="00CB3A90"/>
    <w:rsid w:val="00CB44BF"/>
    <w:rsid w:val="00CB7CA0"/>
    <w:rsid w:val="00CC1382"/>
    <w:rsid w:val="00CD54EB"/>
    <w:rsid w:val="00CE189C"/>
    <w:rsid w:val="00CE35C0"/>
    <w:rsid w:val="00CE48E6"/>
    <w:rsid w:val="00CE6761"/>
    <w:rsid w:val="00CF24CC"/>
    <w:rsid w:val="00CF45B0"/>
    <w:rsid w:val="00D06994"/>
    <w:rsid w:val="00D222F6"/>
    <w:rsid w:val="00D52CC0"/>
    <w:rsid w:val="00D5345E"/>
    <w:rsid w:val="00D63643"/>
    <w:rsid w:val="00D66EBF"/>
    <w:rsid w:val="00D70291"/>
    <w:rsid w:val="00D75608"/>
    <w:rsid w:val="00D75716"/>
    <w:rsid w:val="00D8336F"/>
    <w:rsid w:val="00D85E2E"/>
    <w:rsid w:val="00D90C88"/>
    <w:rsid w:val="00D95431"/>
    <w:rsid w:val="00DA09C3"/>
    <w:rsid w:val="00DA7DE2"/>
    <w:rsid w:val="00DB1D57"/>
    <w:rsid w:val="00DD0D08"/>
    <w:rsid w:val="00DD47CF"/>
    <w:rsid w:val="00DD544F"/>
    <w:rsid w:val="00DE387E"/>
    <w:rsid w:val="00DE40DB"/>
    <w:rsid w:val="00DF0A5B"/>
    <w:rsid w:val="00DF19A8"/>
    <w:rsid w:val="00DF44E5"/>
    <w:rsid w:val="00DF4FA2"/>
    <w:rsid w:val="00E00042"/>
    <w:rsid w:val="00E02DD3"/>
    <w:rsid w:val="00E0311E"/>
    <w:rsid w:val="00E06539"/>
    <w:rsid w:val="00E07202"/>
    <w:rsid w:val="00E154C3"/>
    <w:rsid w:val="00E20478"/>
    <w:rsid w:val="00E24C19"/>
    <w:rsid w:val="00E32D11"/>
    <w:rsid w:val="00E34D06"/>
    <w:rsid w:val="00E46931"/>
    <w:rsid w:val="00E51BA0"/>
    <w:rsid w:val="00E63782"/>
    <w:rsid w:val="00E65F0A"/>
    <w:rsid w:val="00E717C5"/>
    <w:rsid w:val="00E91D72"/>
    <w:rsid w:val="00EA092D"/>
    <w:rsid w:val="00EA3DA2"/>
    <w:rsid w:val="00EA5DD1"/>
    <w:rsid w:val="00EA5F74"/>
    <w:rsid w:val="00EC463F"/>
    <w:rsid w:val="00ED316F"/>
    <w:rsid w:val="00ED31D9"/>
    <w:rsid w:val="00ED62F7"/>
    <w:rsid w:val="00EF4E85"/>
    <w:rsid w:val="00F17B8B"/>
    <w:rsid w:val="00F21014"/>
    <w:rsid w:val="00F33733"/>
    <w:rsid w:val="00F409D3"/>
    <w:rsid w:val="00F4161F"/>
    <w:rsid w:val="00F47675"/>
    <w:rsid w:val="00F501AB"/>
    <w:rsid w:val="00F52489"/>
    <w:rsid w:val="00F55438"/>
    <w:rsid w:val="00F82BA5"/>
    <w:rsid w:val="00F961C7"/>
    <w:rsid w:val="00FB1BC6"/>
    <w:rsid w:val="00FB3A0D"/>
    <w:rsid w:val="00FB3AB0"/>
    <w:rsid w:val="00FB5311"/>
    <w:rsid w:val="00FB6E83"/>
    <w:rsid w:val="00FC0991"/>
    <w:rsid w:val="00FC0A73"/>
    <w:rsid w:val="00FC1BF9"/>
    <w:rsid w:val="00FC62FB"/>
    <w:rsid w:val="00FD3CAC"/>
    <w:rsid w:val="00FD737B"/>
    <w:rsid w:val="00FE1C63"/>
    <w:rsid w:val="00FF29A9"/>
    <w:rsid w:val="00FF4F56"/>
    <w:rsid w:val="00FF6586"/>
    <w:rsid w:val="00FF7123"/>
    <w:rsid w:val="014E6E7B"/>
    <w:rsid w:val="015BCC8B"/>
    <w:rsid w:val="015CA09B"/>
    <w:rsid w:val="0163531E"/>
    <w:rsid w:val="01644A24"/>
    <w:rsid w:val="017ADB15"/>
    <w:rsid w:val="01AC3153"/>
    <w:rsid w:val="02089148"/>
    <w:rsid w:val="03036A00"/>
    <w:rsid w:val="0323A29D"/>
    <w:rsid w:val="038A347F"/>
    <w:rsid w:val="03F1C636"/>
    <w:rsid w:val="03FACD77"/>
    <w:rsid w:val="04391068"/>
    <w:rsid w:val="0442EADE"/>
    <w:rsid w:val="04566144"/>
    <w:rsid w:val="0465FBBA"/>
    <w:rsid w:val="04C25CB0"/>
    <w:rsid w:val="0559AB6B"/>
    <w:rsid w:val="055D80DF"/>
    <w:rsid w:val="056DA988"/>
    <w:rsid w:val="057CE17E"/>
    <w:rsid w:val="059937F9"/>
    <w:rsid w:val="05C4EED0"/>
    <w:rsid w:val="05EBA5AA"/>
    <w:rsid w:val="06257F93"/>
    <w:rsid w:val="0632ABFB"/>
    <w:rsid w:val="0643B57A"/>
    <w:rsid w:val="064B63DC"/>
    <w:rsid w:val="06505AFD"/>
    <w:rsid w:val="06614BB5"/>
    <w:rsid w:val="0690D9D7"/>
    <w:rsid w:val="06A050A4"/>
    <w:rsid w:val="06D7C219"/>
    <w:rsid w:val="06F61820"/>
    <w:rsid w:val="07143AB4"/>
    <w:rsid w:val="07270432"/>
    <w:rsid w:val="072DBAB8"/>
    <w:rsid w:val="0746F3E1"/>
    <w:rsid w:val="077381CF"/>
    <w:rsid w:val="0805AF62"/>
    <w:rsid w:val="08E38A9C"/>
    <w:rsid w:val="08EA1B73"/>
    <w:rsid w:val="09162BF6"/>
    <w:rsid w:val="09322557"/>
    <w:rsid w:val="095F9903"/>
    <w:rsid w:val="0969A272"/>
    <w:rsid w:val="097920D3"/>
    <w:rsid w:val="09A2249B"/>
    <w:rsid w:val="09CD8723"/>
    <w:rsid w:val="09D118CD"/>
    <w:rsid w:val="09DE1F1E"/>
    <w:rsid w:val="0AEFE140"/>
    <w:rsid w:val="0B2193BF"/>
    <w:rsid w:val="0B6119DF"/>
    <w:rsid w:val="0BA4DC77"/>
    <w:rsid w:val="0BBEE0F3"/>
    <w:rsid w:val="0BD67A67"/>
    <w:rsid w:val="0C0F7024"/>
    <w:rsid w:val="0C4CCBBB"/>
    <w:rsid w:val="0C7CE10D"/>
    <w:rsid w:val="0CA8B39E"/>
    <w:rsid w:val="0CACD172"/>
    <w:rsid w:val="0CB2B9F5"/>
    <w:rsid w:val="0CB3542B"/>
    <w:rsid w:val="0CFCECCB"/>
    <w:rsid w:val="0D1E9B7E"/>
    <w:rsid w:val="0DCEF8AA"/>
    <w:rsid w:val="0E21EE66"/>
    <w:rsid w:val="0E23DDE6"/>
    <w:rsid w:val="0E405F4E"/>
    <w:rsid w:val="0E645BE8"/>
    <w:rsid w:val="0E6B862D"/>
    <w:rsid w:val="0E6DF787"/>
    <w:rsid w:val="0E9192D8"/>
    <w:rsid w:val="0E9F30D6"/>
    <w:rsid w:val="0EB04962"/>
    <w:rsid w:val="0EBB31CE"/>
    <w:rsid w:val="0EFC038E"/>
    <w:rsid w:val="0FA3E480"/>
    <w:rsid w:val="0FD6CB31"/>
    <w:rsid w:val="10BA6E05"/>
    <w:rsid w:val="10C5BD1D"/>
    <w:rsid w:val="10FCCF35"/>
    <w:rsid w:val="1127B9A8"/>
    <w:rsid w:val="112C5727"/>
    <w:rsid w:val="1131A0B2"/>
    <w:rsid w:val="1166193A"/>
    <w:rsid w:val="11CB4322"/>
    <w:rsid w:val="11D8B312"/>
    <w:rsid w:val="1228DA92"/>
    <w:rsid w:val="126286E6"/>
    <w:rsid w:val="126A05AF"/>
    <w:rsid w:val="128BAB10"/>
    <w:rsid w:val="12C7EACC"/>
    <w:rsid w:val="13015CBC"/>
    <w:rsid w:val="1373A197"/>
    <w:rsid w:val="138235DC"/>
    <w:rsid w:val="147AC712"/>
    <w:rsid w:val="15044D2D"/>
    <w:rsid w:val="1509C59B"/>
    <w:rsid w:val="15267494"/>
    <w:rsid w:val="157471C8"/>
    <w:rsid w:val="15930E16"/>
    <w:rsid w:val="15A6A4FE"/>
    <w:rsid w:val="16578946"/>
    <w:rsid w:val="16EB4A7C"/>
    <w:rsid w:val="173ADE33"/>
    <w:rsid w:val="174022C3"/>
    <w:rsid w:val="1745A64D"/>
    <w:rsid w:val="174A940A"/>
    <w:rsid w:val="17AE04F7"/>
    <w:rsid w:val="17B5D7E3"/>
    <w:rsid w:val="17B6A840"/>
    <w:rsid w:val="17E5F7FB"/>
    <w:rsid w:val="181A2C2F"/>
    <w:rsid w:val="184B080E"/>
    <w:rsid w:val="18A49DB2"/>
    <w:rsid w:val="18B97ED9"/>
    <w:rsid w:val="18C75B34"/>
    <w:rsid w:val="18DB7F0D"/>
    <w:rsid w:val="19151974"/>
    <w:rsid w:val="19211A6D"/>
    <w:rsid w:val="19B8A4C2"/>
    <w:rsid w:val="19E19AA4"/>
    <w:rsid w:val="19F309D3"/>
    <w:rsid w:val="1A4BA27F"/>
    <w:rsid w:val="1A530E32"/>
    <w:rsid w:val="1A55D906"/>
    <w:rsid w:val="1A68C91F"/>
    <w:rsid w:val="1A960833"/>
    <w:rsid w:val="1AABA81B"/>
    <w:rsid w:val="1ACA68ED"/>
    <w:rsid w:val="1AFD2F8C"/>
    <w:rsid w:val="1B34BC0F"/>
    <w:rsid w:val="1B5EB0E0"/>
    <w:rsid w:val="1B7CBEAE"/>
    <w:rsid w:val="1BDD5ABD"/>
    <w:rsid w:val="1BE8C46B"/>
    <w:rsid w:val="1C029456"/>
    <w:rsid w:val="1C1A9806"/>
    <w:rsid w:val="1C45363E"/>
    <w:rsid w:val="1CB5359F"/>
    <w:rsid w:val="1CD942C1"/>
    <w:rsid w:val="1CE97FB7"/>
    <w:rsid w:val="1D498C2B"/>
    <w:rsid w:val="1D7587D5"/>
    <w:rsid w:val="1DB37D3B"/>
    <w:rsid w:val="1DC8FA95"/>
    <w:rsid w:val="1E32C7C0"/>
    <w:rsid w:val="1E39B275"/>
    <w:rsid w:val="1E3A16FE"/>
    <w:rsid w:val="1E448E80"/>
    <w:rsid w:val="1E6664C8"/>
    <w:rsid w:val="1E8C35A9"/>
    <w:rsid w:val="1E8F26D5"/>
    <w:rsid w:val="1F09699B"/>
    <w:rsid w:val="1F1D06AD"/>
    <w:rsid w:val="1F4F81D3"/>
    <w:rsid w:val="1F6B8B20"/>
    <w:rsid w:val="1F96D11B"/>
    <w:rsid w:val="1FBF714E"/>
    <w:rsid w:val="202435A8"/>
    <w:rsid w:val="2038760F"/>
    <w:rsid w:val="20E24810"/>
    <w:rsid w:val="210BBF7C"/>
    <w:rsid w:val="2120FD85"/>
    <w:rsid w:val="2160AA04"/>
    <w:rsid w:val="21B4E427"/>
    <w:rsid w:val="22033977"/>
    <w:rsid w:val="22AC9F3A"/>
    <w:rsid w:val="22F34A83"/>
    <w:rsid w:val="23479884"/>
    <w:rsid w:val="2387B7F8"/>
    <w:rsid w:val="2400731B"/>
    <w:rsid w:val="24054A09"/>
    <w:rsid w:val="24456501"/>
    <w:rsid w:val="2493A32F"/>
    <w:rsid w:val="24ED7A08"/>
    <w:rsid w:val="25384D9B"/>
    <w:rsid w:val="2546B33C"/>
    <w:rsid w:val="255459AF"/>
    <w:rsid w:val="2563E4AA"/>
    <w:rsid w:val="25A2B91F"/>
    <w:rsid w:val="261F9689"/>
    <w:rsid w:val="263A6D1A"/>
    <w:rsid w:val="26A87B85"/>
    <w:rsid w:val="26CBB996"/>
    <w:rsid w:val="26F585A2"/>
    <w:rsid w:val="27681D52"/>
    <w:rsid w:val="27BF534A"/>
    <w:rsid w:val="27DA0299"/>
    <w:rsid w:val="27FBB58B"/>
    <w:rsid w:val="28081418"/>
    <w:rsid w:val="2812FECA"/>
    <w:rsid w:val="2814006E"/>
    <w:rsid w:val="288B07F4"/>
    <w:rsid w:val="289AF7E2"/>
    <w:rsid w:val="28B7EB9E"/>
    <w:rsid w:val="28F0F750"/>
    <w:rsid w:val="29065125"/>
    <w:rsid w:val="29A6C4A0"/>
    <w:rsid w:val="2A029C7D"/>
    <w:rsid w:val="2A721378"/>
    <w:rsid w:val="2AAC80A6"/>
    <w:rsid w:val="2AF998DE"/>
    <w:rsid w:val="2B084D6A"/>
    <w:rsid w:val="2B66DF24"/>
    <w:rsid w:val="2B6F3D38"/>
    <w:rsid w:val="2B75985D"/>
    <w:rsid w:val="2BD1E71B"/>
    <w:rsid w:val="2BF339F3"/>
    <w:rsid w:val="2C0753C6"/>
    <w:rsid w:val="2C164CB9"/>
    <w:rsid w:val="2C5C0240"/>
    <w:rsid w:val="2CD56A14"/>
    <w:rsid w:val="2CDDCC0D"/>
    <w:rsid w:val="2D420A34"/>
    <w:rsid w:val="2D42E4C7"/>
    <w:rsid w:val="2D5F2F34"/>
    <w:rsid w:val="2DB62F4D"/>
    <w:rsid w:val="2DC652F4"/>
    <w:rsid w:val="2DDB39B0"/>
    <w:rsid w:val="2DF5E3AC"/>
    <w:rsid w:val="2E102A8D"/>
    <w:rsid w:val="2E4A49B9"/>
    <w:rsid w:val="2E591651"/>
    <w:rsid w:val="2E6CC491"/>
    <w:rsid w:val="2EB12569"/>
    <w:rsid w:val="2EBE9686"/>
    <w:rsid w:val="2ECFA5C5"/>
    <w:rsid w:val="2EDF50BA"/>
    <w:rsid w:val="2EDFEDF6"/>
    <w:rsid w:val="2EED87F2"/>
    <w:rsid w:val="2F5D8AB1"/>
    <w:rsid w:val="2F60655E"/>
    <w:rsid w:val="2F664B20"/>
    <w:rsid w:val="2F935924"/>
    <w:rsid w:val="302F3C8E"/>
    <w:rsid w:val="3041E584"/>
    <w:rsid w:val="304901CF"/>
    <w:rsid w:val="307FBD9A"/>
    <w:rsid w:val="308C5AC7"/>
    <w:rsid w:val="3091168A"/>
    <w:rsid w:val="3091DB20"/>
    <w:rsid w:val="30A8480C"/>
    <w:rsid w:val="313CA0EE"/>
    <w:rsid w:val="31770188"/>
    <w:rsid w:val="3185A27F"/>
    <w:rsid w:val="31A0AF3E"/>
    <w:rsid w:val="31A9AF15"/>
    <w:rsid w:val="31DFEB3A"/>
    <w:rsid w:val="31E32BE3"/>
    <w:rsid w:val="3207F287"/>
    <w:rsid w:val="3259325E"/>
    <w:rsid w:val="32772D03"/>
    <w:rsid w:val="32D3D202"/>
    <w:rsid w:val="335638DF"/>
    <w:rsid w:val="33D4FD35"/>
    <w:rsid w:val="33D505A1"/>
    <w:rsid w:val="34180F2B"/>
    <w:rsid w:val="345FFA34"/>
    <w:rsid w:val="34664DAE"/>
    <w:rsid w:val="34B400FD"/>
    <w:rsid w:val="34FB9CB3"/>
    <w:rsid w:val="352C8C77"/>
    <w:rsid w:val="3657FE10"/>
    <w:rsid w:val="36732338"/>
    <w:rsid w:val="369BA8CA"/>
    <w:rsid w:val="369F8885"/>
    <w:rsid w:val="36B49FBE"/>
    <w:rsid w:val="36BB9E72"/>
    <w:rsid w:val="36DD6DDB"/>
    <w:rsid w:val="36F5E44C"/>
    <w:rsid w:val="37117738"/>
    <w:rsid w:val="3744639E"/>
    <w:rsid w:val="3775125A"/>
    <w:rsid w:val="37D535DB"/>
    <w:rsid w:val="38450A0E"/>
    <w:rsid w:val="388EA8C5"/>
    <w:rsid w:val="38AADCC3"/>
    <w:rsid w:val="38E102A2"/>
    <w:rsid w:val="38F3BD19"/>
    <w:rsid w:val="3900F9DE"/>
    <w:rsid w:val="3917C054"/>
    <w:rsid w:val="395F3669"/>
    <w:rsid w:val="3976ED1E"/>
    <w:rsid w:val="397F2E3F"/>
    <w:rsid w:val="39CDF5C4"/>
    <w:rsid w:val="39DF04F3"/>
    <w:rsid w:val="39E33AB2"/>
    <w:rsid w:val="39EE78F2"/>
    <w:rsid w:val="3A0789A3"/>
    <w:rsid w:val="3A821D4D"/>
    <w:rsid w:val="3A9355A8"/>
    <w:rsid w:val="3B056B4F"/>
    <w:rsid w:val="3B102212"/>
    <w:rsid w:val="3B652E37"/>
    <w:rsid w:val="3B83C6AD"/>
    <w:rsid w:val="3B908D17"/>
    <w:rsid w:val="3BA611C6"/>
    <w:rsid w:val="3BCC154E"/>
    <w:rsid w:val="3BCDD8EB"/>
    <w:rsid w:val="3BD78BBB"/>
    <w:rsid w:val="3C0343EB"/>
    <w:rsid w:val="3C12595D"/>
    <w:rsid w:val="3CAF4885"/>
    <w:rsid w:val="3CAF5E3E"/>
    <w:rsid w:val="3CCE3291"/>
    <w:rsid w:val="3CDC3F78"/>
    <w:rsid w:val="3CF7D197"/>
    <w:rsid w:val="3D197368"/>
    <w:rsid w:val="3D579B34"/>
    <w:rsid w:val="3DBA2322"/>
    <w:rsid w:val="3E13715D"/>
    <w:rsid w:val="3E1DFFD2"/>
    <w:rsid w:val="3EAED087"/>
    <w:rsid w:val="3EB35CC2"/>
    <w:rsid w:val="3FBB0861"/>
    <w:rsid w:val="3FFC202D"/>
    <w:rsid w:val="4000CBDD"/>
    <w:rsid w:val="40086A3F"/>
    <w:rsid w:val="400A6F12"/>
    <w:rsid w:val="403FF257"/>
    <w:rsid w:val="404329E8"/>
    <w:rsid w:val="4061F150"/>
    <w:rsid w:val="407485BD"/>
    <w:rsid w:val="40870C5D"/>
    <w:rsid w:val="408BC71E"/>
    <w:rsid w:val="40C22D65"/>
    <w:rsid w:val="40C37A5F"/>
    <w:rsid w:val="40EA0EFA"/>
    <w:rsid w:val="40F09E48"/>
    <w:rsid w:val="4156D8BA"/>
    <w:rsid w:val="415763FA"/>
    <w:rsid w:val="418F0E48"/>
    <w:rsid w:val="41B91AF4"/>
    <w:rsid w:val="42288C80"/>
    <w:rsid w:val="423ADBA7"/>
    <w:rsid w:val="426DB8E5"/>
    <w:rsid w:val="42A45034"/>
    <w:rsid w:val="42BDE12F"/>
    <w:rsid w:val="43C363D0"/>
    <w:rsid w:val="43DF2F26"/>
    <w:rsid w:val="43E24199"/>
    <w:rsid w:val="43F7A0C9"/>
    <w:rsid w:val="441148CF"/>
    <w:rsid w:val="4428E1C0"/>
    <w:rsid w:val="446A201B"/>
    <w:rsid w:val="446FF1F7"/>
    <w:rsid w:val="4497A651"/>
    <w:rsid w:val="44C7AE78"/>
    <w:rsid w:val="453093AC"/>
    <w:rsid w:val="4553E7A5"/>
    <w:rsid w:val="458A67E7"/>
    <w:rsid w:val="45B855DF"/>
    <w:rsid w:val="45E089EA"/>
    <w:rsid w:val="45FA50A3"/>
    <w:rsid w:val="4627707D"/>
    <w:rsid w:val="46946B1E"/>
    <w:rsid w:val="46987DF4"/>
    <w:rsid w:val="46CCAF0C"/>
    <w:rsid w:val="470531DD"/>
    <w:rsid w:val="4768287C"/>
    <w:rsid w:val="4835772B"/>
    <w:rsid w:val="48376E78"/>
    <w:rsid w:val="4857F1CD"/>
    <w:rsid w:val="485BB653"/>
    <w:rsid w:val="4914C414"/>
    <w:rsid w:val="496462C9"/>
    <w:rsid w:val="4966A906"/>
    <w:rsid w:val="49802D90"/>
    <w:rsid w:val="499955E3"/>
    <w:rsid w:val="4A23EA8F"/>
    <w:rsid w:val="4A467A76"/>
    <w:rsid w:val="4A7B1C8E"/>
    <w:rsid w:val="4AF89233"/>
    <w:rsid w:val="4B210A83"/>
    <w:rsid w:val="4B2A0C55"/>
    <w:rsid w:val="4B35C21B"/>
    <w:rsid w:val="4BA987E0"/>
    <w:rsid w:val="4BD67B18"/>
    <w:rsid w:val="4C330989"/>
    <w:rsid w:val="4C62F30E"/>
    <w:rsid w:val="4CDFD6DE"/>
    <w:rsid w:val="4CF4DE76"/>
    <w:rsid w:val="4D11BAD9"/>
    <w:rsid w:val="4D1C7B1A"/>
    <w:rsid w:val="4D26BC26"/>
    <w:rsid w:val="4D31BD77"/>
    <w:rsid w:val="4D3FCDA5"/>
    <w:rsid w:val="4D5709B1"/>
    <w:rsid w:val="4D63FBC7"/>
    <w:rsid w:val="4DBB3FBD"/>
    <w:rsid w:val="4DEAF430"/>
    <w:rsid w:val="4DEFD74D"/>
    <w:rsid w:val="4E890785"/>
    <w:rsid w:val="4ED3CFBB"/>
    <w:rsid w:val="4ED62BE5"/>
    <w:rsid w:val="4F2670B9"/>
    <w:rsid w:val="4F3A1D94"/>
    <w:rsid w:val="4F469149"/>
    <w:rsid w:val="4F595B00"/>
    <w:rsid w:val="4F72E4C5"/>
    <w:rsid w:val="4FACA3E4"/>
    <w:rsid w:val="5022FE4A"/>
    <w:rsid w:val="506BB0B8"/>
    <w:rsid w:val="5071159D"/>
    <w:rsid w:val="50A5C2CD"/>
    <w:rsid w:val="50B0109F"/>
    <w:rsid w:val="50DCF51A"/>
    <w:rsid w:val="51550DA2"/>
    <w:rsid w:val="516E34F2"/>
    <w:rsid w:val="51B8D020"/>
    <w:rsid w:val="51C3FCE5"/>
    <w:rsid w:val="51D6DB6C"/>
    <w:rsid w:val="51DE0EF4"/>
    <w:rsid w:val="51FA704D"/>
    <w:rsid w:val="523276F0"/>
    <w:rsid w:val="523520AA"/>
    <w:rsid w:val="523F4149"/>
    <w:rsid w:val="524D4AAB"/>
    <w:rsid w:val="528E0B3E"/>
    <w:rsid w:val="5364A296"/>
    <w:rsid w:val="536709BF"/>
    <w:rsid w:val="53787AD1"/>
    <w:rsid w:val="5385000F"/>
    <w:rsid w:val="541A8092"/>
    <w:rsid w:val="5425C680"/>
    <w:rsid w:val="54326258"/>
    <w:rsid w:val="5440CD1E"/>
    <w:rsid w:val="54AB0C79"/>
    <w:rsid w:val="54BB5FA8"/>
    <w:rsid w:val="5528BE23"/>
    <w:rsid w:val="552E1B45"/>
    <w:rsid w:val="565B6D4B"/>
    <w:rsid w:val="5699D52E"/>
    <w:rsid w:val="56AE2A44"/>
    <w:rsid w:val="56BD8A5C"/>
    <w:rsid w:val="56F1C847"/>
    <w:rsid w:val="57E69994"/>
    <w:rsid w:val="580A05A0"/>
    <w:rsid w:val="583BA475"/>
    <w:rsid w:val="583ECBE7"/>
    <w:rsid w:val="584356F5"/>
    <w:rsid w:val="584D9D10"/>
    <w:rsid w:val="5863B332"/>
    <w:rsid w:val="586468D8"/>
    <w:rsid w:val="588CA4AF"/>
    <w:rsid w:val="58B966A3"/>
    <w:rsid w:val="58E3F567"/>
    <w:rsid w:val="59029A18"/>
    <w:rsid w:val="5950A505"/>
    <w:rsid w:val="596DC648"/>
    <w:rsid w:val="599F3CCC"/>
    <w:rsid w:val="59CB6440"/>
    <w:rsid w:val="5A603356"/>
    <w:rsid w:val="5A7074D9"/>
    <w:rsid w:val="5A993939"/>
    <w:rsid w:val="5AA1042A"/>
    <w:rsid w:val="5AB1FA5C"/>
    <w:rsid w:val="5AB99F9B"/>
    <w:rsid w:val="5AEA3EC4"/>
    <w:rsid w:val="5AFD5C11"/>
    <w:rsid w:val="5B4F48D6"/>
    <w:rsid w:val="5B626B8F"/>
    <w:rsid w:val="5BFD9B20"/>
    <w:rsid w:val="5C0E563B"/>
    <w:rsid w:val="5C632CE4"/>
    <w:rsid w:val="5C649628"/>
    <w:rsid w:val="5C858CCF"/>
    <w:rsid w:val="5C89BBBD"/>
    <w:rsid w:val="5C9177E9"/>
    <w:rsid w:val="5CBBF0E3"/>
    <w:rsid w:val="5CFD9E05"/>
    <w:rsid w:val="5D4ECBFE"/>
    <w:rsid w:val="5D908611"/>
    <w:rsid w:val="5DC4E12D"/>
    <w:rsid w:val="5E069908"/>
    <w:rsid w:val="5E11616C"/>
    <w:rsid w:val="5E25C98B"/>
    <w:rsid w:val="5E8BDDBD"/>
    <w:rsid w:val="5EE08171"/>
    <w:rsid w:val="5EFA26CF"/>
    <w:rsid w:val="5F127B32"/>
    <w:rsid w:val="5F25D41D"/>
    <w:rsid w:val="5F66C0AD"/>
    <w:rsid w:val="5FACBA7C"/>
    <w:rsid w:val="60217650"/>
    <w:rsid w:val="60315570"/>
    <w:rsid w:val="603D852B"/>
    <w:rsid w:val="6057069C"/>
    <w:rsid w:val="607A3227"/>
    <w:rsid w:val="6083D8C3"/>
    <w:rsid w:val="60C61A0B"/>
    <w:rsid w:val="6173F7B9"/>
    <w:rsid w:val="61DB240C"/>
    <w:rsid w:val="6205AAAA"/>
    <w:rsid w:val="623233AE"/>
    <w:rsid w:val="623954E4"/>
    <w:rsid w:val="623AA119"/>
    <w:rsid w:val="62463720"/>
    <w:rsid w:val="624A4E61"/>
    <w:rsid w:val="6258C787"/>
    <w:rsid w:val="626D61B1"/>
    <w:rsid w:val="62F5A57B"/>
    <w:rsid w:val="630B0054"/>
    <w:rsid w:val="630D3707"/>
    <w:rsid w:val="630EA162"/>
    <w:rsid w:val="63FC8C0C"/>
    <w:rsid w:val="646502B7"/>
    <w:rsid w:val="6475E6E5"/>
    <w:rsid w:val="64D8FAF3"/>
    <w:rsid w:val="65153447"/>
    <w:rsid w:val="6528BA49"/>
    <w:rsid w:val="654CD742"/>
    <w:rsid w:val="65673E0D"/>
    <w:rsid w:val="65ED0991"/>
    <w:rsid w:val="6644FDE8"/>
    <w:rsid w:val="6652600A"/>
    <w:rsid w:val="665A480E"/>
    <w:rsid w:val="66945D06"/>
    <w:rsid w:val="66A179B1"/>
    <w:rsid w:val="673D8DDB"/>
    <w:rsid w:val="673ECF57"/>
    <w:rsid w:val="6757CF37"/>
    <w:rsid w:val="675F2920"/>
    <w:rsid w:val="67766487"/>
    <w:rsid w:val="678C27AF"/>
    <w:rsid w:val="67B66EF4"/>
    <w:rsid w:val="68149C96"/>
    <w:rsid w:val="682B278F"/>
    <w:rsid w:val="6857CC66"/>
    <w:rsid w:val="6878A568"/>
    <w:rsid w:val="68863DC7"/>
    <w:rsid w:val="68D8AB11"/>
    <w:rsid w:val="68EC373C"/>
    <w:rsid w:val="69020C15"/>
    <w:rsid w:val="693E7A4A"/>
    <w:rsid w:val="69498EE6"/>
    <w:rsid w:val="6974152D"/>
    <w:rsid w:val="69820BB5"/>
    <w:rsid w:val="699CF54E"/>
    <w:rsid w:val="69CE0E14"/>
    <w:rsid w:val="69E11858"/>
    <w:rsid w:val="69EF3D1E"/>
    <w:rsid w:val="6A3F6A0D"/>
    <w:rsid w:val="6A5ACD3E"/>
    <w:rsid w:val="6A8D8442"/>
    <w:rsid w:val="6A971EF2"/>
    <w:rsid w:val="6A989098"/>
    <w:rsid w:val="6AB086A0"/>
    <w:rsid w:val="6B1C1D48"/>
    <w:rsid w:val="6B51D782"/>
    <w:rsid w:val="6B527204"/>
    <w:rsid w:val="6B9445CB"/>
    <w:rsid w:val="6B96857E"/>
    <w:rsid w:val="6B98E241"/>
    <w:rsid w:val="6C1E0B35"/>
    <w:rsid w:val="6C247959"/>
    <w:rsid w:val="6C39BEE1"/>
    <w:rsid w:val="6C537DC3"/>
    <w:rsid w:val="6C59A201"/>
    <w:rsid w:val="6C5F1CDE"/>
    <w:rsid w:val="6CCCBC6B"/>
    <w:rsid w:val="6CEF0DFB"/>
    <w:rsid w:val="6D0AC190"/>
    <w:rsid w:val="6D343081"/>
    <w:rsid w:val="6D4EABF5"/>
    <w:rsid w:val="6D686BBA"/>
    <w:rsid w:val="6D951C3F"/>
    <w:rsid w:val="6DB40C45"/>
    <w:rsid w:val="6DCEDADE"/>
    <w:rsid w:val="6DF5B7BD"/>
    <w:rsid w:val="6E47F0C1"/>
    <w:rsid w:val="6E5E6B95"/>
    <w:rsid w:val="6ECFC68E"/>
    <w:rsid w:val="6EF4B3AE"/>
    <w:rsid w:val="6F3F1FF2"/>
    <w:rsid w:val="6F5D838D"/>
    <w:rsid w:val="6FB8A44D"/>
    <w:rsid w:val="6FCD6FBF"/>
    <w:rsid w:val="704A2422"/>
    <w:rsid w:val="7072269E"/>
    <w:rsid w:val="708E425F"/>
    <w:rsid w:val="70C32F8C"/>
    <w:rsid w:val="70F602E6"/>
    <w:rsid w:val="71018B3F"/>
    <w:rsid w:val="71A91FAD"/>
    <w:rsid w:val="71C1C025"/>
    <w:rsid w:val="7211CD88"/>
    <w:rsid w:val="72354CCD"/>
    <w:rsid w:val="724BB66B"/>
    <w:rsid w:val="724D8083"/>
    <w:rsid w:val="7288DC3B"/>
    <w:rsid w:val="72D724AE"/>
    <w:rsid w:val="72EC38FD"/>
    <w:rsid w:val="7303CD40"/>
    <w:rsid w:val="731517BB"/>
    <w:rsid w:val="732E3CCE"/>
    <w:rsid w:val="73F8ACF2"/>
    <w:rsid w:val="740C57D2"/>
    <w:rsid w:val="745CC30A"/>
    <w:rsid w:val="75186781"/>
    <w:rsid w:val="755C3682"/>
    <w:rsid w:val="759EC408"/>
    <w:rsid w:val="75F6B625"/>
    <w:rsid w:val="760A0745"/>
    <w:rsid w:val="763363D6"/>
    <w:rsid w:val="7691CC03"/>
    <w:rsid w:val="76E454B1"/>
    <w:rsid w:val="770ADB5E"/>
    <w:rsid w:val="772CB26B"/>
    <w:rsid w:val="77B5BB18"/>
    <w:rsid w:val="77C9F0DB"/>
    <w:rsid w:val="77E28DF3"/>
    <w:rsid w:val="781BB729"/>
    <w:rsid w:val="783293FA"/>
    <w:rsid w:val="787EF1F4"/>
    <w:rsid w:val="78B4BEE8"/>
    <w:rsid w:val="78E56B73"/>
    <w:rsid w:val="790A7AAB"/>
    <w:rsid w:val="7989523D"/>
    <w:rsid w:val="7991993F"/>
    <w:rsid w:val="799F0D7B"/>
    <w:rsid w:val="7A0B7294"/>
    <w:rsid w:val="7A33B604"/>
    <w:rsid w:val="7A66DB23"/>
    <w:rsid w:val="7A9E6919"/>
    <w:rsid w:val="7AA91B4A"/>
    <w:rsid w:val="7AAA6F29"/>
    <w:rsid w:val="7AD05969"/>
    <w:rsid w:val="7B4CE626"/>
    <w:rsid w:val="7B64DFB8"/>
    <w:rsid w:val="7B85444E"/>
    <w:rsid w:val="7B8887B9"/>
    <w:rsid w:val="7B8E6E16"/>
    <w:rsid w:val="7B982068"/>
    <w:rsid w:val="7BB79BE4"/>
    <w:rsid w:val="7BDA4F3A"/>
    <w:rsid w:val="7BF92642"/>
    <w:rsid w:val="7C0B574B"/>
    <w:rsid w:val="7C0C1C5C"/>
    <w:rsid w:val="7C27E68E"/>
    <w:rsid w:val="7C372D1A"/>
    <w:rsid w:val="7C639B47"/>
    <w:rsid w:val="7C66AC8E"/>
    <w:rsid w:val="7CB27894"/>
    <w:rsid w:val="7CBF917E"/>
    <w:rsid w:val="7CECEE78"/>
    <w:rsid w:val="7D065CC9"/>
    <w:rsid w:val="7D58F635"/>
    <w:rsid w:val="7DBFF1A4"/>
    <w:rsid w:val="7E6AE53D"/>
    <w:rsid w:val="7E98E559"/>
    <w:rsid w:val="7EC3EE34"/>
    <w:rsid w:val="7EE76B51"/>
    <w:rsid w:val="7F283C52"/>
    <w:rsid w:val="7F748BE0"/>
    <w:rsid w:val="7FBD3A12"/>
    <w:rsid w:val="7FC8344E"/>
    <w:rsid w:val="7FD3D88B"/>
    <w:rsid w:val="7FF17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3DCAAB1"/>
  <w14:defaultImageDpi w14:val="32767"/>
  <w15:docId w15:val="{CF6E5554-3D02-446F-8719-E531F2C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EB"/>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795B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footnotetext0">
    <w:name w:val="footnote text0"/>
    <w:aliases w:val="FT"/>
    <w:basedOn w:val="Normal"/>
    <w:link w:val="FootnoteTextChar"/>
    <w:unhideWhenUsed/>
    <w:locked/>
    <w:rsid w:val="00A864C7"/>
    <w:rPr>
      <w:rFonts w:ascii="Cambria" w:eastAsia="MS Mincho" w:hAnsi="Cambria"/>
      <w:sz w:val="20"/>
      <w:szCs w:val="20"/>
    </w:rPr>
  </w:style>
  <w:style w:type="character" w:customStyle="1" w:styleId="FootnoteTextChar">
    <w:name w:val="Footnote Text Char"/>
    <w:aliases w:val="FT Char"/>
    <w:link w:val="footnotetext0"/>
    <w:rsid w:val="00A864C7"/>
    <w:rPr>
      <w:rFonts w:ascii="Cambria" w:eastAsia="MS Mincho" w:hAnsi="Cambria"/>
    </w:rPr>
  </w:style>
  <w:style w:type="character" w:customStyle="1" w:styleId="footnotereference0">
    <w:name w:val="footnote reference0"/>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6"/>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7B2FB7"/>
    <w:rPr>
      <w:rFonts w:ascii="Helvetica" w:eastAsia="ヒラギノ角ゴ Pro W3" w:hAnsi="Helvetica"/>
      <w:color w:val="000000"/>
    </w:rPr>
  </w:style>
  <w:style w:type="numbering" w:customStyle="1" w:styleId="ImportedStyle2">
    <w:name w:val="Imported Style 2"/>
    <w:rsid w:val="000A7278"/>
    <w:pPr>
      <w:numPr>
        <w:numId w:val="8"/>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1B45C4"/>
    <w:pPr>
      <w:tabs>
        <w:tab w:val="center" w:pos="4680"/>
        <w:tab w:val="right" w:pos="9360"/>
      </w:tabs>
    </w:pPr>
  </w:style>
  <w:style w:type="character" w:customStyle="1" w:styleId="HeaderChar">
    <w:name w:val="Header Char"/>
    <w:link w:val="Header"/>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locked/>
    <w:rsid w:val="00CB7CA0"/>
    <w:rPr>
      <w:sz w:val="20"/>
      <w:szCs w:val="20"/>
    </w:rPr>
  </w:style>
  <w:style w:type="character" w:customStyle="1" w:styleId="CommentTextChar">
    <w:name w:val="Comment Text Char"/>
    <w:basedOn w:val="DefaultParagraphFont"/>
    <w:link w:val="CommentText"/>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customStyle="1" w:styleId="footer0">
    <w:name w:val="footer0"/>
    <w:basedOn w:val="Normal"/>
    <w:link w:val="FooterChar"/>
    <w:uiPriority w:val="99"/>
    <w:locked/>
    <w:rsid w:val="00CE6761"/>
    <w:pPr>
      <w:tabs>
        <w:tab w:val="center" w:pos="4320"/>
        <w:tab w:val="right" w:pos="8640"/>
      </w:tabs>
      <w:ind w:firstLine="720"/>
    </w:pPr>
  </w:style>
  <w:style w:type="character" w:customStyle="1" w:styleId="FooterChar">
    <w:name w:val="Footer Char"/>
    <w:link w:val="footer0"/>
    <w:uiPriority w:val="99"/>
    <w:rsid w:val="00CE6761"/>
    <w:rPr>
      <w:sz w:val="24"/>
      <w:szCs w:val="24"/>
    </w:rPr>
  </w:style>
  <w:style w:type="paragraph" w:styleId="BodyText">
    <w:name w:val="Body Text"/>
    <w:basedOn w:val="Normal"/>
    <w:link w:val="BodyTextChar"/>
    <w:uiPriority w:val="99"/>
    <w:locked/>
    <w:rsid w:val="00CE6761"/>
    <w:pPr>
      <w:spacing w:line="480" w:lineRule="auto"/>
      <w:ind w:firstLine="720"/>
      <w:jc w:val="both"/>
    </w:pPr>
  </w:style>
  <w:style w:type="character" w:customStyle="1" w:styleId="BodyTextChar">
    <w:name w:val="Body Text Char"/>
    <w:link w:val="BodyText"/>
    <w:uiPriority w:val="99"/>
    <w:rsid w:val="00CE6761"/>
    <w:rPr>
      <w:sz w:val="24"/>
      <w:szCs w:val="24"/>
    </w:rPr>
  </w:style>
  <w:style w:type="character" w:styleId="LineNumber">
    <w:name w:val="line number"/>
    <w:locked/>
    <w:rsid w:val="00CE6761"/>
  </w:style>
  <w:style w:type="character" w:customStyle="1" w:styleId="UnresolvedMention1">
    <w:name w:val="Unresolved Mention1"/>
    <w:uiPriority w:val="99"/>
    <w:semiHidden/>
    <w:unhideWhenUsed/>
    <w:rsid w:val="00650EA2"/>
    <w:rPr>
      <w:color w:val="605E5C"/>
      <w:shd w:val="clear" w:color="auto" w:fill="E1DFDD"/>
    </w:rPr>
  </w:style>
  <w:style w:type="character" w:customStyle="1" w:styleId="costarpage">
    <w:name w:val="co_starpage"/>
    <w:rsid w:val="00522DEF"/>
  </w:style>
  <w:style w:type="character" w:styleId="PageNumber">
    <w:name w:val="page number"/>
    <w:locked/>
    <w:rsid w:val="009E10DC"/>
  </w:style>
  <w:style w:type="character" w:styleId="Strong">
    <w:name w:val="Strong"/>
    <w:uiPriority w:val="22"/>
    <w:qFormat/>
    <w:locked/>
    <w:rsid w:val="00676231"/>
    <w:rPr>
      <w:b/>
      <w:bCs/>
    </w:rPr>
  </w:style>
  <w:style w:type="character" w:customStyle="1" w:styleId="Heading2Char">
    <w:name w:val="Heading 2 Char"/>
    <w:link w:val="Heading2"/>
    <w:semiHidden/>
    <w:rsid w:val="00795B75"/>
    <w:rPr>
      <w:rFonts w:ascii="Calibri Light" w:eastAsia="Times New Roman" w:hAnsi="Calibri Light" w:cs="Times New Roman"/>
      <w:b/>
      <w:bCs/>
      <w:i/>
      <w:iCs/>
      <w:sz w:val="28"/>
      <w:szCs w:val="28"/>
    </w:rPr>
  </w:style>
  <w:style w:type="character" w:customStyle="1" w:styleId="UnresolvedMention2">
    <w:name w:val="Unresolved Mention2"/>
    <w:basedOn w:val="DefaultParagraphFont"/>
    <w:uiPriority w:val="99"/>
    <w:semiHidden/>
    <w:unhideWhenUsed/>
    <w:rsid w:val="002F0535"/>
    <w:rPr>
      <w:color w:val="605E5C"/>
      <w:shd w:val="clear" w:color="auto" w:fill="E1DFDD"/>
    </w:rPr>
  </w:style>
  <w:style w:type="paragraph" w:styleId="FootnoteText">
    <w:name w:val="footnote text"/>
    <w:basedOn w:val="Normal"/>
    <w:link w:val="FootnoteTextChar1"/>
    <w:locked/>
    <w:rsid w:val="00B037CF"/>
    <w:rPr>
      <w:sz w:val="20"/>
      <w:szCs w:val="20"/>
    </w:rPr>
  </w:style>
  <w:style w:type="character" w:customStyle="1" w:styleId="FootnoteTextChar1">
    <w:name w:val="Footnote Text Char1"/>
    <w:basedOn w:val="DefaultParagraphFont"/>
    <w:link w:val="FootnoteText"/>
    <w:rsid w:val="00B037CF"/>
  </w:style>
  <w:style w:type="character" w:styleId="FootnoteReference">
    <w:name w:val="footnote reference"/>
    <w:basedOn w:val="DefaultParagraphFont"/>
    <w:locked/>
    <w:rsid w:val="00B037CF"/>
    <w:rPr>
      <w:vertAlign w:val="superscript"/>
    </w:rPr>
  </w:style>
  <w:style w:type="paragraph" w:styleId="Footer">
    <w:name w:val="footer"/>
    <w:basedOn w:val="Normal"/>
    <w:link w:val="FooterChar1"/>
    <w:uiPriority w:val="99"/>
    <w:locked/>
    <w:rsid w:val="00860AFD"/>
    <w:pPr>
      <w:tabs>
        <w:tab w:val="center" w:pos="4680"/>
        <w:tab w:val="right" w:pos="9360"/>
      </w:tabs>
    </w:pPr>
  </w:style>
  <w:style w:type="character" w:customStyle="1" w:styleId="FooterChar1">
    <w:name w:val="Footer Char1"/>
    <w:basedOn w:val="DefaultParagraphFont"/>
    <w:link w:val="Footer"/>
    <w:uiPriority w:val="99"/>
    <w:rsid w:val="00860AFD"/>
    <w:rPr>
      <w:sz w:val="24"/>
      <w:szCs w:val="24"/>
    </w:rPr>
  </w:style>
  <w:style w:type="paragraph" w:styleId="ListParagraph">
    <w:name w:val="List Paragraph"/>
    <w:basedOn w:val="Normal"/>
    <w:uiPriority w:val="34"/>
    <w:qFormat/>
    <w:pPr>
      <w:ind w:left="720"/>
      <w:contextualSpacing/>
    </w:pPr>
  </w:style>
  <w:style w:type="character" w:customStyle="1" w:styleId="UnresolvedMention3">
    <w:name w:val="Unresolved Mention3"/>
    <w:basedOn w:val="DefaultParagraphFont"/>
    <w:uiPriority w:val="99"/>
    <w:semiHidden/>
    <w:unhideWhenUsed/>
    <w:rsid w:val="0021759E"/>
    <w:rPr>
      <w:color w:val="605E5C"/>
      <w:shd w:val="clear" w:color="auto" w:fill="E1DFDD"/>
    </w:rPr>
  </w:style>
  <w:style w:type="character" w:customStyle="1" w:styleId="UnresolvedMention">
    <w:name w:val="Unresolved Mention"/>
    <w:basedOn w:val="DefaultParagraphFont"/>
    <w:uiPriority w:val="99"/>
    <w:semiHidden/>
    <w:unhideWhenUsed/>
    <w:rsid w:val="00B24C1E"/>
    <w:rPr>
      <w:color w:val="605E5C"/>
      <w:shd w:val="clear" w:color="auto" w:fill="E1DFDD"/>
    </w:rPr>
  </w:style>
  <w:style w:type="paragraph" w:customStyle="1" w:styleId="xxmsolistparagraph">
    <w:name w:val="x_xmsolistparagraph"/>
    <w:basedOn w:val="Normal"/>
    <w:rsid w:val="00F82BA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676">
      <w:bodyDiv w:val="1"/>
      <w:marLeft w:val="0"/>
      <w:marRight w:val="0"/>
      <w:marTop w:val="0"/>
      <w:marBottom w:val="0"/>
      <w:divBdr>
        <w:top w:val="none" w:sz="0" w:space="0" w:color="auto"/>
        <w:left w:val="none" w:sz="0" w:space="0" w:color="auto"/>
        <w:bottom w:val="none" w:sz="0" w:space="0" w:color="auto"/>
        <w:right w:val="none" w:sz="0" w:space="0" w:color="auto"/>
      </w:divBdr>
    </w:div>
    <w:div w:id="13503167">
      <w:bodyDiv w:val="1"/>
      <w:marLeft w:val="0"/>
      <w:marRight w:val="0"/>
      <w:marTop w:val="0"/>
      <w:marBottom w:val="0"/>
      <w:divBdr>
        <w:top w:val="none" w:sz="0" w:space="0" w:color="auto"/>
        <w:left w:val="none" w:sz="0" w:space="0" w:color="auto"/>
        <w:bottom w:val="none" w:sz="0" w:space="0" w:color="auto"/>
        <w:right w:val="none" w:sz="0" w:space="0" w:color="auto"/>
      </w:divBdr>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10365056">
      <w:bodyDiv w:val="1"/>
      <w:marLeft w:val="0"/>
      <w:marRight w:val="0"/>
      <w:marTop w:val="0"/>
      <w:marBottom w:val="0"/>
      <w:divBdr>
        <w:top w:val="none" w:sz="0" w:space="0" w:color="auto"/>
        <w:left w:val="none" w:sz="0" w:space="0" w:color="auto"/>
        <w:bottom w:val="none" w:sz="0" w:space="0" w:color="auto"/>
        <w:right w:val="none" w:sz="0" w:space="0" w:color="auto"/>
      </w:divBdr>
      <w:divsChild>
        <w:div w:id="1876774961">
          <w:marLeft w:val="0"/>
          <w:marRight w:val="0"/>
          <w:marTop w:val="0"/>
          <w:marBottom w:val="0"/>
          <w:divBdr>
            <w:top w:val="none" w:sz="0" w:space="0" w:color="auto"/>
            <w:left w:val="none" w:sz="0" w:space="0" w:color="auto"/>
            <w:bottom w:val="none" w:sz="0" w:space="0" w:color="auto"/>
            <w:right w:val="none" w:sz="0" w:space="0" w:color="auto"/>
          </w:divBdr>
          <w:divsChild>
            <w:div w:id="1682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14">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264584275">
      <w:bodyDiv w:val="1"/>
      <w:marLeft w:val="0"/>
      <w:marRight w:val="0"/>
      <w:marTop w:val="0"/>
      <w:marBottom w:val="0"/>
      <w:divBdr>
        <w:top w:val="none" w:sz="0" w:space="0" w:color="auto"/>
        <w:left w:val="none" w:sz="0" w:space="0" w:color="auto"/>
        <w:bottom w:val="none" w:sz="0" w:space="0" w:color="auto"/>
        <w:right w:val="none" w:sz="0" w:space="0" w:color="auto"/>
      </w:divBdr>
    </w:div>
    <w:div w:id="269553223">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41322099">
      <w:bodyDiv w:val="1"/>
      <w:marLeft w:val="0"/>
      <w:marRight w:val="0"/>
      <w:marTop w:val="0"/>
      <w:marBottom w:val="0"/>
      <w:divBdr>
        <w:top w:val="none" w:sz="0" w:space="0" w:color="auto"/>
        <w:left w:val="none" w:sz="0" w:space="0" w:color="auto"/>
        <w:bottom w:val="none" w:sz="0" w:space="0" w:color="auto"/>
        <w:right w:val="none" w:sz="0" w:space="0" w:color="auto"/>
      </w:divBdr>
      <w:divsChild>
        <w:div w:id="468130585">
          <w:marLeft w:val="0"/>
          <w:marRight w:val="0"/>
          <w:marTop w:val="0"/>
          <w:marBottom w:val="0"/>
          <w:divBdr>
            <w:top w:val="none" w:sz="0" w:space="0" w:color="auto"/>
            <w:left w:val="none" w:sz="0" w:space="0" w:color="auto"/>
            <w:bottom w:val="none" w:sz="0" w:space="0" w:color="auto"/>
            <w:right w:val="none" w:sz="0" w:space="0" w:color="auto"/>
          </w:divBdr>
          <w:divsChild>
            <w:div w:id="1646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2279">
      <w:bodyDiv w:val="1"/>
      <w:marLeft w:val="0"/>
      <w:marRight w:val="0"/>
      <w:marTop w:val="0"/>
      <w:marBottom w:val="0"/>
      <w:divBdr>
        <w:top w:val="none" w:sz="0" w:space="0" w:color="auto"/>
        <w:left w:val="none" w:sz="0" w:space="0" w:color="auto"/>
        <w:bottom w:val="none" w:sz="0" w:space="0" w:color="auto"/>
        <w:right w:val="none" w:sz="0" w:space="0" w:color="auto"/>
      </w:divBdr>
      <w:divsChild>
        <w:div w:id="2049985225">
          <w:marLeft w:val="0"/>
          <w:marRight w:val="0"/>
          <w:marTop w:val="0"/>
          <w:marBottom w:val="0"/>
          <w:divBdr>
            <w:top w:val="none" w:sz="0" w:space="0" w:color="auto"/>
            <w:left w:val="none" w:sz="0" w:space="0" w:color="auto"/>
            <w:bottom w:val="none" w:sz="0" w:space="0" w:color="auto"/>
            <w:right w:val="none" w:sz="0" w:space="0" w:color="auto"/>
          </w:divBdr>
          <w:divsChild>
            <w:div w:id="1975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1733">
      <w:bodyDiv w:val="1"/>
      <w:marLeft w:val="0"/>
      <w:marRight w:val="0"/>
      <w:marTop w:val="0"/>
      <w:marBottom w:val="0"/>
      <w:divBdr>
        <w:top w:val="none" w:sz="0" w:space="0" w:color="auto"/>
        <w:left w:val="none" w:sz="0" w:space="0" w:color="auto"/>
        <w:bottom w:val="none" w:sz="0" w:space="0" w:color="auto"/>
        <w:right w:val="none" w:sz="0" w:space="0" w:color="auto"/>
      </w:divBdr>
      <w:divsChild>
        <w:div w:id="454719690">
          <w:marLeft w:val="0"/>
          <w:marRight w:val="0"/>
          <w:marTop w:val="0"/>
          <w:marBottom w:val="0"/>
          <w:divBdr>
            <w:top w:val="none" w:sz="0" w:space="0" w:color="auto"/>
            <w:left w:val="none" w:sz="0" w:space="0" w:color="auto"/>
            <w:bottom w:val="none" w:sz="0" w:space="0" w:color="auto"/>
            <w:right w:val="none" w:sz="0" w:space="0" w:color="auto"/>
          </w:divBdr>
          <w:divsChild>
            <w:div w:id="1015307224">
              <w:marLeft w:val="0"/>
              <w:marRight w:val="0"/>
              <w:marTop w:val="0"/>
              <w:marBottom w:val="0"/>
              <w:divBdr>
                <w:top w:val="none" w:sz="0" w:space="0" w:color="auto"/>
                <w:left w:val="none" w:sz="0" w:space="0" w:color="auto"/>
                <w:bottom w:val="none" w:sz="0" w:space="0" w:color="auto"/>
                <w:right w:val="none" w:sz="0" w:space="0" w:color="auto"/>
              </w:divBdr>
              <w:divsChild>
                <w:div w:id="3537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1689">
      <w:bodyDiv w:val="1"/>
      <w:marLeft w:val="0"/>
      <w:marRight w:val="0"/>
      <w:marTop w:val="0"/>
      <w:marBottom w:val="0"/>
      <w:divBdr>
        <w:top w:val="none" w:sz="0" w:space="0" w:color="auto"/>
        <w:left w:val="none" w:sz="0" w:space="0" w:color="auto"/>
        <w:bottom w:val="none" w:sz="0" w:space="0" w:color="auto"/>
        <w:right w:val="none" w:sz="0" w:space="0" w:color="auto"/>
      </w:divBdr>
    </w:div>
    <w:div w:id="531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77">
          <w:marLeft w:val="0"/>
          <w:marRight w:val="0"/>
          <w:marTop w:val="0"/>
          <w:marBottom w:val="0"/>
          <w:divBdr>
            <w:top w:val="none" w:sz="0" w:space="0" w:color="auto"/>
            <w:left w:val="none" w:sz="0" w:space="0" w:color="auto"/>
            <w:bottom w:val="none" w:sz="0" w:space="0" w:color="auto"/>
            <w:right w:val="none" w:sz="0" w:space="0" w:color="auto"/>
          </w:divBdr>
        </w:div>
      </w:divsChild>
    </w:div>
    <w:div w:id="541208030">
      <w:bodyDiv w:val="1"/>
      <w:marLeft w:val="0"/>
      <w:marRight w:val="0"/>
      <w:marTop w:val="0"/>
      <w:marBottom w:val="0"/>
      <w:divBdr>
        <w:top w:val="none" w:sz="0" w:space="0" w:color="auto"/>
        <w:left w:val="none" w:sz="0" w:space="0" w:color="auto"/>
        <w:bottom w:val="none" w:sz="0" w:space="0" w:color="auto"/>
        <w:right w:val="none" w:sz="0" w:space="0" w:color="auto"/>
      </w:divBdr>
    </w:div>
    <w:div w:id="544559299">
      <w:bodyDiv w:val="1"/>
      <w:marLeft w:val="0"/>
      <w:marRight w:val="0"/>
      <w:marTop w:val="0"/>
      <w:marBottom w:val="0"/>
      <w:divBdr>
        <w:top w:val="none" w:sz="0" w:space="0" w:color="auto"/>
        <w:left w:val="none" w:sz="0" w:space="0" w:color="auto"/>
        <w:bottom w:val="none" w:sz="0" w:space="0" w:color="auto"/>
        <w:right w:val="none" w:sz="0" w:space="0" w:color="auto"/>
      </w:divBdr>
    </w:div>
    <w:div w:id="656491853">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35783507">
      <w:bodyDiv w:val="1"/>
      <w:marLeft w:val="0"/>
      <w:marRight w:val="0"/>
      <w:marTop w:val="0"/>
      <w:marBottom w:val="0"/>
      <w:divBdr>
        <w:top w:val="none" w:sz="0" w:space="0" w:color="auto"/>
        <w:left w:val="none" w:sz="0" w:space="0" w:color="auto"/>
        <w:bottom w:val="none" w:sz="0" w:space="0" w:color="auto"/>
        <w:right w:val="none" w:sz="0" w:space="0" w:color="auto"/>
      </w:divBdr>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37718776">
      <w:bodyDiv w:val="1"/>
      <w:marLeft w:val="0"/>
      <w:marRight w:val="0"/>
      <w:marTop w:val="0"/>
      <w:marBottom w:val="0"/>
      <w:divBdr>
        <w:top w:val="none" w:sz="0" w:space="0" w:color="auto"/>
        <w:left w:val="none" w:sz="0" w:space="0" w:color="auto"/>
        <w:bottom w:val="none" w:sz="0" w:space="0" w:color="auto"/>
        <w:right w:val="none" w:sz="0" w:space="0" w:color="auto"/>
      </w:divBdr>
    </w:div>
    <w:div w:id="937908233">
      <w:bodyDiv w:val="1"/>
      <w:marLeft w:val="0"/>
      <w:marRight w:val="0"/>
      <w:marTop w:val="0"/>
      <w:marBottom w:val="0"/>
      <w:divBdr>
        <w:top w:val="none" w:sz="0" w:space="0" w:color="auto"/>
        <w:left w:val="none" w:sz="0" w:space="0" w:color="auto"/>
        <w:bottom w:val="none" w:sz="0" w:space="0" w:color="auto"/>
        <w:right w:val="none" w:sz="0" w:space="0" w:color="auto"/>
      </w:divBdr>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57762087">
      <w:bodyDiv w:val="1"/>
      <w:marLeft w:val="0"/>
      <w:marRight w:val="0"/>
      <w:marTop w:val="0"/>
      <w:marBottom w:val="0"/>
      <w:divBdr>
        <w:top w:val="none" w:sz="0" w:space="0" w:color="auto"/>
        <w:left w:val="none" w:sz="0" w:space="0" w:color="auto"/>
        <w:bottom w:val="none" w:sz="0" w:space="0" w:color="auto"/>
        <w:right w:val="none" w:sz="0" w:space="0" w:color="auto"/>
      </w:divBdr>
    </w:div>
    <w:div w:id="962423922">
      <w:bodyDiv w:val="1"/>
      <w:marLeft w:val="0"/>
      <w:marRight w:val="0"/>
      <w:marTop w:val="0"/>
      <w:marBottom w:val="0"/>
      <w:divBdr>
        <w:top w:val="none" w:sz="0" w:space="0" w:color="auto"/>
        <w:left w:val="none" w:sz="0" w:space="0" w:color="auto"/>
        <w:bottom w:val="none" w:sz="0" w:space="0" w:color="auto"/>
        <w:right w:val="none" w:sz="0" w:space="0" w:color="auto"/>
      </w:divBdr>
      <w:divsChild>
        <w:div w:id="1603293441">
          <w:marLeft w:val="0"/>
          <w:marRight w:val="0"/>
          <w:marTop w:val="0"/>
          <w:marBottom w:val="0"/>
          <w:divBdr>
            <w:top w:val="none" w:sz="0" w:space="0" w:color="auto"/>
            <w:left w:val="none" w:sz="0" w:space="0" w:color="auto"/>
            <w:bottom w:val="none" w:sz="0" w:space="0" w:color="auto"/>
            <w:right w:val="none" w:sz="0" w:space="0" w:color="auto"/>
          </w:divBdr>
        </w:div>
      </w:divsChild>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115246786">
      <w:bodyDiv w:val="1"/>
      <w:marLeft w:val="0"/>
      <w:marRight w:val="0"/>
      <w:marTop w:val="0"/>
      <w:marBottom w:val="0"/>
      <w:divBdr>
        <w:top w:val="none" w:sz="0" w:space="0" w:color="auto"/>
        <w:left w:val="none" w:sz="0" w:space="0" w:color="auto"/>
        <w:bottom w:val="none" w:sz="0" w:space="0" w:color="auto"/>
        <w:right w:val="none" w:sz="0" w:space="0" w:color="auto"/>
      </w:divBdr>
    </w:div>
    <w:div w:id="1130855226">
      <w:bodyDiv w:val="1"/>
      <w:marLeft w:val="0"/>
      <w:marRight w:val="0"/>
      <w:marTop w:val="0"/>
      <w:marBottom w:val="0"/>
      <w:divBdr>
        <w:top w:val="none" w:sz="0" w:space="0" w:color="auto"/>
        <w:left w:val="none" w:sz="0" w:space="0" w:color="auto"/>
        <w:bottom w:val="none" w:sz="0" w:space="0" w:color="auto"/>
        <w:right w:val="none" w:sz="0" w:space="0" w:color="auto"/>
      </w:divBdr>
    </w:div>
    <w:div w:id="1140150611">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53374276">
      <w:bodyDiv w:val="1"/>
      <w:marLeft w:val="0"/>
      <w:marRight w:val="0"/>
      <w:marTop w:val="0"/>
      <w:marBottom w:val="0"/>
      <w:divBdr>
        <w:top w:val="none" w:sz="0" w:space="0" w:color="auto"/>
        <w:left w:val="none" w:sz="0" w:space="0" w:color="auto"/>
        <w:bottom w:val="none" w:sz="0" w:space="0" w:color="auto"/>
        <w:right w:val="none" w:sz="0" w:space="0" w:color="auto"/>
      </w:divBdr>
    </w:div>
    <w:div w:id="1160273643">
      <w:bodyDiv w:val="1"/>
      <w:marLeft w:val="0"/>
      <w:marRight w:val="0"/>
      <w:marTop w:val="0"/>
      <w:marBottom w:val="0"/>
      <w:divBdr>
        <w:top w:val="none" w:sz="0" w:space="0" w:color="auto"/>
        <w:left w:val="none" w:sz="0" w:space="0" w:color="auto"/>
        <w:bottom w:val="none" w:sz="0" w:space="0" w:color="auto"/>
        <w:right w:val="none" w:sz="0" w:space="0" w:color="auto"/>
      </w:divBdr>
    </w:div>
    <w:div w:id="1169295610">
      <w:bodyDiv w:val="1"/>
      <w:marLeft w:val="0"/>
      <w:marRight w:val="0"/>
      <w:marTop w:val="0"/>
      <w:marBottom w:val="0"/>
      <w:divBdr>
        <w:top w:val="none" w:sz="0" w:space="0" w:color="auto"/>
        <w:left w:val="none" w:sz="0" w:space="0" w:color="auto"/>
        <w:bottom w:val="none" w:sz="0" w:space="0" w:color="auto"/>
        <w:right w:val="none" w:sz="0" w:space="0" w:color="auto"/>
      </w:divBdr>
    </w:div>
    <w:div w:id="118347344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9789">
      <w:bodyDiv w:val="1"/>
      <w:marLeft w:val="0"/>
      <w:marRight w:val="0"/>
      <w:marTop w:val="0"/>
      <w:marBottom w:val="0"/>
      <w:divBdr>
        <w:top w:val="none" w:sz="0" w:space="0" w:color="auto"/>
        <w:left w:val="none" w:sz="0" w:space="0" w:color="auto"/>
        <w:bottom w:val="none" w:sz="0" w:space="0" w:color="auto"/>
        <w:right w:val="none" w:sz="0" w:space="0" w:color="auto"/>
      </w:divBdr>
    </w:div>
    <w:div w:id="1219054656">
      <w:bodyDiv w:val="1"/>
      <w:marLeft w:val="0"/>
      <w:marRight w:val="0"/>
      <w:marTop w:val="0"/>
      <w:marBottom w:val="0"/>
      <w:divBdr>
        <w:top w:val="none" w:sz="0" w:space="0" w:color="auto"/>
        <w:left w:val="none" w:sz="0" w:space="0" w:color="auto"/>
        <w:bottom w:val="none" w:sz="0" w:space="0" w:color="auto"/>
        <w:right w:val="none" w:sz="0" w:space="0" w:color="auto"/>
      </w:divBdr>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42986233">
      <w:bodyDiv w:val="1"/>
      <w:marLeft w:val="0"/>
      <w:marRight w:val="0"/>
      <w:marTop w:val="0"/>
      <w:marBottom w:val="0"/>
      <w:divBdr>
        <w:top w:val="none" w:sz="0" w:space="0" w:color="auto"/>
        <w:left w:val="none" w:sz="0" w:space="0" w:color="auto"/>
        <w:bottom w:val="none" w:sz="0" w:space="0" w:color="auto"/>
        <w:right w:val="none" w:sz="0" w:space="0" w:color="auto"/>
      </w:divBdr>
      <w:divsChild>
        <w:div w:id="1812287909">
          <w:marLeft w:val="0"/>
          <w:marRight w:val="0"/>
          <w:marTop w:val="0"/>
          <w:marBottom w:val="0"/>
          <w:divBdr>
            <w:top w:val="none" w:sz="0" w:space="0" w:color="auto"/>
            <w:left w:val="none" w:sz="0" w:space="0" w:color="auto"/>
            <w:bottom w:val="none" w:sz="0" w:space="0" w:color="auto"/>
            <w:right w:val="none" w:sz="0" w:space="0" w:color="auto"/>
          </w:divBdr>
        </w:div>
      </w:divsChild>
    </w:div>
    <w:div w:id="1244299136">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21177405">
      <w:bodyDiv w:val="1"/>
      <w:marLeft w:val="0"/>
      <w:marRight w:val="0"/>
      <w:marTop w:val="0"/>
      <w:marBottom w:val="0"/>
      <w:divBdr>
        <w:top w:val="none" w:sz="0" w:space="0" w:color="auto"/>
        <w:left w:val="none" w:sz="0" w:space="0" w:color="auto"/>
        <w:bottom w:val="none" w:sz="0" w:space="0" w:color="auto"/>
        <w:right w:val="none" w:sz="0" w:space="0" w:color="auto"/>
      </w:divBdr>
    </w:div>
    <w:div w:id="1436436852">
      <w:bodyDiv w:val="1"/>
      <w:marLeft w:val="0"/>
      <w:marRight w:val="0"/>
      <w:marTop w:val="0"/>
      <w:marBottom w:val="0"/>
      <w:divBdr>
        <w:top w:val="none" w:sz="0" w:space="0" w:color="auto"/>
        <w:left w:val="none" w:sz="0" w:space="0" w:color="auto"/>
        <w:bottom w:val="none" w:sz="0" w:space="0" w:color="auto"/>
        <w:right w:val="none" w:sz="0" w:space="0" w:color="auto"/>
      </w:divBdr>
    </w:div>
    <w:div w:id="1462920216">
      <w:bodyDiv w:val="1"/>
      <w:marLeft w:val="0"/>
      <w:marRight w:val="0"/>
      <w:marTop w:val="0"/>
      <w:marBottom w:val="0"/>
      <w:divBdr>
        <w:top w:val="none" w:sz="0" w:space="0" w:color="auto"/>
        <w:left w:val="none" w:sz="0" w:space="0" w:color="auto"/>
        <w:bottom w:val="none" w:sz="0" w:space="0" w:color="auto"/>
        <w:right w:val="none" w:sz="0" w:space="0" w:color="auto"/>
      </w:divBdr>
    </w:div>
    <w:div w:id="1484933450">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5792">
      <w:bodyDiv w:val="1"/>
      <w:marLeft w:val="0"/>
      <w:marRight w:val="0"/>
      <w:marTop w:val="0"/>
      <w:marBottom w:val="0"/>
      <w:divBdr>
        <w:top w:val="none" w:sz="0" w:space="0" w:color="auto"/>
        <w:left w:val="none" w:sz="0" w:space="0" w:color="auto"/>
        <w:bottom w:val="none" w:sz="0" w:space="0" w:color="auto"/>
        <w:right w:val="none" w:sz="0" w:space="0" w:color="auto"/>
      </w:divBdr>
    </w:div>
    <w:div w:id="1598751685">
      <w:bodyDiv w:val="1"/>
      <w:marLeft w:val="0"/>
      <w:marRight w:val="0"/>
      <w:marTop w:val="0"/>
      <w:marBottom w:val="0"/>
      <w:divBdr>
        <w:top w:val="none" w:sz="0" w:space="0" w:color="auto"/>
        <w:left w:val="none" w:sz="0" w:space="0" w:color="auto"/>
        <w:bottom w:val="none" w:sz="0" w:space="0" w:color="auto"/>
        <w:right w:val="none" w:sz="0" w:space="0" w:color="auto"/>
      </w:divBdr>
      <w:divsChild>
        <w:div w:id="1426656499">
          <w:marLeft w:val="0"/>
          <w:marRight w:val="0"/>
          <w:marTop w:val="0"/>
          <w:marBottom w:val="0"/>
          <w:divBdr>
            <w:top w:val="none" w:sz="0" w:space="0" w:color="auto"/>
            <w:left w:val="none" w:sz="0" w:space="0" w:color="auto"/>
            <w:bottom w:val="none" w:sz="0" w:space="0" w:color="auto"/>
            <w:right w:val="none" w:sz="0" w:space="0" w:color="auto"/>
          </w:divBdr>
        </w:div>
      </w:divsChild>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8181">
      <w:bodyDiv w:val="1"/>
      <w:marLeft w:val="0"/>
      <w:marRight w:val="0"/>
      <w:marTop w:val="0"/>
      <w:marBottom w:val="0"/>
      <w:divBdr>
        <w:top w:val="none" w:sz="0" w:space="0" w:color="auto"/>
        <w:left w:val="none" w:sz="0" w:space="0" w:color="auto"/>
        <w:bottom w:val="none" w:sz="0" w:space="0" w:color="auto"/>
        <w:right w:val="none" w:sz="0" w:space="0" w:color="auto"/>
      </w:divBdr>
    </w:div>
    <w:div w:id="1851791549">
      <w:bodyDiv w:val="1"/>
      <w:marLeft w:val="0"/>
      <w:marRight w:val="0"/>
      <w:marTop w:val="0"/>
      <w:marBottom w:val="0"/>
      <w:divBdr>
        <w:top w:val="none" w:sz="0" w:space="0" w:color="auto"/>
        <w:left w:val="none" w:sz="0" w:space="0" w:color="auto"/>
        <w:bottom w:val="none" w:sz="0" w:space="0" w:color="auto"/>
        <w:right w:val="none" w:sz="0" w:space="0" w:color="auto"/>
      </w:divBdr>
      <w:divsChild>
        <w:div w:id="1064570520">
          <w:marLeft w:val="0"/>
          <w:marRight w:val="0"/>
          <w:marTop w:val="0"/>
          <w:marBottom w:val="0"/>
          <w:divBdr>
            <w:top w:val="none" w:sz="0" w:space="0" w:color="auto"/>
            <w:left w:val="none" w:sz="0" w:space="0" w:color="auto"/>
            <w:bottom w:val="none" w:sz="0" w:space="0" w:color="auto"/>
            <w:right w:val="none" w:sz="0" w:space="0" w:color="auto"/>
          </w:divBdr>
        </w:div>
      </w:divsChild>
    </w:div>
    <w:div w:id="1854416198">
      <w:bodyDiv w:val="1"/>
      <w:marLeft w:val="0"/>
      <w:marRight w:val="0"/>
      <w:marTop w:val="0"/>
      <w:marBottom w:val="0"/>
      <w:divBdr>
        <w:top w:val="none" w:sz="0" w:space="0" w:color="auto"/>
        <w:left w:val="none" w:sz="0" w:space="0" w:color="auto"/>
        <w:bottom w:val="none" w:sz="0" w:space="0" w:color="auto"/>
        <w:right w:val="none" w:sz="0" w:space="0" w:color="auto"/>
      </w:divBdr>
    </w:div>
    <w:div w:id="1855218742">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861696740">
      <w:bodyDiv w:val="1"/>
      <w:marLeft w:val="0"/>
      <w:marRight w:val="0"/>
      <w:marTop w:val="0"/>
      <w:marBottom w:val="0"/>
      <w:divBdr>
        <w:top w:val="none" w:sz="0" w:space="0" w:color="auto"/>
        <w:left w:val="none" w:sz="0" w:space="0" w:color="auto"/>
        <w:bottom w:val="none" w:sz="0" w:space="0" w:color="auto"/>
        <w:right w:val="none" w:sz="0" w:space="0" w:color="auto"/>
      </w:divBdr>
    </w:div>
    <w:div w:id="1879508382">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84313287">
      <w:bodyDiv w:val="1"/>
      <w:marLeft w:val="0"/>
      <w:marRight w:val="0"/>
      <w:marTop w:val="0"/>
      <w:marBottom w:val="0"/>
      <w:divBdr>
        <w:top w:val="none" w:sz="0" w:space="0" w:color="auto"/>
        <w:left w:val="none" w:sz="0" w:space="0" w:color="auto"/>
        <w:bottom w:val="none" w:sz="0" w:space="0" w:color="auto"/>
        <w:right w:val="none" w:sz="0" w:space="0" w:color="auto"/>
      </w:divBdr>
    </w:div>
    <w:div w:id="2001423758">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31105408">
      <w:bodyDiv w:val="1"/>
      <w:marLeft w:val="0"/>
      <w:marRight w:val="0"/>
      <w:marTop w:val="0"/>
      <w:marBottom w:val="0"/>
      <w:divBdr>
        <w:top w:val="none" w:sz="0" w:space="0" w:color="auto"/>
        <w:left w:val="none" w:sz="0" w:space="0" w:color="auto"/>
        <w:bottom w:val="none" w:sz="0" w:space="0" w:color="auto"/>
        <w:right w:val="none" w:sz="0" w:space="0" w:color="auto"/>
      </w:divBdr>
      <w:divsChild>
        <w:div w:id="1812288337">
          <w:marLeft w:val="0"/>
          <w:marRight w:val="0"/>
          <w:marTop w:val="0"/>
          <w:marBottom w:val="0"/>
          <w:divBdr>
            <w:top w:val="none" w:sz="0" w:space="0" w:color="auto"/>
            <w:left w:val="none" w:sz="0" w:space="0" w:color="auto"/>
            <w:bottom w:val="none" w:sz="0" w:space="0" w:color="auto"/>
            <w:right w:val="none" w:sz="0" w:space="0" w:color="auto"/>
          </w:divBdr>
          <w:divsChild>
            <w:div w:id="742919595">
              <w:marLeft w:val="0"/>
              <w:marRight w:val="0"/>
              <w:marTop w:val="0"/>
              <w:marBottom w:val="0"/>
              <w:divBdr>
                <w:top w:val="none" w:sz="0" w:space="0" w:color="C0C0C0"/>
                <w:left w:val="none" w:sz="0" w:space="0" w:color="C0C0C0"/>
                <w:bottom w:val="none" w:sz="0" w:space="0" w:color="C0C0C0"/>
                <w:right w:val="none" w:sz="0" w:space="0" w:color="C0C0C0"/>
              </w:divBdr>
              <w:divsChild>
                <w:div w:id="620501905">
                  <w:marLeft w:val="0"/>
                  <w:marRight w:val="0"/>
                  <w:marTop w:val="0"/>
                  <w:marBottom w:val="0"/>
                  <w:divBdr>
                    <w:top w:val="none" w:sz="0" w:space="0" w:color="auto"/>
                    <w:left w:val="none" w:sz="0" w:space="0" w:color="auto"/>
                    <w:bottom w:val="none" w:sz="0" w:space="0" w:color="auto"/>
                    <w:right w:val="none" w:sz="0" w:space="0" w:color="auto"/>
                  </w:divBdr>
                  <w:divsChild>
                    <w:div w:id="1896550916">
                      <w:marLeft w:val="0"/>
                      <w:marRight w:val="0"/>
                      <w:marTop w:val="0"/>
                      <w:marBottom w:val="0"/>
                      <w:divBdr>
                        <w:top w:val="none" w:sz="0" w:space="0" w:color="auto"/>
                        <w:left w:val="none" w:sz="0" w:space="0" w:color="auto"/>
                        <w:bottom w:val="none" w:sz="0" w:space="0" w:color="auto"/>
                        <w:right w:val="none" w:sz="0" w:space="0" w:color="auto"/>
                      </w:divBdr>
                      <w:divsChild>
                        <w:div w:id="549145715">
                          <w:marLeft w:val="150"/>
                          <w:marRight w:val="150"/>
                          <w:marTop w:val="150"/>
                          <w:marBottom w:val="150"/>
                          <w:divBdr>
                            <w:top w:val="none" w:sz="0" w:space="0" w:color="auto"/>
                            <w:left w:val="none" w:sz="0" w:space="0" w:color="auto"/>
                            <w:bottom w:val="none" w:sz="0" w:space="0" w:color="auto"/>
                            <w:right w:val="none" w:sz="0" w:space="0" w:color="auto"/>
                          </w:divBdr>
                          <w:divsChild>
                            <w:div w:id="811949263">
                              <w:marLeft w:val="0"/>
                              <w:marRight w:val="0"/>
                              <w:marTop w:val="0"/>
                              <w:marBottom w:val="0"/>
                              <w:divBdr>
                                <w:top w:val="none" w:sz="0" w:space="0" w:color="auto"/>
                                <w:left w:val="none" w:sz="0" w:space="0" w:color="auto"/>
                                <w:bottom w:val="none" w:sz="0" w:space="0" w:color="auto"/>
                                <w:right w:val="none" w:sz="0" w:space="0" w:color="auto"/>
                              </w:divBdr>
                              <w:divsChild>
                                <w:div w:id="10048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19841">
      <w:bodyDiv w:val="1"/>
      <w:marLeft w:val="0"/>
      <w:marRight w:val="0"/>
      <w:marTop w:val="0"/>
      <w:marBottom w:val="0"/>
      <w:divBdr>
        <w:top w:val="none" w:sz="0" w:space="0" w:color="auto"/>
        <w:left w:val="none" w:sz="0" w:space="0" w:color="auto"/>
        <w:bottom w:val="none" w:sz="0" w:space="0" w:color="auto"/>
        <w:right w:val="none" w:sz="0" w:space="0" w:color="auto"/>
      </w:divBdr>
    </w:div>
    <w:div w:id="2067098369">
      <w:bodyDiv w:val="1"/>
      <w:marLeft w:val="0"/>
      <w:marRight w:val="0"/>
      <w:marTop w:val="0"/>
      <w:marBottom w:val="0"/>
      <w:divBdr>
        <w:top w:val="none" w:sz="0" w:space="0" w:color="auto"/>
        <w:left w:val="none" w:sz="0" w:space="0" w:color="auto"/>
        <w:bottom w:val="none" w:sz="0" w:space="0" w:color="auto"/>
        <w:right w:val="none" w:sz="0" w:space="0" w:color="auto"/>
      </w:divBdr>
      <w:divsChild>
        <w:div w:id="945582071">
          <w:marLeft w:val="0"/>
          <w:marRight w:val="0"/>
          <w:marTop w:val="0"/>
          <w:marBottom w:val="0"/>
          <w:divBdr>
            <w:top w:val="none" w:sz="0" w:space="0" w:color="auto"/>
            <w:left w:val="none" w:sz="0" w:space="0" w:color="auto"/>
            <w:bottom w:val="none" w:sz="0" w:space="0" w:color="auto"/>
            <w:right w:val="none" w:sz="0" w:space="0" w:color="auto"/>
          </w:divBdr>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081057492">
      <w:bodyDiv w:val="1"/>
      <w:marLeft w:val="0"/>
      <w:marRight w:val="0"/>
      <w:marTop w:val="0"/>
      <w:marBottom w:val="0"/>
      <w:divBdr>
        <w:top w:val="none" w:sz="0" w:space="0" w:color="auto"/>
        <w:left w:val="none" w:sz="0" w:space="0" w:color="auto"/>
        <w:bottom w:val="none" w:sz="0" w:space="0" w:color="auto"/>
        <w:right w:val="none" w:sz="0" w:space="0" w:color="auto"/>
      </w:divBdr>
    </w:div>
    <w:div w:id="2091732499">
      <w:bodyDiv w:val="1"/>
      <w:marLeft w:val="0"/>
      <w:marRight w:val="0"/>
      <w:marTop w:val="0"/>
      <w:marBottom w:val="0"/>
      <w:divBdr>
        <w:top w:val="none" w:sz="0" w:space="0" w:color="auto"/>
        <w:left w:val="none" w:sz="0" w:space="0" w:color="auto"/>
        <w:bottom w:val="none" w:sz="0" w:space="0" w:color="auto"/>
        <w:right w:val="none" w:sz="0" w:space="0" w:color="auto"/>
      </w:divBdr>
    </w:div>
    <w:div w:id="2092503108">
      <w:bodyDiv w:val="1"/>
      <w:marLeft w:val="0"/>
      <w:marRight w:val="0"/>
      <w:marTop w:val="0"/>
      <w:marBottom w:val="0"/>
      <w:divBdr>
        <w:top w:val="none" w:sz="0" w:space="0" w:color="auto"/>
        <w:left w:val="none" w:sz="0" w:space="0" w:color="auto"/>
        <w:bottom w:val="none" w:sz="0" w:space="0" w:color="auto"/>
        <w:right w:val="none" w:sz="0" w:space="0" w:color="auto"/>
      </w:divBdr>
    </w:div>
    <w:div w:id="212434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kff.org/womens-health-policy/issue-brief/proposed-changes-to-title-x-implications-for-women-and-family-planning-providers/" TargetMode="External"/><Relationship Id="rId21" Type="http://schemas.openxmlformats.org/officeDocument/2006/relationships/hyperlink" Target="https://www.nytimes.com/2018/07/08/health/world-health-breastfeeding-ecuador-trump.html" TargetMode="External"/><Relationship Id="rId42" Type="http://schemas.openxmlformats.org/officeDocument/2006/relationships/hyperlink" Target="http://apps.who.int/iris/bitstream/handle/10665/272429/9789241513913-eng.pdf?ua=1" TargetMode="External"/><Relationship Id="rId47" Type="http://schemas.openxmlformats.org/officeDocument/2006/relationships/hyperlink" Target="http://whqlibdoc.who.int/hq/2001/WHO_RHR_01.19.pdf" TargetMode="External"/><Relationship Id="rId63" Type="http://schemas.openxmlformats.org/officeDocument/2006/relationships/hyperlink" Target="https://www.nysenate.gov/legislation/bills/2017/S2796" TargetMode="External"/><Relationship Id="rId68" Type="http://schemas.openxmlformats.org/officeDocument/2006/relationships/hyperlink" Target="https://doi.org/10.1016/j.contraception.2006.11.009" TargetMode="External"/><Relationship Id="rId84" Type="http://schemas.openxmlformats.org/officeDocument/2006/relationships/hyperlink" Target="https://www.kff.org/womens-health-policy/issue-brief/proposed-changes-to-title-x-implications-for-women-and-family-planning-providers/" TargetMode="External"/><Relationship Id="rId89" Type="http://schemas.openxmlformats.org/officeDocument/2006/relationships/hyperlink" Target="https://www.healthsolutions.org/blog/statement-from-phs-president-ceo-lisa-m-david-rejecting-title-x-funding/" TargetMode="External"/><Relationship Id="rId16" Type="http://schemas.openxmlformats.org/officeDocument/2006/relationships/hyperlink" Target="https://www1.nyc.gov/site/doh/services/allclinics.page" TargetMode="External"/><Relationship Id="rId11" Type="http://schemas.openxmlformats.org/officeDocument/2006/relationships/hyperlink" Target="https://council.nyc.gov/budget/wp-content/uploads/sites/54/2020/06/Fiscal-2021-Schedule-C-Cover-REPORT-Final.pdf" TargetMode="External"/><Relationship Id="rId32" Type="http://schemas.openxmlformats.org/officeDocument/2006/relationships/hyperlink" Target="https://www.hrw.org/report/2017/07/25/i-want-be-nature-made-me/medically-unnecessary-surgeries-intersex-children-us" TargetMode="External"/><Relationship Id="rId37" Type="http://schemas.openxmlformats.org/officeDocument/2006/relationships/hyperlink" Target="https://19thnews.org/2020/10/boston-childrens-hospital-will-no-longer-perform-two-types-of-intersex-surgery-on-children/?utm_source=STAT+Newsletters&amp;utm_campaign=2304913877-MR_COPY_01&amp;utm_medium=email&amp;utm_term=0_8cab1d7961-2304913877-151778981" TargetMode="External"/><Relationship Id="rId53" Type="http://schemas.openxmlformats.org/officeDocument/2006/relationships/hyperlink" Target="https://www.unfpa.org/unfpa-unicef-joint-programme-eliminate-female-genital-mutilation" TargetMode="External"/><Relationship Id="rId58" Type="http://schemas.openxmlformats.org/officeDocument/2006/relationships/hyperlink" Target="https://www.nytimes.com/2018/07/19/us/politics/new-york-abortion-roe-wade-nyt.html" TargetMode="External"/><Relationship Id="rId74" Type="http://schemas.openxmlformats.org/officeDocument/2006/relationships/hyperlink" Target="https://opa.hhs.gov/grant-programs/title-x-service-grants/title-x-statutes-regulations-and-legislative-mandates" TargetMode="External"/><Relationship Id="rId79" Type="http://schemas.openxmlformats.org/officeDocument/2006/relationships/hyperlink" Target="https://opa.hhs.gov/grant-programs/title-x-service-grants/title-x-statutes-regulations-and-legislative-mandates" TargetMode="External"/><Relationship Id="rId5" Type="http://schemas.openxmlformats.org/officeDocument/2006/relationships/hyperlink" Target="https://www.ncbi.nlm.nih.gov/pmc/articles/PMC5840240/" TargetMode="External"/><Relationship Id="rId90" Type="http://schemas.openxmlformats.org/officeDocument/2006/relationships/hyperlink" Target="https://www.wsj.com/articles/states-look-to-fill-funding-gaps-for-clinics-providing-abortions-11581718953" TargetMode="External"/><Relationship Id="rId22" Type="http://schemas.openxmlformats.org/officeDocument/2006/relationships/hyperlink" Target="https://www1.nyc.gov/assets/doh/downloads/pdf/epi/databrief57.pdf" TargetMode="External"/><Relationship Id="rId27" Type="http://schemas.openxmlformats.org/officeDocument/2006/relationships/hyperlink" Target="https://www.kff.org/womens-health-policy/issue-brief/proposed-changes-to-title-x-implications-for-women-and-family-planning-providers/" TargetMode="External"/><Relationship Id="rId43" Type="http://schemas.openxmlformats.org/officeDocument/2006/relationships/hyperlink" Target="https://www.lawschool.cornell.edu/womenandjustice/upload/They-Took-Me-and-Told-Me-Nothing.pdf" TargetMode="External"/><Relationship Id="rId48" Type="http://schemas.openxmlformats.org/officeDocument/2006/relationships/hyperlink" Target="https://www.hhrjournal.org/2018/08/eradicating-female-genital-mutilation-cutting-human-rights-based-approaches-of-legislation-education-and-community-empowerment/" TargetMode="External"/><Relationship Id="rId64" Type="http://schemas.openxmlformats.org/officeDocument/2006/relationships/hyperlink" Target="http://ypdcrime.com/penal.law/article125.htm" TargetMode="External"/><Relationship Id="rId69" Type="http://schemas.openxmlformats.org/officeDocument/2006/relationships/hyperlink" Target="http://nationalacademies.org/hmd/reports/2018/the-safety-and-quality-of-abortion-care-in-the-united-states.aspx" TargetMode="External"/><Relationship Id="rId8" Type="http://schemas.openxmlformats.org/officeDocument/2006/relationships/hyperlink" Target="https://www.guttmacher.org/article/2018/07/laws-affecting-reproductive-health-and-rights-state-policy-trends-midyear-2018" TargetMode="External"/><Relationship Id="rId51" Type="http://schemas.openxmlformats.org/officeDocument/2006/relationships/hyperlink" Target="https://www.hhrjournal.org/2018/08/eradicating-female-genital-mutilation-cutting-human-rights-based-approaches-of-legislation-education-and-community-empowerment/" TargetMode="External"/><Relationship Id="rId72" Type="http://schemas.openxmlformats.org/officeDocument/2006/relationships/hyperlink" Target="https://www.nysenate.gov/newsroom/articles/2019/liz-krueger/faqs-about-reproductive-health-act" TargetMode="External"/><Relationship Id="rId80" Type="http://schemas.openxmlformats.org/officeDocument/2006/relationships/hyperlink" Target="https://www.hhs.gov/about/news/2019/02/22/hhs-releases-final-title-x-rule-detailing-family-planning-grant-program.html" TargetMode="External"/><Relationship Id="rId85" Type="http://schemas.openxmlformats.org/officeDocument/2006/relationships/hyperlink" Target="https://www.kff.org/womens-health-policy/issue-brief/proposed-changes-to-title-x-implications-for-women-and-family-planning-providers/" TargetMode="External"/><Relationship Id="rId93" Type="http://schemas.openxmlformats.org/officeDocument/2006/relationships/hyperlink" Target="https://www.contemporaryobgyn.net/view/impact-title-x-changes-family-planning-access-texas-teens" TargetMode="External"/><Relationship Id="rId3" Type="http://schemas.openxmlformats.org/officeDocument/2006/relationships/hyperlink" Target="https://www1.nyc.gov/assets/cchr/downloads/pdf/publications/SexualReproHealthDecisions_KYR_8.20.2019.pdf" TargetMode="External"/><Relationship Id="rId12" Type="http://schemas.openxmlformats.org/officeDocument/2006/relationships/hyperlink" Target="https://www.acog.org/Patients/FAQs/Long-Acting-Reversible-Contraception-Intrauterine-Device-and-Implant?IsMobileSet=false" TargetMode="External"/><Relationship Id="rId17" Type="http://schemas.openxmlformats.org/officeDocument/2006/relationships/hyperlink" Target="https://www1.nyc.gov/site/doh/services/sexual-health-clinics.page" TargetMode="External"/><Relationship Id="rId25" Type="http://schemas.openxmlformats.org/officeDocument/2006/relationships/hyperlink" Target="https://www.unfe.org/wp-content/uploads/2017/05/UNFE-Intersex.pdf" TargetMode="External"/><Relationship Id="rId33" Type="http://schemas.openxmlformats.org/officeDocument/2006/relationships/hyperlink" Target="https://www.thenation.com/article/archive/leading-cornell-doctor-performing-genital-cutting/" TargetMode="External"/><Relationship Id="rId38" Type="http://schemas.openxmlformats.org/officeDocument/2006/relationships/hyperlink" Target="http://www.who.int/news-room/fact-sheets/detail/female-genital-mutilation" TargetMode="External"/><Relationship Id="rId46" Type="http://schemas.openxmlformats.org/officeDocument/2006/relationships/hyperlink" Target="http://whqlibdoc.who.int/hq/2001/WHO_RHR_01.19.pdf" TargetMode="External"/><Relationship Id="rId59" Type="http://schemas.openxmlformats.org/officeDocument/2006/relationships/hyperlink" Target="https://www.nysenate.gov/issues/reproductive-health-act" TargetMode="External"/><Relationship Id="rId67" Type="http://schemas.openxmlformats.org/officeDocument/2006/relationships/hyperlink" Target="https://www.guttmacher.org/news-release/2017/abortion-common-experience-us-women-despite-dramatic-declines-rates" TargetMode="External"/><Relationship Id="rId20" Type="http://schemas.openxmlformats.org/officeDocument/2006/relationships/hyperlink" Target="https://www.ohchr.org/EN/NewsEvents/Pages/DisplayNews.aspx?NewsID=20871&amp;LangID=E" TargetMode="External"/><Relationship Id="rId41" Type="http://schemas.openxmlformats.org/officeDocument/2006/relationships/hyperlink" Target="https://www.prb.org/infographic-fgm/" TargetMode="External"/><Relationship Id="rId54" Type="http://schemas.openxmlformats.org/officeDocument/2006/relationships/hyperlink" Target="https://www.thedailybeast.com/new-york-cracks-down-on-female-genital-mutilation?ref=scroll" TargetMode="External"/><Relationship Id="rId62" Type="http://schemas.openxmlformats.org/officeDocument/2006/relationships/hyperlink" Target="https://slate.com/human-interest/2017/05/new-york-state-still-bans-abortions-after-24-weeks-a-proposed-law-could-offer-exceptions.html" TargetMode="External"/><Relationship Id="rId70" Type="http://schemas.openxmlformats.org/officeDocument/2006/relationships/hyperlink" Target="https://www.ncbi.nlm.nih.gov/pmc/articles/PMC3673521/" TargetMode="External"/><Relationship Id="rId75" Type="http://schemas.openxmlformats.org/officeDocument/2006/relationships/hyperlink" Target="https://opa.hhs.gov/grant-programs/title-x-service-grants/title-x-statutes-regulations-and-legislative-mandates" TargetMode="External"/><Relationship Id="rId83" Type="http://schemas.openxmlformats.org/officeDocument/2006/relationships/hyperlink" Target="https://comptroller.nyc.gov/wp-content/uploads/documents/Title_X_Funding_in_NYC.pdf" TargetMode="External"/><Relationship Id="rId88" Type="http://schemas.openxmlformats.org/officeDocument/2006/relationships/hyperlink" Target="https://www.npr.org/2019/08/19/752438119/planned-parenthood-out-of-title-x-over-trump-rule" TargetMode="External"/><Relationship Id="rId91" Type="http://schemas.openxmlformats.org/officeDocument/2006/relationships/hyperlink" Target="https://www.governor.ny.gov/sites/governor.ny.gov/files/atoms/files/FY2021BudgetBook.pdf" TargetMode="External"/><Relationship Id="rId1" Type="http://schemas.openxmlformats.org/officeDocument/2006/relationships/hyperlink" Target="https://www.niehs.nih.gov/health/topics/conditions/repro-health/index.cfm" TargetMode="External"/><Relationship Id="rId6" Type="http://schemas.openxmlformats.org/officeDocument/2006/relationships/hyperlink" Target="https://www.health.ny.gov/community/adults/women/female_circumcision/providers.htm" TargetMode="External"/><Relationship Id="rId15" Type="http://schemas.openxmlformats.org/officeDocument/2006/relationships/hyperlink" Target="https://www.ggenyc.org/wp-content/uploads/2018/11/YWI-Report-and-Recommendations.pdf" TargetMode="External"/><Relationship Id="rId23" Type="http://schemas.openxmlformats.org/officeDocument/2006/relationships/hyperlink" Target="https://www1.nyc.gov/site/doh/about/press/pr2018/pr069-18.page" TargetMode="External"/><Relationship Id="rId28" Type="http://schemas.openxmlformats.org/officeDocument/2006/relationships/hyperlink" Target="https://www.kff.org/womens-health-policy/issue-brief/proposed-changes-to-title-x-implications-for-women-and-family-planning-providers/" TargetMode="External"/><Relationship Id="rId36" Type="http://schemas.openxmlformats.org/officeDocument/2006/relationships/hyperlink" Target="https://www.nydailynews.com/news/national/ny-chicago-hospital-apologizes-genital-surgery-intersex-infants-20200801-ixm75peugfh2jolunx5exfztmu-story.html" TargetMode="External"/><Relationship Id="rId49" Type="http://schemas.openxmlformats.org/officeDocument/2006/relationships/hyperlink" Target="https://www.equalitynow.org/end_fgm?locale=en" TargetMode="External"/><Relationship Id="rId57" Type="http://schemas.openxmlformats.org/officeDocument/2006/relationships/hyperlink" Target="https://www.thedailybeast.com/new-york-cracks-down-on-female-genital-mutilation?ref=scroll" TargetMode="External"/><Relationship Id="rId10" Type="http://schemas.openxmlformats.org/officeDocument/2006/relationships/hyperlink" Target="https://web.archive.org/web/20070714111432/http://www.amnestyusa.org/women/pdf/reproductiverights.pdf" TargetMode="External"/><Relationship Id="rId31" Type="http://schemas.openxmlformats.org/officeDocument/2006/relationships/hyperlink" Target="https://www.unfe.org/wp-content/uploads/2017/05/UNFE-Intersex.pdf" TargetMode="External"/><Relationship Id="rId44" Type="http://schemas.openxmlformats.org/officeDocument/2006/relationships/hyperlink" Target="https://data.unicef.org/resources/female-genital-mutilationcutting-statistical-overview-exploration-dynamics-change/" TargetMode="External"/><Relationship Id="rId52" Type="http://schemas.openxmlformats.org/officeDocument/2006/relationships/hyperlink" Target="https://www.unfpa.org/resources/female-genital-mutilation-fgm-frequently-asked-questions" TargetMode="External"/><Relationship Id="rId60" Type="http://schemas.openxmlformats.org/officeDocument/2006/relationships/hyperlink" Target="https://www.nyclu.org/en/legislation/legislative-memo-reproductive-health-act" TargetMode="External"/><Relationship Id="rId65" Type="http://schemas.openxmlformats.org/officeDocument/2006/relationships/hyperlink" Target="https://www.nysenate.gov/legislation/bills/2017/S2796" TargetMode="External"/><Relationship Id="rId73" Type="http://schemas.openxmlformats.org/officeDocument/2006/relationships/hyperlink" Target="https://www.federalregister.gov/documents/2018/06/01/2018-11673/compliance-with-statutory-program-integrity-requirements" TargetMode="External"/><Relationship Id="rId78" Type="http://schemas.openxmlformats.org/officeDocument/2006/relationships/hyperlink" Target="https://opa.hhs.gov/grant-programs/title-x-service-grants/title-x-statutes-regulations-and-legislative-mandates" TargetMode="External"/><Relationship Id="rId81" Type="http://schemas.openxmlformats.org/officeDocument/2006/relationships/hyperlink" Target="https://www.hhs.gov/about/news/2019/02/22/hhs-releases-final-title-x-rule-detailing-family-planning-grant-program.html" TargetMode="External"/><Relationship Id="rId86" Type="http://schemas.openxmlformats.org/officeDocument/2006/relationships/hyperlink" Target="https://www.vice.com/en/article/ne8n8b/6-states-are-now-rejecting-federal-money-because-of-trumps-abortion-gag-rule" TargetMode="External"/><Relationship Id="rId94" Type="http://schemas.openxmlformats.org/officeDocument/2006/relationships/hyperlink" Target="https://www.kff.org/womens-health-policy/issue-brief/data-note-impact-of-new-title-x-regulations-on-network-participation/" TargetMode="External"/><Relationship Id="rId4" Type="http://schemas.openxmlformats.org/officeDocument/2006/relationships/hyperlink" Target="http://whqlibdoc.who.int/hq/2001/WHO_RHR_01.19.pdf" TargetMode="External"/><Relationship Id="rId9" Type="http://schemas.openxmlformats.org/officeDocument/2006/relationships/hyperlink" Target="https://www.ncjw.org/wp-content/uploads/2017/12/RJ-RH-RR-Chart.pdf" TargetMode="External"/><Relationship Id="rId13" Type="http://schemas.openxmlformats.org/officeDocument/2006/relationships/hyperlink" Target="https://www.plannedparenthood.org/planned-parenthood-mar-monte/patient-resources/long-acting-reversible-contraception-2" TargetMode="External"/><Relationship Id="rId18" Type="http://schemas.openxmlformats.org/officeDocument/2006/relationships/hyperlink" Target="https://www1.nyc.gov/site/cchr/law/lactation.page" TargetMode="External"/><Relationship Id="rId39" Type="http://schemas.openxmlformats.org/officeDocument/2006/relationships/hyperlink" Target="https://data.unicef.org/resources/female-genital-mutilationcutting-statistical-overview-exploration-dynamics-change/" TargetMode="External"/><Relationship Id="rId34" Type="http://schemas.openxmlformats.org/officeDocument/2006/relationships/hyperlink" Target="https://www.papermag.com/end-intersex-surgery-2616342004.html?rebelltitem=20" TargetMode="External"/><Relationship Id="rId50" Type="http://schemas.openxmlformats.org/officeDocument/2006/relationships/hyperlink" Target="https://www.hhrjournal.org/2018/08/eradicating-female-genital-mutilation-cutting-human-rights-based-approaches-of-legislation-education-and-community-empowerment/" TargetMode="External"/><Relationship Id="rId55" Type="http://schemas.openxmlformats.org/officeDocument/2006/relationships/hyperlink" Target="https://www.prb.org/infographic-fgm/" TargetMode="External"/><Relationship Id="rId76" Type="http://schemas.openxmlformats.org/officeDocument/2006/relationships/hyperlink" Target="https://opa.hhs.gov/grant-programs/title-x-service-grants/title-x-statutes-regulations-and-legislative-mandates" TargetMode="External"/><Relationship Id="rId7" Type="http://schemas.openxmlformats.org/officeDocument/2006/relationships/hyperlink" Target="http://whqlibdoc.who.int/hq/2001/WHO_RHR_01.19.pdf" TargetMode="External"/><Relationship Id="rId71" Type="http://schemas.openxmlformats.org/officeDocument/2006/relationships/hyperlink" Target="https://www.nyclu.org/en/campaigns/what-you-need-know-about-reproductive-health-act" TargetMode="External"/><Relationship Id="rId92" Type="http://schemas.openxmlformats.org/officeDocument/2006/relationships/hyperlink" Target="https://www.guttmacher.org/article/2020/02/trump-administrations-domestic-gag-rule-has-slashed-title-x-networks-capacity-half" TargetMode="External"/><Relationship Id="rId2" Type="http://schemas.openxmlformats.org/officeDocument/2006/relationships/hyperlink" Target="https://www1.nyc.gov/assets/cchr/downloads/pdf/publications/SexualReproHealthDecisions_KYR_8.20.2019.pdf" TargetMode="External"/><Relationship Id="rId29" Type="http://schemas.openxmlformats.org/officeDocument/2006/relationships/hyperlink" Target="https://www.hrw.org/topic/childrens-rights/intersex-children" TargetMode="External"/><Relationship Id="rId24" Type="http://schemas.openxmlformats.org/officeDocument/2006/relationships/hyperlink" Target="https://www.ohchr.org/EN/NewsEvents/Pages/DisplayNews.aspx?NewsID=20871&amp;LangID=E" TargetMode="External"/><Relationship Id="rId40" Type="http://schemas.openxmlformats.org/officeDocument/2006/relationships/hyperlink" Target="https://www.hindawi.com/journals/ogi/2013/680926/" TargetMode="External"/><Relationship Id="rId45" Type="http://schemas.openxmlformats.org/officeDocument/2006/relationships/hyperlink" Target="http://whqlibdoc.who.int/hq/2001/WHO_RHR_01.19.pdf" TargetMode="External"/><Relationship Id="rId66" Type="http://schemas.openxmlformats.org/officeDocument/2006/relationships/hyperlink" Target="https://codes.findlaw.com/ny/public-health-law/pbh-sect-4164.html" TargetMode="External"/><Relationship Id="rId87" Type="http://schemas.openxmlformats.org/officeDocument/2006/relationships/hyperlink" Target="http://www.wicz.com/story/40976715/new-york-state-says-no-to-trumps-gag-rule-for-title-x-funding" TargetMode="External"/><Relationship Id="rId61" Type="http://schemas.openxmlformats.org/officeDocument/2006/relationships/hyperlink" Target="https://www.nysenate.gov/issues/reproductive-health-act" TargetMode="External"/><Relationship Id="rId82" Type="http://schemas.openxmlformats.org/officeDocument/2006/relationships/hyperlink" Target="https://opa.hhs.gov/grant-programs/title-x-service-grants" TargetMode="External"/><Relationship Id="rId19" Type="http://schemas.openxmlformats.org/officeDocument/2006/relationships/hyperlink" Target="https://www.thelancet.com/journals/lancet/article/PIIS0140-6736(15)01044-2/fulltext" TargetMode="External"/><Relationship Id="rId14" Type="http://schemas.openxmlformats.org/officeDocument/2006/relationships/hyperlink" Target="https://www.acog.org/Clinical-Guidance-and-Publications/Committee-Opinions/Committee-on-Adolescent-Health-Care/Adolescents-and-Long-Acting-Reversible-Contraception?IsMobileSet=false" TargetMode="External"/><Relationship Id="rId30" Type="http://schemas.openxmlformats.org/officeDocument/2006/relationships/hyperlink" Target="https://www.nyaaf.org/about/" TargetMode="External"/><Relationship Id="rId35" Type="http://schemas.openxmlformats.org/officeDocument/2006/relationships/hyperlink" Target="https://www.cnn.com/2019/11/08/health/ny-bill-bans-intersex-surgery-children/index.html" TargetMode="External"/><Relationship Id="rId56" Type="http://schemas.openxmlformats.org/officeDocument/2006/relationships/hyperlink" Target="https://www.prb.org/infographic-fgm/" TargetMode="External"/><Relationship Id="rId77" Type="http://schemas.openxmlformats.org/officeDocument/2006/relationships/hyperlink" Target="https://opa.hhs.gov/grant-programs/title-x-service-grants/title-x-statutes-regulations-and-legislative-man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E7782C-3F3A-4C71-8138-69CA0E81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3687</Words>
  <Characters>21003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cp:lastModifiedBy>DelFranco, Ruthie</cp:lastModifiedBy>
  <cp:revision>2</cp:revision>
  <cp:lastPrinted>2020-02-03T22:06:00Z</cp:lastPrinted>
  <dcterms:created xsi:type="dcterms:W3CDTF">2021-12-08T02:09:00Z</dcterms:created>
  <dcterms:modified xsi:type="dcterms:W3CDTF">2021-12-08T02:09:00Z</dcterms:modified>
</cp:coreProperties>
</file>