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46" w:rsidRPr="00F51D46" w:rsidRDefault="00877BAE" w:rsidP="00F51D46">
      <w:pPr>
        <w:pStyle w:val="TitleB"/>
        <w:spacing w:after="480"/>
        <w:rPr>
          <w:u w:val="single"/>
        </w:rPr>
      </w:pPr>
      <w:bookmarkStart w:id="0" w:name="_GoBack"/>
      <w:bookmarkEnd w:id="0"/>
      <w:r>
        <w:rPr>
          <w:u w:val="single"/>
        </w:rPr>
        <w:t>NEW YORK BLOOD CENTER</w:t>
      </w:r>
      <w:r w:rsidR="006B0AAB">
        <w:rPr>
          <w:u w:val="single"/>
        </w:rPr>
        <w:t>, INC.</w:t>
      </w:r>
      <w:r w:rsidR="004D4005" w:rsidRPr="00F51D46">
        <w:rPr>
          <w:u w:val="single"/>
        </w:rPr>
        <w:t xml:space="preserve"> RESTRICTIVE DECLARATION</w:t>
      </w:r>
    </w:p>
    <w:p w:rsidR="00F51D46" w:rsidRDefault="00877BAE" w:rsidP="00647529">
      <w:pPr>
        <w:pStyle w:val="BodyTextFirstIndent2"/>
      </w:pPr>
      <w:r w:rsidRPr="00F51D46">
        <w:rPr>
          <w:b/>
        </w:rPr>
        <w:t>THIS DECLARATION</w:t>
      </w:r>
      <w:r>
        <w:t xml:space="preserve"> (this “</w:t>
      </w:r>
      <w:r w:rsidRPr="00D37D7D">
        <w:rPr>
          <w:b/>
          <w:u w:val="single"/>
        </w:rPr>
        <w:t>Declaration</w:t>
      </w:r>
      <w:r>
        <w:t xml:space="preserve">”), made as of this </w:t>
      </w:r>
      <w:r w:rsidR="00144EC8">
        <w:t>20th</w:t>
      </w:r>
      <w:r>
        <w:t xml:space="preserve"> day of </w:t>
      </w:r>
      <w:r w:rsidR="00144EC8">
        <w:t>September</w:t>
      </w:r>
      <w:r>
        <w:t>, 20</w:t>
      </w:r>
      <w:r w:rsidR="00CD5A05">
        <w:t>2</w:t>
      </w:r>
      <w:r w:rsidR="00821CF9">
        <w:t>1</w:t>
      </w:r>
      <w:r>
        <w:t xml:space="preserve">, by </w:t>
      </w:r>
      <w:r w:rsidR="00821CF9">
        <w:rPr>
          <w:b/>
        </w:rPr>
        <w:t>NEW YORK BLOOD CENTER</w:t>
      </w:r>
      <w:r w:rsidR="00647529">
        <w:rPr>
          <w:b/>
        </w:rPr>
        <w:t>, INC.</w:t>
      </w:r>
      <w:r w:rsidR="00971662">
        <w:t xml:space="preserve">, </w:t>
      </w:r>
      <w:r w:rsidR="005536BF">
        <w:t xml:space="preserve">a New York not-for-profit corporation, </w:t>
      </w:r>
      <w:r w:rsidR="00971662">
        <w:t xml:space="preserve">having an address </w:t>
      </w:r>
      <w:r w:rsidR="00647529">
        <w:t xml:space="preserve">at </w:t>
      </w:r>
      <w:r w:rsidR="00647529" w:rsidRPr="00647529">
        <w:t>310 E 67th St</w:t>
      </w:r>
      <w:r w:rsidR="00647529">
        <w:t xml:space="preserve"> </w:t>
      </w:r>
      <w:r w:rsidR="00647529" w:rsidRPr="00647529">
        <w:t>New York, NY 10065</w:t>
      </w:r>
      <w:r w:rsidR="000A3667">
        <w:t xml:space="preserve"> (</w:t>
      </w:r>
      <w:r w:rsidR="002718F0">
        <w:t>the “</w:t>
      </w:r>
      <w:r w:rsidR="002718F0" w:rsidRPr="00971662">
        <w:rPr>
          <w:b/>
          <w:u w:val="single"/>
        </w:rPr>
        <w:t>Declarant</w:t>
      </w:r>
      <w:r w:rsidR="00647529">
        <w:t>”)</w:t>
      </w:r>
      <w:r>
        <w:t>.</w:t>
      </w:r>
    </w:p>
    <w:p w:rsidR="00F51D46" w:rsidRDefault="00877BAE" w:rsidP="00F51D46">
      <w:pPr>
        <w:pStyle w:val="TitleB"/>
      </w:pPr>
      <w:r>
        <w:t>WITNESSETH:</w:t>
      </w:r>
    </w:p>
    <w:p w:rsidR="00F51D46" w:rsidRDefault="00877BAE" w:rsidP="00EF1103">
      <w:pPr>
        <w:pStyle w:val="BodyTextFirstIndent2"/>
      </w:pPr>
      <w:r w:rsidRPr="00056D8B">
        <w:rPr>
          <w:b/>
        </w:rPr>
        <w:t>WHEREAS</w:t>
      </w:r>
      <w:r>
        <w:t xml:space="preserve">, </w:t>
      </w:r>
      <w:r w:rsidR="00647529">
        <w:t>NYBC</w:t>
      </w:r>
      <w:r>
        <w:t xml:space="preserve"> is the fee owner of certain real property located in the Borough of Manhattan, County of New York, City and State of New York, designated for real property tax purposes as </w:t>
      </w:r>
      <w:r w:rsidR="00647529" w:rsidRPr="00647529">
        <w:t>Block 1441 Lot 40</w:t>
      </w:r>
      <w:r w:rsidR="00647529">
        <w:t xml:space="preserve"> </w:t>
      </w:r>
      <w:r>
        <w:t xml:space="preserve">and as more </w:t>
      </w:r>
      <w:r>
        <w:t xml:space="preserve">particularly described in </w:t>
      </w:r>
      <w:r w:rsidRPr="00D37D7D">
        <w:rPr>
          <w:b/>
        </w:rPr>
        <w:t>Exhibit “A”</w:t>
      </w:r>
      <w:r w:rsidR="00D46A68">
        <w:rPr>
          <w:b/>
        </w:rPr>
        <w:t xml:space="preserve"> </w:t>
      </w:r>
      <w:r w:rsidR="00D46A68" w:rsidRPr="00D46A68">
        <w:t>(the</w:t>
      </w:r>
      <w:r w:rsidR="00D46A68">
        <w:rPr>
          <w:b/>
        </w:rPr>
        <w:t xml:space="preserve"> “Development Site”</w:t>
      </w:r>
      <w:r w:rsidR="00E307DE">
        <w:rPr>
          <w:b/>
        </w:rPr>
        <w:t xml:space="preserve"> or “Subject Property”)</w:t>
      </w:r>
      <w:r w:rsidR="00D46A68" w:rsidRPr="00D46A68">
        <w:t>)</w:t>
      </w:r>
      <w:r w:rsidRPr="00D46A68">
        <w:t>;</w:t>
      </w:r>
    </w:p>
    <w:p w:rsidR="00F51D46" w:rsidRDefault="00877BAE" w:rsidP="00EF1103">
      <w:pPr>
        <w:pStyle w:val="BodyTextFirstIndent2"/>
      </w:pPr>
      <w:r w:rsidRPr="00056D8B">
        <w:rPr>
          <w:b/>
        </w:rPr>
        <w:t>WHEREAS</w:t>
      </w:r>
      <w:r>
        <w:t xml:space="preserve">, Declarant desires to redevelop the Subject Property with </w:t>
      </w:r>
      <w:r w:rsidR="00647529" w:rsidRPr="00647529">
        <w:t>an approximately 596,200 gross-square-foot state-of-the-art laboratory building</w:t>
      </w:r>
      <w:r w:rsidR="000A3667">
        <w:t xml:space="preserve">, </w:t>
      </w:r>
      <w:r w:rsidR="000A3667" w:rsidRPr="000A3667">
        <w:t>split between 206,400</w:t>
      </w:r>
      <w:r w:rsidR="000A3667">
        <w:t xml:space="preserve"> </w:t>
      </w:r>
      <w:r w:rsidR="000A3667" w:rsidRPr="000A3667">
        <w:t>gsf</w:t>
      </w:r>
      <w:r w:rsidR="000A3667">
        <w:t xml:space="preserve"> </w:t>
      </w:r>
      <w:r w:rsidR="000A3667" w:rsidRPr="000A3667">
        <w:t>of Use Group (UG)-4 community facility uses for the Applicant and 389,800 gsf of UG-9 laboratories and related us</w:t>
      </w:r>
      <w:r w:rsidR="000A3667">
        <w:t xml:space="preserve">es for the Applicant’s partners, </w:t>
      </w:r>
      <w:r>
        <w:t>as described in the Land Use Application (as defined herein) (the “</w:t>
      </w:r>
      <w:r w:rsidRPr="00D37D7D">
        <w:rPr>
          <w:b/>
          <w:u w:val="single"/>
        </w:rPr>
        <w:t>Proposed Development</w:t>
      </w:r>
      <w:r>
        <w:t>”);</w:t>
      </w:r>
    </w:p>
    <w:p w:rsidR="00F51D46" w:rsidRDefault="00877BAE" w:rsidP="00D46A68">
      <w:pPr>
        <w:pStyle w:val="BodyTextFirstIndent2"/>
      </w:pPr>
      <w:r w:rsidRPr="00056D8B">
        <w:rPr>
          <w:b/>
        </w:rPr>
        <w:t>WHEREAS</w:t>
      </w:r>
      <w:r>
        <w:t>, in con</w:t>
      </w:r>
      <w:r>
        <w:t>nectio</w:t>
      </w:r>
      <w:r w:rsidR="00FD198D">
        <w:t xml:space="preserve">n with the Proposed Development, </w:t>
      </w:r>
      <w:r w:rsidR="00647529">
        <w:t>Declarant</w:t>
      </w:r>
      <w:r>
        <w:t xml:space="preserve"> ha</w:t>
      </w:r>
      <w:r w:rsidR="000A3667">
        <w:t>s</w:t>
      </w:r>
      <w:r>
        <w:t xml:space="preserve"> filed with the City Planning Commission of the City of New York (the “</w:t>
      </w:r>
      <w:r w:rsidRPr="00D37D7D">
        <w:rPr>
          <w:b/>
          <w:u w:val="single"/>
        </w:rPr>
        <w:t>Commission</w:t>
      </w:r>
      <w:r>
        <w:t xml:space="preserve">”) an application </w:t>
      </w:r>
      <w:r w:rsidR="00D72E10" w:rsidRPr="00D72E10">
        <w:t xml:space="preserve">(Application Nos. </w:t>
      </w:r>
      <w:r w:rsidR="000A3667">
        <w:t>C210351ZMM, N210352ZRM, and C210353ZSM</w:t>
      </w:r>
      <w:r w:rsidR="00D72E10" w:rsidRPr="00D72E10">
        <w:t xml:space="preserve">) </w:t>
      </w:r>
      <w:r>
        <w:t xml:space="preserve">proposing: </w:t>
      </w:r>
      <w:r w:rsidR="000A3667">
        <w:t xml:space="preserve">(a) a zoning map amendment to rezone the Development Site from an </w:t>
      </w:r>
      <w:r w:rsidR="005536BF">
        <w:t xml:space="preserve">R8B district to a C2-7 district, and </w:t>
      </w:r>
      <w:r w:rsidR="00D46A68">
        <w:t>to r</w:t>
      </w:r>
      <w:r w:rsidR="000A3667">
        <w:t>ezon</w:t>
      </w:r>
      <w:r w:rsidR="00D46A68">
        <w:t>e</w:t>
      </w:r>
      <w:r w:rsidR="000A3667">
        <w:t xml:space="preserve"> both Second Avenue block frontages between East 66th and East 67th</w:t>
      </w:r>
      <w:r w:rsidR="00D46A68">
        <w:t xml:space="preserve"> Streets to a depth of 100 feet</w:t>
      </w:r>
      <w:r w:rsidR="000A3667">
        <w:t xml:space="preserve"> from a C1-9 district to a C2-8 district</w:t>
      </w:r>
      <w:r w:rsidR="00D46A68">
        <w:t>; (</w:t>
      </w:r>
      <w:r w:rsidR="005536BF">
        <w:t>b</w:t>
      </w:r>
      <w:r w:rsidR="00D46A68">
        <w:t>) a z</w:t>
      </w:r>
      <w:r w:rsidR="000A3667">
        <w:t xml:space="preserve">oning text amendment to Section 74-48 </w:t>
      </w:r>
      <w:r w:rsidR="005536BF">
        <w:t xml:space="preserve">of the Zoning Resolution </w:t>
      </w:r>
      <w:r w:rsidR="000A3667">
        <w:t>to allow, by special permit, an increase in commercial FAR in C2-7 districts for medical laboratories and associated offices, and modifications to the applicable supplementary use</w:t>
      </w:r>
      <w:r w:rsidR="00D46A68">
        <w:t>, bulk, and signage regulations;</w:t>
      </w:r>
      <w:r w:rsidR="005536BF">
        <w:t xml:space="preserve"> (c</w:t>
      </w:r>
      <w:r w:rsidR="00D46A68">
        <w:t>) a z</w:t>
      </w:r>
      <w:r w:rsidR="000A3667">
        <w:t xml:space="preserve">oning text amendment to amend Appendix F of the </w:t>
      </w:r>
      <w:r w:rsidR="000A3667">
        <w:lastRenderedPageBreak/>
        <w:t xml:space="preserve">Zoning Resolution to designate the </w:t>
      </w:r>
      <w:r w:rsidR="00D46A68">
        <w:t>Develop</w:t>
      </w:r>
      <w:r w:rsidR="005536BF">
        <w:t>ment Site as an MIH area; and (</w:t>
      </w:r>
      <w:r w:rsidR="00EF01C3">
        <w:t>d</w:t>
      </w:r>
      <w:r w:rsidR="00D46A68">
        <w:t>) a s</w:t>
      </w:r>
      <w:r w:rsidR="000A3667">
        <w:t xml:space="preserve">pecial permit pursuant to Section 74-48, as amended, </w:t>
      </w:r>
      <w:r w:rsidR="000A3667" w:rsidRPr="005536BF">
        <w:t>to permit</w:t>
      </w:r>
      <w:r w:rsidR="005536BF" w:rsidRPr="005536BF">
        <w:t xml:space="preserve"> modifications of the applicable floor area, supplementary use, rear yard, height and setback, and signage regulations. </w:t>
      </w:r>
      <w:r>
        <w:t>(collectively, the “</w:t>
      </w:r>
      <w:r w:rsidRPr="00D37D7D">
        <w:rPr>
          <w:b/>
          <w:u w:val="single"/>
        </w:rPr>
        <w:t>Land Use Application</w:t>
      </w:r>
      <w:r w:rsidR="00375AD1">
        <w:t>”);</w:t>
      </w:r>
    </w:p>
    <w:p w:rsidR="00F51D46" w:rsidRDefault="00877BAE" w:rsidP="00EF1103">
      <w:pPr>
        <w:pStyle w:val="BodyTextFirstIndent2"/>
      </w:pPr>
      <w:r w:rsidRPr="00056D8B">
        <w:rPr>
          <w:b/>
        </w:rPr>
        <w:t>WHEREAS</w:t>
      </w:r>
      <w:r>
        <w:t xml:space="preserve">, the Commission acting as lead agency for the City Environmental Quality Review Application No. </w:t>
      </w:r>
      <w:r w:rsidR="000A3667" w:rsidRPr="000A3667">
        <w:t>21DCP080M</w:t>
      </w:r>
      <w:r>
        <w:t>, conducted environmental review of the Application p</w:t>
      </w:r>
      <w:r>
        <w:t xml:space="preserve">ursuant to Executive Order No. 91 of 1977, as amended, and the regulations promulgated thereunder at 62 RCNY§5-01 </w:t>
      </w:r>
      <w:r w:rsidRPr="00A81D3E">
        <w:rPr>
          <w:u w:val="single"/>
        </w:rPr>
        <w:t>et</w:t>
      </w:r>
      <w:r>
        <w:t xml:space="preserve"> </w:t>
      </w:r>
      <w:r w:rsidRPr="00A81D3E">
        <w:rPr>
          <w:u w:val="single"/>
        </w:rPr>
        <w:t>seq</w:t>
      </w:r>
      <w:r>
        <w:t>. (“</w:t>
      </w:r>
      <w:r w:rsidRPr="00D37D7D">
        <w:rPr>
          <w:b/>
          <w:u w:val="single"/>
        </w:rPr>
        <w:t>CEQR</w:t>
      </w:r>
      <w:r>
        <w:t xml:space="preserve">”) and the State Environmental Quality Review Act, New York State Environmental Conservation Law §8-0101 </w:t>
      </w:r>
      <w:r w:rsidRPr="00A81D3E">
        <w:rPr>
          <w:u w:val="single"/>
        </w:rPr>
        <w:t>et</w:t>
      </w:r>
      <w:r>
        <w:t xml:space="preserve"> </w:t>
      </w:r>
      <w:r w:rsidRPr="00A81D3E">
        <w:rPr>
          <w:u w:val="single"/>
        </w:rPr>
        <w:t>seq</w:t>
      </w:r>
      <w:r>
        <w:t>. and the regulat</w:t>
      </w:r>
      <w:r>
        <w:t>ions promulgated thereunder at 6 NYCRR Part 617 (“</w:t>
      </w:r>
      <w:r w:rsidRPr="00D37D7D">
        <w:rPr>
          <w:b/>
          <w:u w:val="single"/>
        </w:rPr>
        <w:t>SEQRA</w:t>
      </w:r>
      <w:r>
        <w:t>”), and issued a Notice of Completion for the Final Environmental Impact Statement (the “</w:t>
      </w:r>
      <w:r w:rsidRPr="00D37D7D">
        <w:rPr>
          <w:b/>
          <w:u w:val="single"/>
        </w:rPr>
        <w:t>FEIS</w:t>
      </w:r>
      <w:r>
        <w:t xml:space="preserve">”) dated </w:t>
      </w:r>
      <w:r w:rsidR="000A3667">
        <w:t>September 10, 2021</w:t>
      </w:r>
      <w:r>
        <w:t>;</w:t>
      </w:r>
    </w:p>
    <w:p w:rsidR="00D72E10" w:rsidRPr="00D72E10" w:rsidRDefault="00877BAE" w:rsidP="00D72E10">
      <w:pPr>
        <w:pStyle w:val="BodyTextFirstIndent2"/>
      </w:pPr>
      <w:r w:rsidRPr="00D72E10">
        <w:rPr>
          <w:b/>
        </w:rPr>
        <w:t>WHEREAS</w:t>
      </w:r>
      <w:r>
        <w:t xml:space="preserve">, </w:t>
      </w:r>
      <w:r w:rsidRPr="00D72E10">
        <w:t xml:space="preserve">at the time of the Commission’s Approval of the </w:t>
      </w:r>
      <w:r w:rsidR="00D46A68">
        <w:t>Land Use Application,</w:t>
      </w:r>
      <w:r w:rsidRPr="00D72E10">
        <w:t xml:space="preserve"> the Commission found, as required pursuant to SEQRA, that the action is one that avoids or minimizes adverse environmental impacts to the maximum extent practicable, and that the adverse impacts will be avoided or minimized to the maximum extent practicab</w:t>
      </w:r>
      <w:r w:rsidRPr="00D72E10">
        <w:t>le by incorporating as conditions of the decision Project Components Related to the Environment (“PCREs”) and those Mitigation Measures that were identified in the FEIS as practicable;</w:t>
      </w:r>
    </w:p>
    <w:p w:rsidR="00375AD1" w:rsidRDefault="00877BAE" w:rsidP="00375AD1">
      <w:pPr>
        <w:pStyle w:val="BodyTextFirstIndent2"/>
      </w:pPr>
      <w:r w:rsidRPr="00056D8B">
        <w:rPr>
          <w:b/>
        </w:rPr>
        <w:t>WHEREAS</w:t>
      </w:r>
      <w:r>
        <w:t xml:space="preserve">, </w:t>
      </w:r>
      <w:r w:rsidR="00CB55A6">
        <w:rPr>
          <w:bCs/>
        </w:rPr>
        <w:t>Fidelity National</w:t>
      </w:r>
      <w:r>
        <w:rPr>
          <w:bCs/>
        </w:rPr>
        <w:t xml:space="preserve"> Title Insurance Company </w:t>
      </w:r>
      <w:r>
        <w:t>(the “</w:t>
      </w:r>
      <w:r w:rsidRPr="00D37D7D">
        <w:rPr>
          <w:b/>
          <w:u w:val="single"/>
        </w:rPr>
        <w:t>Title Company</w:t>
      </w:r>
      <w:r>
        <w:t>”</w:t>
      </w:r>
      <w:r>
        <w:t>) has certified in the certification (the “</w:t>
      </w:r>
      <w:r w:rsidRPr="00D37D7D">
        <w:rPr>
          <w:b/>
          <w:u w:val="single"/>
        </w:rPr>
        <w:t>Certification</w:t>
      </w:r>
      <w:r>
        <w:t xml:space="preserve">”) attached hereto as </w:t>
      </w:r>
      <w:r w:rsidRPr="00D37D7D">
        <w:rPr>
          <w:b/>
        </w:rPr>
        <w:t>Exhibit “</w:t>
      </w:r>
      <w:r w:rsidRPr="00C11094">
        <w:rPr>
          <w:b/>
        </w:rPr>
        <w:t>B</w:t>
      </w:r>
      <w:r w:rsidRPr="00D37D7D">
        <w:rPr>
          <w:b/>
        </w:rPr>
        <w:t>”</w:t>
      </w:r>
      <w:r>
        <w:t xml:space="preserve"> and made a part hereof, that as of ___, 202</w:t>
      </w:r>
      <w:r w:rsidR="006B0AAB">
        <w:t>1</w:t>
      </w:r>
      <w:r w:rsidR="00D03639">
        <w:t xml:space="preserve">, </w:t>
      </w:r>
      <w:r>
        <w:t>(each, a “</w:t>
      </w:r>
      <w:r w:rsidRPr="00B50E0D">
        <w:rPr>
          <w:b/>
          <w:u w:val="single"/>
        </w:rPr>
        <w:t>Party-in-Interest</w:t>
      </w:r>
      <w:r w:rsidR="00CB55A6">
        <w:t>”) is the only party</w:t>
      </w:r>
      <w:r>
        <w:t xml:space="preserve">-in-interest in the </w:t>
      </w:r>
      <w:r w:rsidR="00E307DE">
        <w:t>Subject Property</w:t>
      </w:r>
      <w:r>
        <w:t xml:space="preserve"> as such term is defined in the defin</w:t>
      </w:r>
      <w:r>
        <w:t>ition of “zoning lot” in Section 12-10 of the Zoning Resolution;</w:t>
      </w:r>
    </w:p>
    <w:p w:rsidR="00F51D46" w:rsidRDefault="00877BAE" w:rsidP="00EF1103">
      <w:pPr>
        <w:pStyle w:val="BodyTextFirstIndent2"/>
      </w:pPr>
      <w:r w:rsidRPr="00056D8B">
        <w:rPr>
          <w:b/>
        </w:rPr>
        <w:t>WHEREAS</w:t>
      </w:r>
      <w:r>
        <w:t>, Declarant desires to restrict the manner in which the Subject Property is developed, redeveloped, maintained and operated in the future.</w:t>
      </w:r>
    </w:p>
    <w:p w:rsidR="00F51D46" w:rsidRDefault="00877BAE" w:rsidP="00EF1103">
      <w:pPr>
        <w:pStyle w:val="BodyTextFirstIndent2"/>
      </w:pPr>
      <w:r w:rsidRPr="00EF1103">
        <w:rPr>
          <w:b/>
        </w:rPr>
        <w:t>NOW THEREFORE</w:t>
      </w:r>
      <w:r>
        <w:t xml:space="preserve">: </w:t>
      </w:r>
      <w:r w:rsidR="00EF1103">
        <w:t xml:space="preserve"> </w:t>
      </w:r>
      <w:r>
        <w:t>Declarant does hereby declare</w:t>
      </w:r>
      <w:r>
        <w:t>, covenant and agree that the Subject Property shall be held, sold, transferred, conveyed and occupied subject to the restrictions, covenants, obligations, easements, and agreements of this Declaration, which shall run with the Subject Property and which s</w:t>
      </w:r>
      <w:r>
        <w:t>hall be binding on Declarant, respectively and its successors and assigns as follows:</w:t>
      </w:r>
    </w:p>
    <w:p w:rsidR="00EF1103" w:rsidRPr="00EF1103" w:rsidRDefault="00877BAE">
      <w:pPr>
        <w:rPr>
          <w:u w:val="single"/>
        </w:rPr>
      </w:pPr>
      <w:r>
        <w:br w:type="page"/>
      </w:r>
    </w:p>
    <w:p w:rsidR="00F51D46" w:rsidRDefault="00877BAE" w:rsidP="00EF1103">
      <w:pPr>
        <w:pStyle w:val="Heading1"/>
      </w:pPr>
      <w:r>
        <w:br/>
      </w:r>
      <w:r>
        <w:br/>
        <w:t>CERTAIN DEFINITIONS</w:t>
      </w:r>
    </w:p>
    <w:p w:rsidR="00F51D46" w:rsidRDefault="00877BAE" w:rsidP="00EF1103">
      <w:pPr>
        <w:pStyle w:val="Heading2"/>
      </w:pPr>
      <w:r>
        <w:t>For purposes of this Declaration, the following terms shall have the following meanings:</w:t>
      </w:r>
    </w:p>
    <w:p w:rsidR="00F51D46" w:rsidRDefault="00877BAE" w:rsidP="00EF1103">
      <w:pPr>
        <w:pStyle w:val="Heading2"/>
      </w:pPr>
      <w:r>
        <w:t xml:space="preserve"> “Approvals” shall mean all the approvals of the Land Use</w:t>
      </w:r>
      <w:r>
        <w:t xml:space="preserve"> Application by the Commission and City Council with respect to the Subject Property.</w:t>
      </w:r>
    </w:p>
    <w:p w:rsidR="00F51D46" w:rsidRDefault="00877BAE" w:rsidP="00EF1103">
      <w:pPr>
        <w:pStyle w:val="Heading2"/>
      </w:pPr>
      <w:r>
        <w:t>“Buildings Department” shall mean the New York City Department of Buildings, or any successor to the jurisdiction thereof under the New York City Charter.</w:t>
      </w:r>
    </w:p>
    <w:p w:rsidR="00F51D46" w:rsidRDefault="00877BAE" w:rsidP="00EF1103">
      <w:pPr>
        <w:pStyle w:val="Heading2"/>
      </w:pPr>
      <w:r>
        <w:t>“Building Permi</w:t>
      </w:r>
      <w:r>
        <w:t>t” shall mean the issuance of any permit by the Buildings Department whether in the form of (i) an excavation permit, authorizing excavations, including those made for the purposes of removing earth, sand, gravel, or other material from the Subject Propert</w:t>
      </w:r>
      <w:r>
        <w:t>y; (ii) a foundation permit, authorizing foundation work at the Subject Property; (iii) a demolition permit, authorizing the dismantling, razing or removal of a building or structure, including the removal of structural members, floors, interior bearing wa</w:t>
      </w:r>
      <w:r>
        <w:t>lls and/or exterior walls or portions thereof; (iv) a New Building Permit (as herein defined) or (v) any other permit normally associated with the development of a building.</w:t>
      </w:r>
    </w:p>
    <w:p w:rsidR="00F51D46" w:rsidRDefault="00877BAE" w:rsidP="00EF1103">
      <w:pPr>
        <w:pStyle w:val="Heading2"/>
      </w:pPr>
      <w:r>
        <w:t xml:space="preserve">“CEQR” shall have the meaning given in the Recitals to this Declaration.   </w:t>
      </w:r>
    </w:p>
    <w:p w:rsidR="00F51D46" w:rsidRDefault="00877BAE" w:rsidP="00EF1103">
      <w:pPr>
        <w:pStyle w:val="Heading2"/>
      </w:pPr>
      <w:r>
        <w:t>“Chair</w:t>
      </w:r>
      <w:r>
        <w:t>” shall mean the Chair of the City Planning Commission of the City of New York from time to time, or any successor to its jurisdiction.</w:t>
      </w:r>
    </w:p>
    <w:p w:rsidR="00F51D46" w:rsidRDefault="00877BAE" w:rsidP="00EF1103">
      <w:pPr>
        <w:pStyle w:val="Heading2"/>
      </w:pPr>
      <w:r>
        <w:t>“City” shall mean the City of New York.</w:t>
      </w:r>
    </w:p>
    <w:p w:rsidR="00F51D46" w:rsidRDefault="00877BAE" w:rsidP="00EF1103">
      <w:pPr>
        <w:pStyle w:val="Heading2"/>
      </w:pPr>
      <w:r>
        <w:t xml:space="preserve">“City Council” shall mean the City Council of the City of New York, or any </w:t>
      </w:r>
      <w:r>
        <w:t>successor to its jurisdiction.</w:t>
      </w:r>
    </w:p>
    <w:p w:rsidR="00F51D46" w:rsidRDefault="00877BAE" w:rsidP="00EF1103">
      <w:pPr>
        <w:pStyle w:val="Heading2"/>
      </w:pPr>
      <w:r>
        <w:t>“Commission” shall mean the City Planning Commission of the City of New York, or any successor to its jurisdiction.</w:t>
      </w:r>
    </w:p>
    <w:p w:rsidR="00F51D46" w:rsidRDefault="00877BAE" w:rsidP="00EF1103">
      <w:pPr>
        <w:pStyle w:val="Heading2"/>
      </w:pPr>
      <w:r>
        <w:t>“Construction Commencement” shall mean the issuance of the first permit from the Buildings Department permitt</w:t>
      </w:r>
      <w:r>
        <w:t xml:space="preserve">ing the demolition, excavation, or construction of foundations for </w:t>
      </w:r>
      <w:r w:rsidR="00AD224E">
        <w:t>a</w:t>
      </w:r>
      <w:r>
        <w:t xml:space="preserve"> Development.</w:t>
      </w:r>
    </w:p>
    <w:p w:rsidR="00F51D46" w:rsidRDefault="00877BAE" w:rsidP="00EF1103">
      <w:pPr>
        <w:pStyle w:val="Heading2"/>
      </w:pPr>
      <w:r>
        <w:t>“Construction Monitoring Measures” or “CMMs” shall have the meaning given in Section 3.0</w:t>
      </w:r>
      <w:r w:rsidR="00A72C92">
        <w:t>8</w:t>
      </w:r>
      <w:r>
        <w:t xml:space="preserve"> of this Declaration.</w:t>
      </w:r>
    </w:p>
    <w:p w:rsidR="00F51D46" w:rsidRDefault="00877BAE" w:rsidP="00EF1103">
      <w:pPr>
        <w:pStyle w:val="Heading2"/>
      </w:pPr>
      <w:r>
        <w:t xml:space="preserve"> </w:t>
      </w:r>
      <w:r w:rsidR="004D4005">
        <w:t>“DCP” shall mean the Department of City Planning.</w:t>
      </w:r>
    </w:p>
    <w:p w:rsidR="00F51D46" w:rsidRDefault="00877BAE" w:rsidP="00EF1103">
      <w:pPr>
        <w:pStyle w:val="Heading2"/>
      </w:pPr>
      <w:r>
        <w:t xml:space="preserve"> “Declarant” shall have the meaning given in the Recitals of this Declaration and shall include any Successor Declarant and any entity that becomes a Declarant pursuant to this Declaration.</w:t>
      </w:r>
    </w:p>
    <w:p w:rsidR="00F51D46" w:rsidRDefault="00877BAE" w:rsidP="00EF1103">
      <w:pPr>
        <w:pStyle w:val="Heading2"/>
      </w:pPr>
      <w:r>
        <w:t xml:space="preserve">“Declaration” shall mean this Declaration, as same may be amended </w:t>
      </w:r>
      <w:r>
        <w:t>or modified from time to time in accordance with its provisions.</w:t>
      </w:r>
    </w:p>
    <w:p w:rsidR="00F51D46" w:rsidRDefault="00877BAE" w:rsidP="00730EE1">
      <w:pPr>
        <w:pStyle w:val="Heading2"/>
      </w:pPr>
      <w:r>
        <w:t xml:space="preserve">“Delay Notice” shall have the meaning set forth in Section </w:t>
      </w:r>
      <w:r w:rsidRPr="00E307DE">
        <w:rPr>
          <w:b/>
        </w:rPr>
        <w:t>5.04</w:t>
      </w:r>
      <w:r>
        <w:t xml:space="preserve"> of this Declaration.</w:t>
      </w:r>
    </w:p>
    <w:p w:rsidR="000C0D24" w:rsidRDefault="00877BAE" w:rsidP="00EF1103">
      <w:pPr>
        <w:pStyle w:val="Heading2"/>
      </w:pPr>
      <w:r>
        <w:t xml:space="preserve"> “Development” shall mean the Proposed </w:t>
      </w:r>
      <w:r w:rsidR="00AD224E">
        <w:t>Development</w:t>
      </w:r>
      <w:r>
        <w:t xml:space="preserve"> or any </w:t>
      </w:r>
      <w:r w:rsidR="00D03639">
        <w:t>“development” as defined in the Zoning Resolution</w:t>
      </w:r>
      <w:r>
        <w:t>.</w:t>
      </w:r>
    </w:p>
    <w:p w:rsidR="00F51D46" w:rsidRDefault="00877BAE" w:rsidP="00EF1103">
      <w:pPr>
        <w:pStyle w:val="Heading2"/>
      </w:pPr>
      <w:r>
        <w:t>“FEIS” shall have the meaning set forth in the Recitals to this Declaration.</w:t>
      </w:r>
    </w:p>
    <w:p w:rsidR="00F51D46" w:rsidRDefault="00877BAE" w:rsidP="00EF1103">
      <w:pPr>
        <w:pStyle w:val="Heading2"/>
      </w:pPr>
      <w:r>
        <w:t>“Final Approval” shall mean approval or approval with modifications of the Land Use Application by the Commission pursuant to New York City Charter Section 197-c, unless (a) pu</w:t>
      </w:r>
      <w:r>
        <w:t>rsuant to New York City Charter Section 197-d(b), the City Council reviews the decision of the Commission approving or approving with modifications the Land Use Application and takes final action pursuant to New York City Charter Section 197-d approving or</w:t>
      </w:r>
      <w:r>
        <w:t xml:space="preserve"> approving with modifications the Land Use Application, in which event “Final Approval” shall mean such approval or approval with modifications of the Land Use Application by the City Council, or (b) the City Council disapproves the decision of the Commiss</w:t>
      </w:r>
      <w:r>
        <w:t>ion and the Mayor of the City of New York (the “Mayor”) files a written disapproval of the City Council’s action pursuant to New York City Charter Section 197-d(e), and the City Council does not override the Mayor’s disapproval, in which event “Final Appro</w:t>
      </w:r>
      <w:r>
        <w:t xml:space="preserve">val” shall mean the Mayor’s written disapproval pursuant to such New York City Charter Section 197-d(e).  Notwithstanding anything to the contrary contained in this Declaration, “Final Approval” shall not be deemed to have occurred for any purpose of this </w:t>
      </w:r>
      <w:r>
        <w:t>Declaration if the final action taken pursuant to New York City Charter Section 197-d is disapproval of the Land Use Application.</w:t>
      </w:r>
    </w:p>
    <w:p w:rsidR="00F51D46" w:rsidRDefault="00877BAE" w:rsidP="00EF1103">
      <w:pPr>
        <w:pStyle w:val="Heading2"/>
      </w:pPr>
      <w:r>
        <w:t>“Force Majeure” shall mean that a Force Majeure Event has occurred and Declarant has provided the Delay Notice.</w:t>
      </w:r>
    </w:p>
    <w:p w:rsidR="00055B1E" w:rsidRDefault="00877BAE" w:rsidP="00C46C5D">
      <w:pPr>
        <w:pStyle w:val="Heading2"/>
      </w:pPr>
      <w:r>
        <w:t>“Force Majeure</w:t>
      </w:r>
      <w:r>
        <w:t xml:space="preserve"> Event” shall mean an occurrence, or occurrences, beyond the re</w:t>
      </w:r>
      <w:r w:rsidR="00A81D3E">
        <w:t>asonable control of Declarant</w:t>
      </w:r>
      <w:r>
        <w:t>, which causes delay in the performance of Declarant’s obligations hereunder, provided that Declarant has taken all reasonable steps reasonably necessary to control</w:t>
      </w:r>
      <w:r>
        <w:t xml:space="preserve"> or to minimize such delay, and which occurrences shall include, but not be limited to: (i) a strike, lockout or labor dispute; (ii) </w:t>
      </w:r>
      <w:r w:rsidR="004F7A6C">
        <w:t xml:space="preserve">shortages or </w:t>
      </w:r>
      <w:r>
        <w:t xml:space="preserve">the inability to obtain labor or materials </w:t>
      </w:r>
      <w:r w:rsidR="004F7A6C">
        <w:t xml:space="preserve">(including, but not limited to fuel, steam, water, electricity, equipment, </w:t>
      </w:r>
      <w:r w:rsidR="00A96D23">
        <w:t>or supplies)</w:t>
      </w:r>
      <w:r w:rsidR="004F7A6C">
        <w:t xml:space="preserve"> </w:t>
      </w:r>
      <w:r>
        <w:t>or reasonable substitutes therefor</w:t>
      </w:r>
      <w:r w:rsidR="00EA31C6">
        <w:t xml:space="preserve"> (including but not limited to embargoes and/or tariffs)</w:t>
      </w:r>
      <w:r>
        <w:t>; (iii) acts of God; (iv) restrictions, regulations, orders, controls or judgments of any Governmental Authority; (v) undue material delay in the</w:t>
      </w:r>
      <w:r>
        <w:t xml:space="preserve"> issuance of approvals or actions by any Governmental Authority, provided that such delay is not caused by any act or omission of Declarant; (vi) enemy or hostile government action, civil commotion, insurrection, terrorism, revolution or sabotage; (vii) fi</w:t>
      </w:r>
      <w:r>
        <w:t>re or other casualty; (viii) a taking of the whole or any portion of the Subject Property by condemnation or eminent domain; (ix) unusual or reasonably unforeseeable inclement weather substantially delaying construction of any relevant portion of the Subje</w:t>
      </w:r>
      <w:r>
        <w:t xml:space="preserve">ct Property; (x) unforeseen building, demolition, underground, or soil conditions, provided that Declarant did not and could not reasonably have anticipated the existence thereof as of the date hereof; (xi) the denial of access to adjoining real property, </w:t>
      </w:r>
      <w:r>
        <w:t>notwithstanding the existence of a right of access to such real property in favor of Declarant arising by contract, this Declaration or Legal Requirements, (xii) failure or inability of a public utility to provide adequate power, heat or light or any other</w:t>
      </w:r>
      <w:r>
        <w:t xml:space="preserve"> utility service; (xiii) orders of any court of competent jurisdiction</w:t>
      </w:r>
      <w:r w:rsidR="004F7A6C">
        <w:t xml:space="preserve"> (including, without limitation, any litigation which results in an </w:t>
      </w:r>
      <w:r w:rsidR="00A96D23">
        <w:t>injunction</w:t>
      </w:r>
      <w:r w:rsidR="004F7A6C">
        <w:t xml:space="preserve"> or a restraining order</w:t>
      </w:r>
      <w:r w:rsidR="00A96D23">
        <w:t xml:space="preserve"> prohibiting or otherwise delaying</w:t>
      </w:r>
      <w:r>
        <w:t xml:space="preserve"> the construction of any portion of the Subject Pro</w:t>
      </w:r>
      <w:r>
        <w:t>perty), (xiv) unusual delays in transportation, or (xv) the pendency of any litigation which results in an injunction or restraining order prohibiting or otherwise delaying the construction of any portion of the Subject Property (xvi) inability to obtain l</w:t>
      </w:r>
      <w:r>
        <w:t>abor, materials or permits due to unscheduled extraordinary government restrictions, and (xvii) national or global financial crisis, (xviii) government delay or inaction.  No event shall constitute a Force Majeure Event unless Declarant, the Association, o</w:t>
      </w:r>
      <w:r>
        <w:t>r the holder of a Mortgage on the Subject Property in control of the Subject Property, as applicable, complies with the procedures set forth in Section 7.04.</w:t>
      </w:r>
      <w:r w:rsidR="00DE4820">
        <w:t xml:space="preserve"> </w:t>
      </w:r>
    </w:p>
    <w:p w:rsidR="00CD5A05" w:rsidRDefault="00877BAE" w:rsidP="00E307DE">
      <w:pPr>
        <w:pStyle w:val="Heading2"/>
      </w:pPr>
      <w:r>
        <w:t xml:space="preserve"> </w:t>
      </w:r>
      <w:r w:rsidR="004D4005">
        <w:t xml:space="preserve">“Fugitive Dust Control Plan” shall have the meaning given in </w:t>
      </w:r>
      <w:r w:rsidR="004D4005" w:rsidRPr="006B0AAB">
        <w:t>Section 3.01(b)</w:t>
      </w:r>
      <w:r w:rsidR="004D4005">
        <w:t xml:space="preserve"> of this Declaration.</w:t>
      </w:r>
    </w:p>
    <w:p w:rsidR="00AA1A12" w:rsidRDefault="00877BAE" w:rsidP="00EF1103">
      <w:pPr>
        <w:pStyle w:val="Heading2"/>
      </w:pPr>
      <w:r>
        <w:t>“Governmental Authority” shall mean any governmental authority (including any Federal, State, City or County governmental authority or quasi-governmental authority, or any political subdivision hereof, or any agency, department, commission, board or inst</w:t>
      </w:r>
      <w:r>
        <w:t xml:space="preserve">rumentality of any thereof) having jurisdiction over the matter in question. </w:t>
      </w:r>
    </w:p>
    <w:p w:rsidR="00F51D46" w:rsidRDefault="00877BAE" w:rsidP="00EF1103">
      <w:pPr>
        <w:pStyle w:val="Heading2"/>
      </w:pPr>
      <w:r>
        <w:t xml:space="preserve"> </w:t>
      </w:r>
      <w:r w:rsidR="004D4005">
        <w:t>“Land Use Application” shall have the meaning given in the Recitals to this Declaration, as such Land Use Application may be hereafter modified.</w:t>
      </w:r>
    </w:p>
    <w:p w:rsidR="00F51D46" w:rsidRDefault="00877BAE" w:rsidP="00E307DE">
      <w:pPr>
        <w:pStyle w:val="Heading2"/>
      </w:pPr>
      <w:r>
        <w:t xml:space="preserve">“Legal Requirements” shall mean </w:t>
      </w:r>
      <w:r>
        <w:t xml:space="preserve">all applicable laws, statutes and ordinances, and all orders, rules, regulations, interpretations, directives and requirements, of any Governmental Authority having jurisdiction over the Subject Property. </w:t>
      </w:r>
      <w:r w:rsidR="00C13C77">
        <w:t xml:space="preserve"> </w:t>
      </w:r>
    </w:p>
    <w:p w:rsidR="00F51D46" w:rsidRDefault="00877BAE" w:rsidP="00EF1103">
      <w:pPr>
        <w:pStyle w:val="Heading2"/>
      </w:pPr>
      <w:r>
        <w:t xml:space="preserve"> “Maintenance of Protection of Traffic Plan” or “</w:t>
      </w:r>
      <w:r>
        <w:t xml:space="preserve">MPT” shall have the meaning set forth in </w:t>
      </w:r>
      <w:r w:rsidRPr="006B0AAB">
        <w:t>Section 3.01(e)(i)</w:t>
      </w:r>
      <w:r>
        <w:t xml:space="preserve"> of this Declaration.</w:t>
      </w:r>
    </w:p>
    <w:p w:rsidR="00F51D46" w:rsidRDefault="00877BAE" w:rsidP="00EF1103">
      <w:pPr>
        <w:pStyle w:val="Heading2"/>
      </w:pPr>
      <w:r>
        <w:t>“Monitor</w:t>
      </w:r>
      <w:r w:rsidR="00D23CFE">
        <w:t>” shall</w:t>
      </w:r>
      <w:r>
        <w:t xml:space="preserve"> have the meaning given in </w:t>
      </w:r>
      <w:r w:rsidRPr="006B0AAB">
        <w:t>Section 3.0</w:t>
      </w:r>
      <w:r w:rsidR="006B0AAB" w:rsidRPr="006B0AAB">
        <w:t>7</w:t>
      </w:r>
      <w:r w:rsidRPr="00E307DE">
        <w:rPr>
          <w:b/>
        </w:rPr>
        <w:t xml:space="preserve"> </w:t>
      </w:r>
      <w:r>
        <w:t>of this Declaration.</w:t>
      </w:r>
    </w:p>
    <w:p w:rsidR="00F51D46" w:rsidRDefault="00877BAE" w:rsidP="00EF1103">
      <w:pPr>
        <w:pStyle w:val="Heading2"/>
      </w:pPr>
      <w:r>
        <w:t xml:space="preserve">“Monitor Agreement” shall have the meaning given in </w:t>
      </w:r>
      <w:r w:rsidRPr="006B0AAB">
        <w:t>Section 3.0</w:t>
      </w:r>
      <w:r w:rsidR="006B0AAB" w:rsidRPr="006B0AAB">
        <w:t>7</w:t>
      </w:r>
      <w:r w:rsidRPr="006B0AAB">
        <w:t>(b)</w:t>
      </w:r>
      <w:r>
        <w:t xml:space="preserve"> of this Declaration.</w:t>
      </w:r>
    </w:p>
    <w:p w:rsidR="00F51D46" w:rsidRDefault="00877BAE" w:rsidP="00EF1103">
      <w:pPr>
        <w:pStyle w:val="Heading2"/>
      </w:pPr>
      <w:r>
        <w:t xml:space="preserve">“Mortgage” shall mean a fee or leasehold mortgage given as security for a loan in respect of all or any portion of the Subject Property. </w:t>
      </w:r>
    </w:p>
    <w:p w:rsidR="00F51D46" w:rsidRDefault="00877BAE" w:rsidP="00EF1103">
      <w:pPr>
        <w:pStyle w:val="Heading2"/>
      </w:pPr>
      <w:r>
        <w:t>“Mortgagee” shall mean the holder of a Mortgage.</w:t>
      </w:r>
    </w:p>
    <w:p w:rsidR="00F51D46" w:rsidRDefault="00877BAE" w:rsidP="00EF1103">
      <w:pPr>
        <w:pStyle w:val="Heading2"/>
      </w:pPr>
      <w:r>
        <w:t>“New Building Permit” shall mean a work permit issued by the Building</w:t>
      </w:r>
      <w:r>
        <w:t>s Department under a new building application authorizing the construction o</w:t>
      </w:r>
      <w:r w:rsidR="007A0AA6">
        <w:t>n</w:t>
      </w:r>
      <w:r>
        <w:t xml:space="preserve"> the Subject Property.</w:t>
      </w:r>
    </w:p>
    <w:p w:rsidR="00F51D46" w:rsidRDefault="00877BAE" w:rsidP="00EF1103">
      <w:pPr>
        <w:pStyle w:val="Heading2"/>
      </w:pPr>
      <w:r>
        <w:t xml:space="preserve">“New Cure Period” shall have the meaning given in </w:t>
      </w:r>
      <w:r w:rsidRPr="006B0AAB">
        <w:t>Section 3.0</w:t>
      </w:r>
      <w:r w:rsidR="006B0AAB" w:rsidRPr="006B0AAB">
        <w:t>7</w:t>
      </w:r>
      <w:r w:rsidRPr="006B0AAB">
        <w:t>(f)</w:t>
      </w:r>
      <w:r>
        <w:t xml:space="preserve"> of this Declaration.</w:t>
      </w:r>
    </w:p>
    <w:p w:rsidR="00F51D46" w:rsidRDefault="00877BAE" w:rsidP="00EF1103">
      <w:pPr>
        <w:pStyle w:val="Heading2"/>
      </w:pPr>
      <w:r>
        <w:t>“New York City Air Pollution Control Code” shall have the meaning set</w:t>
      </w:r>
      <w:r>
        <w:t xml:space="preserve"> forth in </w:t>
      </w:r>
      <w:r w:rsidRPr="006B0AAB">
        <w:t>Section</w:t>
      </w:r>
      <w:r w:rsidRPr="00E307DE">
        <w:rPr>
          <w:b/>
        </w:rPr>
        <w:t xml:space="preserve"> </w:t>
      </w:r>
      <w:r w:rsidRPr="006B0AAB">
        <w:t>3.01(</w:t>
      </w:r>
      <w:r w:rsidR="006B0AAB">
        <w:t>b</w:t>
      </w:r>
      <w:r w:rsidRPr="006B0AAB">
        <w:t>)(i)(</w:t>
      </w:r>
      <w:r w:rsidR="006B0AAB">
        <w:t>4</w:t>
      </w:r>
      <w:r w:rsidRPr="006B0AAB">
        <w:t>)</w:t>
      </w:r>
      <w:r>
        <w:t xml:space="preserve"> of this Declaration.</w:t>
      </w:r>
    </w:p>
    <w:p w:rsidR="00F51D46" w:rsidRDefault="00877BAE" w:rsidP="00EF1103">
      <w:pPr>
        <w:pStyle w:val="Heading2"/>
      </w:pPr>
      <w:r>
        <w:t>“New York City Charter” shall mean the Charter of the City of New York, effective as of January 1, 1990, as amended from time to time.</w:t>
      </w:r>
    </w:p>
    <w:p w:rsidR="00F51D46" w:rsidRDefault="00877BAE" w:rsidP="00EF1103">
      <w:pPr>
        <w:pStyle w:val="Heading2"/>
      </w:pPr>
      <w:r>
        <w:t xml:space="preserve"> “New York City Noise Control Code” shall have the meaning set forth</w:t>
      </w:r>
      <w:r>
        <w:t xml:space="preserve"> in Section </w:t>
      </w:r>
      <w:r w:rsidRPr="006B0AAB">
        <w:t>3.01(c)(i)(1)</w:t>
      </w:r>
      <w:r>
        <w:t xml:space="preserve"> of this Declaration.</w:t>
      </w:r>
    </w:p>
    <w:p w:rsidR="00F51D46" w:rsidRDefault="00877BAE" w:rsidP="00EF1103">
      <w:pPr>
        <w:pStyle w:val="Heading2"/>
      </w:pPr>
      <w:r>
        <w:t xml:space="preserve">“Noise Reduction Plan” shall have the meaning set forth in </w:t>
      </w:r>
      <w:r w:rsidRPr="006B0AAB">
        <w:t>Section 3.01(c)(2)</w:t>
      </w:r>
      <w:r>
        <w:t xml:space="preserve"> of this Declaration.</w:t>
      </w:r>
    </w:p>
    <w:p w:rsidR="00F51D46" w:rsidRDefault="00877BAE" w:rsidP="00EF1103">
      <w:pPr>
        <w:pStyle w:val="Heading2"/>
      </w:pPr>
      <w:r>
        <w:t xml:space="preserve">“Notice” shall have the meaning given in </w:t>
      </w:r>
      <w:r w:rsidRPr="006B0AAB">
        <w:t>6.04</w:t>
      </w:r>
      <w:r>
        <w:t xml:space="preserve"> of this Declaration.</w:t>
      </w:r>
    </w:p>
    <w:p w:rsidR="00F51D46" w:rsidRDefault="00877BAE" w:rsidP="00EF1103">
      <w:pPr>
        <w:pStyle w:val="Heading2"/>
      </w:pPr>
      <w:r>
        <w:t xml:space="preserve"> “Party-in-Interest” shall have the meaning</w:t>
      </w:r>
      <w:r>
        <w:t xml:space="preserve"> given in the Recitals to this Declaration.</w:t>
      </w:r>
    </w:p>
    <w:p w:rsidR="00F51D46" w:rsidRDefault="00877BAE" w:rsidP="00EF1103">
      <w:pPr>
        <w:pStyle w:val="Heading2"/>
      </w:pPr>
      <w:r>
        <w:t xml:space="preserve">“PCO” shall have the meaning set forth in Section </w:t>
      </w:r>
      <w:r w:rsidRPr="006B0AAB">
        <w:t>3.0</w:t>
      </w:r>
      <w:r w:rsidR="006B0AAB" w:rsidRPr="006B0AAB">
        <w:t>3</w:t>
      </w:r>
      <w:r w:rsidRPr="006B0AAB">
        <w:t>(a</w:t>
      </w:r>
      <w:r w:rsidRPr="00E307DE">
        <w:rPr>
          <w:b/>
        </w:rPr>
        <w:t>)</w:t>
      </w:r>
      <w:r>
        <w:t xml:space="preserve"> of this Declaration. </w:t>
      </w:r>
    </w:p>
    <w:p w:rsidR="00F51D46" w:rsidRDefault="00877BAE" w:rsidP="00EF1103">
      <w:pPr>
        <w:pStyle w:val="Heading2"/>
      </w:pPr>
      <w:r>
        <w:t>“PCRE” shall mean the Project Components Related to the Environment, as described in Article III hereof.</w:t>
      </w:r>
    </w:p>
    <w:p w:rsidR="00F51D46" w:rsidRDefault="00877BAE" w:rsidP="00EF1103">
      <w:pPr>
        <w:pStyle w:val="Heading2"/>
      </w:pPr>
      <w:r>
        <w:t xml:space="preserve"> “Possessory Interest” shall mean either (1) a fee interest in the Subject Property or any portion thereof or (2) the lessee’s estate in a ground lease of all or substantially all the Subject Property or portion thereof.</w:t>
      </w:r>
    </w:p>
    <w:p w:rsidR="00F51D46" w:rsidRDefault="00877BAE" w:rsidP="00EF1103">
      <w:pPr>
        <w:pStyle w:val="Heading2"/>
      </w:pPr>
      <w:r>
        <w:t xml:space="preserve"> “Proposed Cure Period” shall have </w:t>
      </w:r>
      <w:r>
        <w:t xml:space="preserve">the meaning given in </w:t>
      </w:r>
      <w:r w:rsidRPr="006B0AAB">
        <w:t>Section 3.0</w:t>
      </w:r>
      <w:r w:rsidR="006B0AAB" w:rsidRPr="006B0AAB">
        <w:t>7</w:t>
      </w:r>
      <w:r w:rsidRPr="006B0AAB">
        <w:t>(f)</w:t>
      </w:r>
      <w:r>
        <w:t xml:space="preserve"> of this Declaration.</w:t>
      </w:r>
    </w:p>
    <w:p w:rsidR="00F51D46" w:rsidRDefault="00877BAE" w:rsidP="00EF1103">
      <w:pPr>
        <w:pStyle w:val="Heading2"/>
      </w:pPr>
      <w:r>
        <w:t>“Proposed Development” shall have the meaning given in the Recitals to this Declaration.</w:t>
      </w:r>
    </w:p>
    <w:p w:rsidR="00F51D46" w:rsidRDefault="00877BAE" w:rsidP="00EF1103">
      <w:pPr>
        <w:pStyle w:val="Heading2"/>
      </w:pPr>
      <w:r>
        <w:t xml:space="preserve"> “Register” shall have the meaning given in Section 4.01(</w:t>
      </w:r>
      <w:r w:rsidR="00730EE1">
        <w:t>a</w:t>
      </w:r>
      <w:r>
        <w:t>) of this Declaration.</w:t>
      </w:r>
    </w:p>
    <w:p w:rsidR="00F51D46" w:rsidRDefault="00877BAE" w:rsidP="00EF1103">
      <w:pPr>
        <w:pStyle w:val="Heading2"/>
      </w:pPr>
      <w:r>
        <w:t>“Register’s Office” shall ha</w:t>
      </w:r>
      <w:r>
        <w:t>ve the meaning given in Section 4.01(</w:t>
      </w:r>
      <w:r w:rsidR="00730EE1">
        <w:t>a</w:t>
      </w:r>
      <w:r>
        <w:t>) of this Declaration.</w:t>
      </w:r>
    </w:p>
    <w:p w:rsidR="00F51D46" w:rsidRDefault="00877BAE" w:rsidP="00EF1103">
      <w:pPr>
        <w:pStyle w:val="Heading2"/>
      </w:pPr>
      <w:r w:rsidRPr="006B0AAB">
        <w:t>“Section 3.0</w:t>
      </w:r>
      <w:r w:rsidR="00CB0224" w:rsidRPr="006B0AAB">
        <w:t>6</w:t>
      </w:r>
      <w:r w:rsidRPr="006B0AAB">
        <w:t xml:space="preserve"> Request”</w:t>
      </w:r>
      <w:r>
        <w:t xml:space="preserve"> shall have the meaning set forth in </w:t>
      </w:r>
      <w:r w:rsidRPr="006B0AAB">
        <w:t>Section 3.</w:t>
      </w:r>
      <w:r w:rsidR="00216B5A" w:rsidRPr="006B0AAB">
        <w:t>0</w:t>
      </w:r>
      <w:r w:rsidR="00CB0224" w:rsidRPr="006B0AAB">
        <w:t>6</w:t>
      </w:r>
      <w:r w:rsidRPr="006B0AAB">
        <w:t>(c)</w:t>
      </w:r>
      <w:r>
        <w:t xml:space="preserve"> of this Declaration.</w:t>
      </w:r>
    </w:p>
    <w:p w:rsidR="00F51D46" w:rsidRDefault="00877BAE" w:rsidP="00EF1103">
      <w:pPr>
        <w:pStyle w:val="Heading2"/>
      </w:pPr>
      <w:r>
        <w:t xml:space="preserve"> “State” shall mean the State of New York, its agencies and instrumentalities.</w:t>
      </w:r>
    </w:p>
    <w:p w:rsidR="00F51D46" w:rsidRDefault="00877BAE" w:rsidP="00EF1103">
      <w:pPr>
        <w:pStyle w:val="Heading2"/>
      </w:pPr>
      <w:r>
        <w:t xml:space="preserve">“Successor </w:t>
      </w:r>
      <w:r>
        <w:t>Declarant” shall mean any successor entity to the balance and entirety of Declarant’s Possessory Interest in the Subject Property so that Declarant no longer holds any Possessory Interest in the Subject Property.</w:t>
      </w:r>
    </w:p>
    <w:p w:rsidR="00F51D46" w:rsidRDefault="00877BAE" w:rsidP="00EF1103">
      <w:pPr>
        <w:pStyle w:val="Heading2"/>
      </w:pPr>
      <w:r>
        <w:t>“TCO” shall have the meaning set forth in S</w:t>
      </w:r>
      <w:r>
        <w:t xml:space="preserve">ection </w:t>
      </w:r>
      <w:r w:rsidRPr="006B0AAB">
        <w:t>3.0</w:t>
      </w:r>
      <w:r w:rsidR="00AE368A" w:rsidRPr="006B0AAB">
        <w:t>3</w:t>
      </w:r>
      <w:r w:rsidRPr="006B0AAB">
        <w:t>(</w:t>
      </w:r>
      <w:r w:rsidR="00AE368A" w:rsidRPr="006B0AAB">
        <w:t>a</w:t>
      </w:r>
      <w:r w:rsidRPr="006B0AAB">
        <w:t>)</w:t>
      </w:r>
      <w:r>
        <w:t xml:space="preserve"> of this Declaration. </w:t>
      </w:r>
    </w:p>
    <w:p w:rsidR="00F51D46" w:rsidRDefault="00877BAE" w:rsidP="00EF1103">
      <w:pPr>
        <w:pStyle w:val="Heading2"/>
      </w:pPr>
      <w:r>
        <w:t>“Title Company” shall have the meaning set forth in the Recitals to this Declaration.</w:t>
      </w:r>
    </w:p>
    <w:p w:rsidR="00F51D46" w:rsidRDefault="00877BAE" w:rsidP="00EF1103">
      <w:pPr>
        <w:pStyle w:val="Heading2"/>
      </w:pPr>
      <w:r>
        <w:t>“Unit Interested Party” shall mean any and all of the following:  all owners, lessees, and occupants of any individual residential or</w:t>
      </w:r>
      <w:r>
        <w:t xml:space="preserve"> commercial condominium unit, and all holders of a mortgage or other lien encumbering any such residential or commercial condominium unit.</w:t>
      </w:r>
    </w:p>
    <w:p w:rsidR="00F51D46" w:rsidRDefault="00877BAE" w:rsidP="00EF1103">
      <w:pPr>
        <w:pStyle w:val="Heading2"/>
      </w:pPr>
      <w:r>
        <w:t xml:space="preserve">“United States Environmental Protection Agency” shall have the meaning given in </w:t>
      </w:r>
      <w:r w:rsidRPr="006B0AAB">
        <w:t>Section 3.01(d)(i)</w:t>
      </w:r>
      <w:r>
        <w:t xml:space="preserve"> of this Declaratio</w:t>
      </w:r>
      <w:r>
        <w:t xml:space="preserve">n. </w:t>
      </w:r>
    </w:p>
    <w:p w:rsidR="00F51D46" w:rsidRDefault="00877BAE" w:rsidP="00EF1103">
      <w:pPr>
        <w:pStyle w:val="Heading2"/>
      </w:pPr>
      <w:r>
        <w:t>“Waiver and Subordination” shall have the meaning set forth in the Recitals to this Declaration.</w:t>
      </w:r>
    </w:p>
    <w:p w:rsidR="00F51D46" w:rsidRDefault="00877BAE" w:rsidP="00EF1103">
      <w:pPr>
        <w:pStyle w:val="Heading2"/>
      </w:pPr>
      <w:r>
        <w:t>“Zoning Resolution” or “ZR” shall have the meaning set forth in the Recitals to this Declaration.</w:t>
      </w:r>
    </w:p>
    <w:p w:rsidR="00F51D46" w:rsidRDefault="00877BAE" w:rsidP="00EF1103">
      <w:pPr>
        <w:pStyle w:val="BodyTextFirstIndent2"/>
      </w:pPr>
      <w:r>
        <w:t>Certain additional terms are defined in the Sections in w</w:t>
      </w:r>
      <w:r>
        <w:t xml:space="preserve">hich they first appear or to which they most closely pertain. </w:t>
      </w:r>
    </w:p>
    <w:p w:rsidR="00F51D46" w:rsidRDefault="00877BAE" w:rsidP="002D5803">
      <w:pPr>
        <w:pStyle w:val="Heading1"/>
      </w:pPr>
      <w:r>
        <w:br/>
      </w:r>
      <w:r>
        <w:br/>
        <w:t>DEVELOPMENT AND USE OF THE SUBJECT PROPERTY</w:t>
      </w:r>
    </w:p>
    <w:p w:rsidR="00F51D46" w:rsidRDefault="00877BAE" w:rsidP="00EF1103">
      <w:pPr>
        <w:pStyle w:val="Heading2"/>
      </w:pPr>
      <w:r w:rsidRPr="00D23CFE">
        <w:rPr>
          <w:b/>
          <w:u w:val="single"/>
        </w:rPr>
        <w:t>Development of the Subject Property</w:t>
      </w:r>
      <w:r>
        <w:t>.</w:t>
      </w:r>
      <w:r w:rsidR="00EF1103">
        <w:t xml:space="preserve"> </w:t>
      </w:r>
      <w:r>
        <w:t xml:space="preserve"> If the Subject Property is developed, in whole or in part, </w:t>
      </w:r>
      <w:r w:rsidR="000C0D24">
        <w:t>with a Development</w:t>
      </w:r>
      <w:r>
        <w:t xml:space="preserve">, or portion thereof, Declarant </w:t>
      </w:r>
      <w:r>
        <w:t xml:space="preserve">covenants and agrees that the PCREs and mitigation measures set forth in Article III shall be implemented in accordance with the provisions of this Declaration. </w:t>
      </w:r>
    </w:p>
    <w:p w:rsidR="00F51D46" w:rsidRDefault="00877BAE" w:rsidP="00656029">
      <w:pPr>
        <w:pStyle w:val="Heading1"/>
      </w:pPr>
      <w:r>
        <w:br/>
      </w:r>
      <w:r w:rsidRPr="00EF1103">
        <w:br/>
      </w:r>
      <w:r>
        <w:t>PROJECT COMPONENTS RELATED TO THE ENVIRONMENT;</w:t>
      </w:r>
      <w:r>
        <w:br/>
        <w:t xml:space="preserve">MITIGATION MEASURES </w:t>
      </w:r>
    </w:p>
    <w:p w:rsidR="00F51D46" w:rsidRDefault="00877BAE" w:rsidP="00EF1103">
      <w:pPr>
        <w:pStyle w:val="Heading2"/>
      </w:pPr>
      <w:r w:rsidRPr="00D23CFE">
        <w:rPr>
          <w:b/>
          <w:u w:val="single"/>
        </w:rPr>
        <w:t>Project Components Relat</w:t>
      </w:r>
      <w:r w:rsidRPr="00D23CFE">
        <w:rPr>
          <w:b/>
          <w:u w:val="single"/>
        </w:rPr>
        <w:t>ed to the Environment for Construction</w:t>
      </w:r>
      <w:r>
        <w:t>.  Declarant shall implement and incorporate as appropriate the following PCRE’s related to construction prior to any Construction Commencement on the Subject Property, as the context may require:</w:t>
      </w:r>
    </w:p>
    <w:p w:rsidR="00F51D46" w:rsidRDefault="00877BAE" w:rsidP="00EF1103">
      <w:pPr>
        <w:pStyle w:val="Heading3"/>
      </w:pPr>
      <w:r w:rsidRPr="00E76BC7">
        <w:rPr>
          <w:u w:val="single"/>
        </w:rPr>
        <w:t>Construction Air Emis</w:t>
      </w:r>
      <w:r w:rsidRPr="00E76BC7">
        <w:rPr>
          <w:u w:val="single"/>
        </w:rPr>
        <w:t>sions Reduction Measures</w:t>
      </w:r>
      <w:r>
        <w:t xml:space="preserve">.  </w:t>
      </w:r>
    </w:p>
    <w:p w:rsidR="00F51D46" w:rsidRDefault="00877BAE" w:rsidP="00D11075">
      <w:pPr>
        <w:pStyle w:val="Heading4"/>
      </w:pPr>
      <w:r>
        <w:t>Prior to Construction Commencement Declarant shall (x) develop a plan for implementation of, and (y) thereafter implement, the following measures for all construction activities (including, but not limited to, demolition and exc</w:t>
      </w:r>
      <w:r>
        <w:t xml:space="preserve">avation) </w:t>
      </w:r>
      <w:r w:rsidR="00AD224E">
        <w:t>for</w:t>
      </w:r>
      <w:r>
        <w:t xml:space="preserve"> </w:t>
      </w:r>
      <w:r w:rsidR="00AD224E">
        <w:t>any</w:t>
      </w:r>
      <w:r>
        <w:t xml:space="preserve"> </w:t>
      </w:r>
      <w:r w:rsidR="0082087E">
        <w:t>Development</w:t>
      </w:r>
      <w:r w:rsidR="00AD224E">
        <w:t xml:space="preserve"> on the Subject Property</w:t>
      </w:r>
      <w:r>
        <w:t>:</w:t>
      </w:r>
    </w:p>
    <w:p w:rsidR="0002147D" w:rsidRDefault="00877BAE" w:rsidP="0002147D">
      <w:pPr>
        <w:pStyle w:val="Heading5"/>
      </w:pPr>
      <w:r>
        <w:t>To the extent practicable, a</w:t>
      </w:r>
      <w:r w:rsidRPr="0002147D">
        <w:t xml:space="preserve">ll non-road, diesel-powered construction equipment with engine power output rating of 50 horsepower or greater and controlled truck fleets (i.e. truck fleets under long term </w:t>
      </w:r>
      <w:r w:rsidRPr="0002147D">
        <w:t xml:space="preserve">contract with Declarant, such as concrete mixing and pumping trucks), shall utilize the best available tailpipe technology for reducing diesel particulate emissions (currently, diesel particulate filters).  Construction contracts shall specify that diesel </w:t>
      </w:r>
      <w:r w:rsidRPr="0002147D">
        <w:t>engines rated at 50 hp or greater shall utilize diesel particulate filters (either original equipment manufacturer or retrofit technology). Retrofitted diesel particulate filters must be verified under either the EPA or California Air Resources Board (“</w:t>
      </w:r>
      <w:r w:rsidRPr="0002147D">
        <w:rPr>
          <w:u w:val="single"/>
        </w:rPr>
        <w:t>CAR</w:t>
      </w:r>
      <w:r w:rsidRPr="0002147D">
        <w:rPr>
          <w:u w:val="single"/>
        </w:rPr>
        <w:t>B</w:t>
      </w:r>
      <w:r w:rsidRPr="0002147D">
        <w:t xml:space="preserve">”) verification programs.   Active diesel particulate filters or other technologies proven to achieve an equivalent reduction may also be used. </w:t>
      </w:r>
    </w:p>
    <w:p w:rsidR="0002147D" w:rsidRPr="00361ADC" w:rsidRDefault="00877BAE" w:rsidP="0002147D">
      <w:pPr>
        <w:pStyle w:val="Heading5"/>
      </w:pPr>
      <w:r w:rsidRPr="00361ADC">
        <w:t>To the extent practicable, all on-road diesel-powered construction equipment with a power rating of 50 horsepo</w:t>
      </w:r>
      <w:r w:rsidRPr="00361ADC">
        <w:t>wer (hp) or greater shall meet or achieve at least the equivalent of the United States Environmental Protection Agency (“</w:t>
      </w:r>
      <w:r w:rsidRPr="0002147D">
        <w:rPr>
          <w:u w:val="single"/>
        </w:rPr>
        <w:t>EPA</w:t>
      </w:r>
      <w:r w:rsidRPr="00361ADC">
        <w:t xml:space="preserve">”) Tier 3 emission standard. </w:t>
      </w:r>
    </w:p>
    <w:p w:rsidR="00F51D46" w:rsidRDefault="00877BAE" w:rsidP="00D11075">
      <w:pPr>
        <w:pStyle w:val="Heading5"/>
      </w:pPr>
      <w:r>
        <w:t>All on-site diesel-powered engines shall be operated exclusively with ultra-low sulfur diesel fuel</w:t>
      </w:r>
      <w:r w:rsidR="00A907ED">
        <w:t xml:space="preserve">. </w:t>
      </w:r>
      <w:r w:rsidR="00EA1136">
        <w:t xml:space="preserve"> </w:t>
      </w:r>
    </w:p>
    <w:p w:rsidR="006871E7" w:rsidRDefault="00877BAE" w:rsidP="006871E7">
      <w:pPr>
        <w:pStyle w:val="Heading5"/>
      </w:pPr>
      <w:r>
        <w:t xml:space="preserve">Idling of all </w:t>
      </w:r>
      <w:r w:rsidR="004D4005">
        <w:t xml:space="preserve">on-site </w:t>
      </w:r>
      <w:r>
        <w:t>vehicles, including non-road engines, for periods longer than three minutes shall be prohibited on the Subject Property for all equipment and vehicles that are not using their engines to operate a loading, unloading, or processing dev</w:t>
      </w:r>
      <w:r>
        <w:t>ice (e.g., concrete mixing trucks) or unless otherwise required for the proper operation of the engine.</w:t>
      </w:r>
    </w:p>
    <w:p w:rsidR="006871E7" w:rsidRPr="006871E7" w:rsidRDefault="00877BAE" w:rsidP="00EA611A">
      <w:pPr>
        <w:pStyle w:val="Heading5"/>
      </w:pPr>
      <w:r>
        <w:t>Electrically powered equipment shall be preferred over diesel-powered and gasoline-powered versions of that equipment, to the extent p</w:t>
      </w:r>
      <w:r w:rsidR="00EA611A">
        <w:t>racticable.</w:t>
      </w:r>
    </w:p>
    <w:p w:rsidR="00F51D46" w:rsidRDefault="00877BAE" w:rsidP="00B3184D">
      <w:pPr>
        <w:pStyle w:val="Heading4"/>
      </w:pPr>
      <w:r>
        <w:t>Declar</w:t>
      </w:r>
      <w:r>
        <w:t>ant shall include enforceable contractual requirements with contractors and subcontractors to implement the provisions of this Section 3.01(a), with respect to applicable work at the Subject Property.</w:t>
      </w:r>
    </w:p>
    <w:p w:rsidR="00F51D46" w:rsidRDefault="00877BAE" w:rsidP="00B3184D">
      <w:pPr>
        <w:pStyle w:val="Heading3"/>
      </w:pPr>
      <w:r w:rsidRPr="00E76BC7">
        <w:rPr>
          <w:u w:val="single"/>
        </w:rPr>
        <w:t>Fugitive Dust Control Plan</w:t>
      </w:r>
      <w:r>
        <w:t xml:space="preserve">.  </w:t>
      </w:r>
    </w:p>
    <w:p w:rsidR="00F51D46" w:rsidRDefault="00877BAE" w:rsidP="00AD224E">
      <w:pPr>
        <w:pStyle w:val="Heading4"/>
      </w:pPr>
      <w:r>
        <w:t>Prior to Construction Com</w:t>
      </w:r>
      <w:r>
        <w:t xml:space="preserve">mencement Declarant shall (x) develop a plan for implementation of, and (y) thereafter implement, a plan for the minimization of the emission of dust from construction-related activities </w:t>
      </w:r>
      <w:r w:rsidR="00AD224E">
        <w:t>for any Development on the Subject Property</w:t>
      </w:r>
      <w:r>
        <w:t xml:space="preserve"> (the “</w:t>
      </w:r>
      <w:r w:rsidRPr="00AD224E">
        <w:rPr>
          <w:b/>
          <w:u w:val="single"/>
        </w:rPr>
        <w:t>Fugitive Dust Contr</w:t>
      </w:r>
      <w:r w:rsidRPr="00AD224E">
        <w:rPr>
          <w:b/>
          <w:u w:val="single"/>
        </w:rPr>
        <w:t>ol Plan</w:t>
      </w:r>
      <w:r>
        <w:t>”), which Fugitive Dust Control Plan shall contain the following measures:</w:t>
      </w:r>
    </w:p>
    <w:p w:rsidR="00F51D46" w:rsidRDefault="00877BAE" w:rsidP="00B3184D">
      <w:pPr>
        <w:pStyle w:val="Heading5"/>
      </w:pPr>
      <w:r>
        <w:t>Water sprays shall be used for all demolition, excavation, and transfer of soils to ensure materials will be dampened as necessary to avoid the suspension of dust into the ai</w:t>
      </w:r>
      <w:r>
        <w:t>r</w:t>
      </w:r>
      <w:r w:rsidR="00AE368A">
        <w:t>.</w:t>
      </w:r>
      <w:r>
        <w:t xml:space="preserve"> </w:t>
      </w:r>
    </w:p>
    <w:p w:rsidR="00F51D46" w:rsidRDefault="00877BAE" w:rsidP="00B3184D">
      <w:pPr>
        <w:pStyle w:val="Heading5"/>
      </w:pPr>
      <w:r>
        <w:t>All trucks hauling loose material shall be equipped with tight fitting tailgates and their loads securely covered prio</w:t>
      </w:r>
      <w:r w:rsidR="00AE368A">
        <w:t xml:space="preserve">r to leaving </w:t>
      </w:r>
      <w:r w:rsidR="008D7325">
        <w:t>the Development Site</w:t>
      </w:r>
      <w:r w:rsidR="00AE368A">
        <w:t>.</w:t>
      </w:r>
    </w:p>
    <w:p w:rsidR="008D7325" w:rsidRPr="008D7325" w:rsidRDefault="00877BAE" w:rsidP="008D7325">
      <w:pPr>
        <w:pStyle w:val="Heading5"/>
      </w:pPr>
      <w:r>
        <w:t>Stockpiled soils or debris shall be watered, stabilized with a chemical suppressing agent, or cover</w:t>
      </w:r>
      <w:r>
        <w:t xml:space="preserve">ed. </w:t>
      </w:r>
      <w:r w:rsidRPr="008D7325">
        <w:t xml:space="preserve">All measures required by </w:t>
      </w:r>
      <w:r>
        <w:t>the New York City Department of Environmental Protection’</w:t>
      </w:r>
      <w:r w:rsidRPr="008D7325">
        <w:t xml:space="preserve">s </w:t>
      </w:r>
      <w:r>
        <w:t xml:space="preserve">(“DEP”) </w:t>
      </w:r>
      <w:r w:rsidRPr="008D7325">
        <w:t>Construction Dust Rules regulating construction-related dust emissions would be implemented.</w:t>
      </w:r>
    </w:p>
    <w:p w:rsidR="00EA611A" w:rsidRDefault="00877BAE" w:rsidP="00EA611A">
      <w:pPr>
        <w:pStyle w:val="Heading5"/>
      </w:pPr>
      <w:r>
        <w:t xml:space="preserve">Declarant shall comply with and implement all measures required by </w:t>
      </w:r>
      <w:r>
        <w:t>Chapter 1 of Title 24 of the New York City Administrative Code (the “</w:t>
      </w:r>
      <w:r w:rsidRPr="00E76BC7">
        <w:rPr>
          <w:b/>
          <w:u w:val="single"/>
        </w:rPr>
        <w:t>New York City Air Pollution Control Code</w:t>
      </w:r>
      <w:r>
        <w:t>”) regulating construction-related dust emissions.</w:t>
      </w:r>
    </w:p>
    <w:p w:rsidR="00F51D46" w:rsidRDefault="00877BAE" w:rsidP="00EC505D">
      <w:pPr>
        <w:pStyle w:val="Heading4"/>
      </w:pPr>
      <w:r>
        <w:t>Declarant shall include enforceable contractual requirements with contractors and subcontractors</w:t>
      </w:r>
      <w:r>
        <w:t xml:space="preserve"> to implement the provisions of this Section 3.01(b) with respect to applicable work at the Subject Property.</w:t>
      </w:r>
    </w:p>
    <w:p w:rsidR="00F51D46" w:rsidRDefault="00877BAE" w:rsidP="00EC505D">
      <w:pPr>
        <w:pStyle w:val="Heading3"/>
      </w:pPr>
      <w:r w:rsidRPr="00E76BC7">
        <w:rPr>
          <w:u w:val="single"/>
        </w:rPr>
        <w:t>Construction Noise Reduction Measures</w:t>
      </w:r>
      <w:r>
        <w:t xml:space="preserve">.  </w:t>
      </w:r>
    </w:p>
    <w:p w:rsidR="00F51D46" w:rsidRDefault="00877BAE" w:rsidP="00AD224E">
      <w:pPr>
        <w:pStyle w:val="Heading4"/>
      </w:pPr>
      <w:r>
        <w:t>Prior to Construction Commencement, Declarant shall (x) develop a plan for implementation of, and (y) the</w:t>
      </w:r>
      <w:r>
        <w:t xml:space="preserve">reafter implement, the following measures for all construction activities (including demolition and excavation) </w:t>
      </w:r>
      <w:r w:rsidR="00AD224E">
        <w:t>for any Development on the Subject Property</w:t>
      </w:r>
      <w:r>
        <w:t>:</w:t>
      </w:r>
    </w:p>
    <w:p w:rsidR="00F51D46" w:rsidRDefault="00877BAE" w:rsidP="003F20A9">
      <w:pPr>
        <w:pStyle w:val="Heading5"/>
      </w:pPr>
      <w:r>
        <w:t>All construction activities shall comply with Chapter 2 of Title 24 of the New York City Administra</w:t>
      </w:r>
      <w:r>
        <w:t>tive Code (the “</w:t>
      </w:r>
      <w:r w:rsidRPr="00E76BC7">
        <w:rPr>
          <w:b/>
          <w:u w:val="single"/>
        </w:rPr>
        <w:t>New York City Noise Control Code</w:t>
      </w:r>
      <w:r>
        <w:t xml:space="preserve">”), and with the </w:t>
      </w:r>
      <w:r w:rsidR="00A907ED">
        <w:t xml:space="preserve">rules on Citywide Construction </w:t>
      </w:r>
      <w:r>
        <w:t>Noise Mitigation, as set forth in Chapter 28 of Title 15 of the Rules of the City of New York.</w:t>
      </w:r>
    </w:p>
    <w:p w:rsidR="00F51D46" w:rsidRDefault="00877BAE" w:rsidP="003F20A9">
      <w:pPr>
        <w:pStyle w:val="Heading5"/>
      </w:pPr>
      <w:r>
        <w:t xml:space="preserve">Declarant shall develop and implement a plan for minimization of </w:t>
      </w:r>
      <w:r>
        <w:t>construction noise (the “</w:t>
      </w:r>
      <w:r w:rsidRPr="00E76BC7">
        <w:rPr>
          <w:b/>
          <w:u w:val="single"/>
        </w:rPr>
        <w:t>Noise Reduction Plan</w:t>
      </w:r>
      <w:r>
        <w:t>”).  The Noise Reduction Plan shall contain both path control and source control measures, including the following:</w:t>
      </w:r>
    </w:p>
    <w:p w:rsidR="00F51D46" w:rsidRDefault="00877BAE" w:rsidP="006915FD">
      <w:pPr>
        <w:pStyle w:val="Heading6"/>
      </w:pPr>
      <w:r>
        <w:t>Path Control Measures</w:t>
      </w:r>
    </w:p>
    <w:p w:rsidR="00EA611A" w:rsidRPr="00EA611A" w:rsidRDefault="00877BAE" w:rsidP="00EA611A">
      <w:pPr>
        <w:pStyle w:val="BodyTextAA"/>
      </w:pPr>
      <w:r>
        <w:t>(aa)</w:t>
      </w:r>
      <w:r>
        <w:tab/>
      </w:r>
      <w:r w:rsidRPr="00EA611A">
        <w:t xml:space="preserve">Where logistics allow, noisy equipment, such as cranes, concrete </w:t>
      </w:r>
      <w:r w:rsidRPr="00EA611A">
        <w:t>pumps, concrete trucks, and delivery trucks, would be located away from and shielded from sensitive receptor locations;</w:t>
      </w:r>
    </w:p>
    <w:p w:rsidR="00EA611A" w:rsidRPr="00EA611A" w:rsidRDefault="00877BAE" w:rsidP="00EF01C3">
      <w:pPr>
        <w:pStyle w:val="BodyTextAA"/>
      </w:pPr>
      <w:r w:rsidRPr="00EA611A">
        <w:t xml:space="preserve">(bb) </w:t>
      </w:r>
      <w:r w:rsidR="00EF01C3" w:rsidRPr="00EF01C3">
        <w:t>Noise barriers constructed from plywood or other materials, consistent with the noise barrier requirements set forth in the New York City Department of Environmental Protection (DEP)’s “Rules for Citywide C</w:t>
      </w:r>
      <w:r w:rsidR="00EF01C3">
        <w:t xml:space="preserve">onstruction Noise Mitigation,” </w:t>
      </w:r>
      <w:r w:rsidR="00EF01C3" w:rsidRPr="00EF01C3">
        <w:t>shall be</w:t>
      </w:r>
      <w:r w:rsidR="00902088">
        <w:t xml:space="preserve"> utilized to provide shielding (g</w:t>
      </w:r>
      <w:r w:rsidR="00EF01C3" w:rsidRPr="00EF01C3">
        <w:t>enerally, the construction site would have a minimum 8-foot ta</w:t>
      </w:r>
      <w:r w:rsidR="00902088">
        <w:t>ll barrier around the perimeter)</w:t>
      </w:r>
      <w:r w:rsidR="00EF01C3" w:rsidRPr="00EF01C3">
        <w:t xml:space="preserve">; </w:t>
      </w:r>
    </w:p>
    <w:p w:rsidR="00EA611A" w:rsidRPr="00EA611A" w:rsidRDefault="00877BAE" w:rsidP="00EA611A">
      <w:pPr>
        <w:pStyle w:val="BodyTextAA"/>
      </w:pPr>
      <w:r w:rsidRPr="00EA611A">
        <w:t xml:space="preserve"> (cc) Concre</w:t>
      </w:r>
      <w:r w:rsidRPr="00EA611A">
        <w:t xml:space="preserve">te trucks shall be required to be located inside site-perimeter noise barriers while pouring or being washed out. </w:t>
      </w:r>
    </w:p>
    <w:p w:rsidR="00EA611A" w:rsidRPr="00EA611A" w:rsidRDefault="00877BAE" w:rsidP="00EF01C3">
      <w:pPr>
        <w:pStyle w:val="BodyTextAA"/>
      </w:pPr>
      <w:r w:rsidRPr="00EA611A">
        <w:t xml:space="preserve">(dd) </w:t>
      </w:r>
      <w:r w:rsidR="00EF01C3" w:rsidRPr="00EF01C3">
        <w:t>Path noise control measures (i.e., portable noise barriers, panels, enclosures, and acoustical tents) to the extent feasible and practical, as necessary to meet the noise emission levels shown in Table 16-9 in Chapter 16, “Construction,” which were used in the construction noise calculations.</w:t>
      </w:r>
    </w:p>
    <w:p w:rsidR="00F51D46" w:rsidRDefault="00877BAE" w:rsidP="00EA611A">
      <w:pPr>
        <w:pStyle w:val="Heading6"/>
      </w:pPr>
      <w:r>
        <w:t>Source Control Measures</w:t>
      </w:r>
    </w:p>
    <w:p w:rsidR="00EA611A" w:rsidRPr="00EA611A" w:rsidRDefault="00877BAE" w:rsidP="00EA611A">
      <w:pPr>
        <w:pStyle w:val="BodyTextAA"/>
      </w:pPr>
      <w:r>
        <w:t>(aa)</w:t>
      </w:r>
      <w:r>
        <w:tab/>
      </w:r>
      <w:r w:rsidRPr="00EA611A">
        <w:t>Equipment that meets the sound level standards specified in Subchapte</w:t>
      </w:r>
      <w:r w:rsidRPr="00EA611A">
        <w:t xml:space="preserve">r 5 of the New York City Noise Control Code shall be utilized from the start of construction. Table 16-9 in Chapter 16, “Construction,” shows the noise levels for typical construction equipment and the mandated noise levels for the equipment that would be </w:t>
      </w:r>
      <w:r w:rsidRPr="00EA611A">
        <w:t xml:space="preserve">used for construction of </w:t>
      </w:r>
      <w:r w:rsidR="00AD224E">
        <w:t>a</w:t>
      </w:r>
      <w:r w:rsidRPr="00EA611A">
        <w:t xml:space="preserve"> </w:t>
      </w:r>
      <w:r>
        <w:t>Development</w:t>
      </w:r>
      <w:r w:rsidRPr="00EA611A">
        <w:t>;</w:t>
      </w:r>
    </w:p>
    <w:p w:rsidR="00EA611A" w:rsidRPr="00EA611A" w:rsidRDefault="00877BAE" w:rsidP="00EA611A">
      <w:pPr>
        <w:pStyle w:val="BodyTextAA"/>
      </w:pPr>
      <w:r w:rsidRPr="00EA611A">
        <w:t xml:space="preserve">(bb) </w:t>
      </w:r>
      <w:r w:rsidRPr="00EA611A">
        <w:tab/>
        <w:t>As early in the construction period as logistics would allow, diesel- or gas-powered equipment shall be replaced with electrical-powered equipment such as welders, water pumps, bench saws, and table saws (i.e.,</w:t>
      </w:r>
      <w:r w:rsidRPr="00EA611A">
        <w:t xml:space="preserve"> early electrification) to the extent feasible and practicable. Where electrical equipment cannot be used, diesel or gas-powered generators and pumps would be located within buildings to the extent feasible and practicable;</w:t>
      </w:r>
    </w:p>
    <w:p w:rsidR="00EA611A" w:rsidRPr="00EA611A" w:rsidRDefault="00877BAE" w:rsidP="00EA611A">
      <w:pPr>
        <w:pStyle w:val="BodyTextAA"/>
      </w:pPr>
      <w:r w:rsidRPr="00EA611A">
        <w:t>(cc) Where feasible and practica</w:t>
      </w:r>
      <w:r w:rsidRPr="00EA611A">
        <w:t>ble, the construction site shall be configured t</w:t>
      </w:r>
      <w:r w:rsidR="004D4005">
        <w:t>o minimize back- up alarm noise;</w:t>
      </w:r>
    </w:p>
    <w:p w:rsidR="00EA611A" w:rsidRPr="00EA611A" w:rsidRDefault="00877BAE" w:rsidP="00EA611A">
      <w:pPr>
        <w:pStyle w:val="BodyTextAA"/>
      </w:pPr>
      <w:r w:rsidRPr="00EA611A">
        <w:t>(dd) Construction vehicles shall not idle more than three minutes in accordance with New York City Administrative Code §24-163, except for equipment and vehicles using their e</w:t>
      </w:r>
      <w:r w:rsidRPr="00EA611A">
        <w:t>ngines to operate a loading, unloading, or processing device (e.g., concrete mixing trucks) or otherwise required for the proper operation of the engine</w:t>
      </w:r>
      <w:r w:rsidR="004D4005">
        <w:t xml:space="preserve">; </w:t>
      </w:r>
    </w:p>
    <w:p w:rsidR="00C24903" w:rsidRPr="00C24903" w:rsidRDefault="00877BAE" w:rsidP="00EA611A">
      <w:pPr>
        <w:pStyle w:val="BodyTextAA"/>
      </w:pPr>
      <w:r w:rsidRPr="00EA611A">
        <w:t xml:space="preserve">(ee) </w:t>
      </w:r>
      <w:r w:rsidRPr="00EA611A">
        <w:tab/>
        <w:t>Contractors and subcontractors shall be required to properly maintain their equipment and muffl</w:t>
      </w:r>
      <w:r w:rsidRPr="00EA611A">
        <w:t>ers.</w:t>
      </w:r>
    </w:p>
    <w:p w:rsidR="007D6543" w:rsidRPr="007D6543" w:rsidRDefault="007D6543" w:rsidP="007D6543">
      <w:pPr>
        <w:pStyle w:val="BodyText"/>
      </w:pPr>
    </w:p>
    <w:p w:rsidR="00F51D46" w:rsidRDefault="00877BAE" w:rsidP="00E11F7E">
      <w:pPr>
        <w:pStyle w:val="Heading4"/>
      </w:pPr>
      <w:r>
        <w:t>Declarant shall include enforceable contractual requirements with contractors and subcontractors to implement the provisions of this Section 3.01(c) with respect to applicable work at the Subject Property.</w:t>
      </w:r>
    </w:p>
    <w:p w:rsidR="00F51D46" w:rsidRDefault="00877BAE" w:rsidP="00E11F7E">
      <w:pPr>
        <w:pStyle w:val="Heading3"/>
      </w:pPr>
      <w:r w:rsidRPr="00E76BC7">
        <w:rPr>
          <w:u w:val="single"/>
        </w:rPr>
        <w:t xml:space="preserve">Construction </w:t>
      </w:r>
      <w:r>
        <w:rPr>
          <w:u w:val="single"/>
        </w:rPr>
        <w:t>Rodent Control</w:t>
      </w:r>
      <w:r w:rsidRPr="00E76BC7">
        <w:rPr>
          <w:u w:val="single"/>
        </w:rPr>
        <w:t xml:space="preserve"> Plan</w:t>
      </w:r>
      <w:r>
        <w:t xml:space="preserve">. </w:t>
      </w:r>
    </w:p>
    <w:p w:rsidR="00B41487" w:rsidRDefault="00877BAE" w:rsidP="00B41487">
      <w:pPr>
        <w:pStyle w:val="Heading4"/>
      </w:pPr>
      <w:r>
        <w:t xml:space="preserve">Prior to </w:t>
      </w:r>
      <w:r>
        <w:t xml:space="preserve">Construction Commencement Declarant shall (x) develop a plan for implementation of, and (y) thereafter implement, an integrated plan to control </w:t>
      </w:r>
      <w:r w:rsidR="004D4005">
        <w:t>rodents</w:t>
      </w:r>
      <w:r>
        <w:t xml:space="preserve"> (i.e., </w:t>
      </w:r>
      <w:r w:rsidR="004D4005">
        <w:t>mouse and rats, etc.</w:t>
      </w:r>
      <w:r>
        <w:t>), in accordance with requirements of the Build</w:t>
      </w:r>
      <w:r w:rsidR="006E2AB0">
        <w:t>ings Department, throughout the construction of the Development</w:t>
      </w:r>
      <w:r>
        <w:t>.  Prior to Construction Commencement, Declarant shall cause its contractor to bait appropriate areas of the Subject Property, using only United States Environmental Protection Agency (“</w:t>
      </w:r>
      <w:r w:rsidRPr="00E76BC7">
        <w:rPr>
          <w:b/>
          <w:u w:val="single"/>
        </w:rPr>
        <w:t>USEPA</w:t>
      </w:r>
      <w:r>
        <w:t>”) and New York State Department</w:t>
      </w:r>
      <w:r>
        <w:t xml:space="preserve"> of Environmental Conservation (“</w:t>
      </w:r>
      <w:r w:rsidRPr="00E76BC7">
        <w:rPr>
          <w:b/>
          <w:u w:val="single"/>
        </w:rPr>
        <w:t>DEC</w:t>
      </w:r>
      <w:r>
        <w:t>”)-registered rodenticide.</w:t>
      </w:r>
    </w:p>
    <w:p w:rsidR="00F51D46" w:rsidRDefault="00877BAE" w:rsidP="004C48F9">
      <w:pPr>
        <w:pStyle w:val="Heading4"/>
      </w:pPr>
      <w:r>
        <w:t xml:space="preserve">Declarant shall include enforceable contractual requirements </w:t>
      </w:r>
      <w:r w:rsidR="00B84C43">
        <w:t xml:space="preserve">in the contracts of all relevant contractors and subcontractors </w:t>
      </w:r>
      <w:r>
        <w:t xml:space="preserve">to implement the provisions of this Section 3.01(d) with respect to </w:t>
      </w:r>
      <w:r>
        <w:t>applicable work at the Subject Property.</w:t>
      </w:r>
    </w:p>
    <w:p w:rsidR="00F51D46" w:rsidRDefault="00877BAE" w:rsidP="004C48F9">
      <w:pPr>
        <w:pStyle w:val="Heading3"/>
      </w:pPr>
      <w:r w:rsidRPr="00E76BC7">
        <w:rPr>
          <w:u w:val="single"/>
        </w:rPr>
        <w:t>Maintenance and Protection of Traffic Plan</w:t>
      </w:r>
      <w:r>
        <w:t xml:space="preserve">.  </w:t>
      </w:r>
    </w:p>
    <w:p w:rsidR="00EF01C3" w:rsidRPr="00EF01C3" w:rsidRDefault="00877BAE" w:rsidP="00EF01C3">
      <w:pPr>
        <w:pStyle w:val="Heading4"/>
      </w:pPr>
      <w:r w:rsidRPr="00EF01C3">
        <w:t>Prior to Construction Commencement, Declarant shall prepare a plan which provides diagrams of proposed temporary lane sidewalk and lane narrowing and/or closures on East</w:t>
      </w:r>
      <w:r w:rsidRPr="00EF01C3">
        <w:t xml:space="preserve"> 66th and East 67th Streets adjacent to the Development Site, the duration such alterations will be implemented, the width and length of affected segments, and sidewalk protection measures for pedestrians, which shall be necessary during construction (the </w:t>
      </w:r>
      <w:r w:rsidRPr="00EF01C3">
        <w:t>“</w:t>
      </w:r>
      <w:r w:rsidRPr="00EF01C3">
        <w:rPr>
          <w:b/>
          <w:u w:val="single"/>
        </w:rPr>
        <w:t>Maintenance and Protection of Traffic Plan</w:t>
      </w:r>
      <w:r w:rsidRPr="00EF01C3">
        <w:t>” or “</w:t>
      </w:r>
      <w:r w:rsidRPr="00EF01C3">
        <w:rPr>
          <w:b/>
          <w:u w:val="single"/>
        </w:rPr>
        <w:t>MPT</w:t>
      </w:r>
      <w:r w:rsidRPr="00EF01C3">
        <w:t>”).  Declarant shall submit the MPT to the New York City Department of Transportation (DOT)’s Office of Construction Mitigation and Coordination (OCMC) for review and approval, provided, however, that completion and submission of the MPT shall not be neces</w:t>
      </w:r>
      <w:r w:rsidRPr="00EF01C3">
        <w:t xml:space="preserve">sary for preliminary site work, unless DOT advises Declarant that a MPT is required. </w:t>
      </w:r>
    </w:p>
    <w:p w:rsidR="00F51D46" w:rsidRDefault="00877BAE" w:rsidP="004C48F9">
      <w:pPr>
        <w:pStyle w:val="Heading4"/>
      </w:pPr>
      <w:r>
        <w:t>Declarant shall include provisions in the contracts of all relevant contractors and subcontractors requiring adherence to the provisions of the MPT plan.</w:t>
      </w:r>
    </w:p>
    <w:p w:rsidR="0085602F" w:rsidRDefault="00877BAE" w:rsidP="00AD224E">
      <w:pPr>
        <w:pStyle w:val="Heading4"/>
      </w:pPr>
      <w:r w:rsidRPr="00D23CFE">
        <w:rPr>
          <w:b/>
          <w:u w:val="single"/>
        </w:rPr>
        <w:t>Environmental Mi</w:t>
      </w:r>
      <w:r w:rsidRPr="00D23CFE">
        <w:rPr>
          <w:b/>
          <w:u w:val="single"/>
        </w:rPr>
        <w:t>tigation</w:t>
      </w:r>
      <w:r>
        <w:t>. Declarants shall, in accordance with the FEIS, undertake the mitigation measures set forth in Sections 3.03 through 3.0</w:t>
      </w:r>
      <w:r w:rsidR="00EA611A">
        <w:t>4</w:t>
      </w:r>
      <w:r>
        <w:t xml:space="preserve"> below in connection with </w:t>
      </w:r>
      <w:r w:rsidR="00AD224E">
        <w:t>any Development on the Subject Property:</w:t>
      </w:r>
    </w:p>
    <w:p w:rsidR="00F51D46" w:rsidRDefault="00877BAE" w:rsidP="0085602F">
      <w:pPr>
        <w:pStyle w:val="Heading2"/>
      </w:pPr>
      <w:r>
        <w:rPr>
          <w:b/>
          <w:u w:val="single"/>
        </w:rPr>
        <w:t>Shadows</w:t>
      </w:r>
      <w:r>
        <w:t>.</w:t>
      </w:r>
    </w:p>
    <w:p w:rsidR="00D32A6B" w:rsidRPr="004D4005" w:rsidRDefault="00877BAE" w:rsidP="00D32A6B">
      <w:pPr>
        <w:pStyle w:val="Heading3"/>
        <w:keepNext/>
        <w:keepLines/>
        <w:numPr>
          <w:ilvl w:val="2"/>
          <w:numId w:val="16"/>
        </w:numPr>
        <w:spacing w:after="240"/>
        <w:rPr>
          <w:b/>
        </w:rPr>
      </w:pPr>
      <w:r>
        <w:t>The Buildings Department shall not issue, and Decl</w:t>
      </w:r>
      <w:r>
        <w:t>arant shall not accept, a temporary certificate of occupancy (“</w:t>
      </w:r>
      <w:r>
        <w:rPr>
          <w:u w:val="single"/>
        </w:rPr>
        <w:t>TCO</w:t>
      </w:r>
      <w:r>
        <w:t>”) or a permanent certificate of occupancy (“</w:t>
      </w:r>
      <w:r>
        <w:rPr>
          <w:u w:val="single"/>
        </w:rPr>
        <w:t>PCO</w:t>
      </w:r>
      <w:r>
        <w:t xml:space="preserve">”), for </w:t>
      </w:r>
      <w:r w:rsidR="00AD224E">
        <w:t>a</w:t>
      </w:r>
      <w:r>
        <w:t xml:space="preserve"> Development </w:t>
      </w:r>
      <w:r w:rsidR="00D03639">
        <w:t xml:space="preserve">or alteration </w:t>
      </w:r>
      <w:r w:rsidR="00B71199">
        <w:t xml:space="preserve">greater than </w:t>
      </w:r>
      <w:r w:rsidR="00467E5F">
        <w:t>167 feet</w:t>
      </w:r>
      <w:r w:rsidR="00B71199">
        <w:t xml:space="preserve"> in height </w:t>
      </w:r>
      <w:r w:rsidR="00467E5F">
        <w:t xml:space="preserve">(including bulkhead) </w:t>
      </w:r>
      <w:r w:rsidR="004D4005" w:rsidRPr="004D4005">
        <w:t xml:space="preserve">until Declarant has caused a payment, as defined below </w:t>
      </w:r>
      <w:r>
        <w:t>(the “</w:t>
      </w:r>
      <w:r w:rsidR="00D1584E">
        <w:rPr>
          <w:u w:val="single"/>
        </w:rPr>
        <w:t>Shadows</w:t>
      </w:r>
      <w:r>
        <w:rPr>
          <w:u w:val="single"/>
        </w:rPr>
        <w:t xml:space="preserve"> Payment</w:t>
      </w:r>
      <w:r>
        <w:t>”), to be transferred to an account designated by the Commissioner of Parks and Recreation (the “</w:t>
      </w:r>
      <w:r w:rsidR="00D1584E">
        <w:rPr>
          <w:u w:val="single"/>
        </w:rPr>
        <w:t>Shadows</w:t>
      </w:r>
      <w:r>
        <w:rPr>
          <w:u w:val="single"/>
        </w:rPr>
        <w:t xml:space="preserve"> Fund</w:t>
      </w:r>
      <w:r>
        <w:t xml:space="preserve">”), to be used </w:t>
      </w:r>
      <w:r w:rsidR="00D1584E">
        <w:t xml:space="preserve">by the Commissioner of Parks and Recreation </w:t>
      </w:r>
      <w:r>
        <w:t>for the purpose of funding improvements to St. Catherine’s Park</w:t>
      </w:r>
      <w:r w:rsidR="00D1584E">
        <w:t xml:space="preserve"> </w:t>
      </w:r>
      <w:r w:rsidR="00D1584E" w:rsidRPr="00D1584E">
        <w:t>that would enhance user exper</w:t>
      </w:r>
      <w:r w:rsidR="00D1584E">
        <w:t>ience and enjoyment of the Park</w:t>
      </w:r>
      <w:r>
        <w:t xml:space="preserve">.  The </w:t>
      </w:r>
      <w:r w:rsidR="005E5439">
        <w:t>Shadows</w:t>
      </w:r>
      <w:r>
        <w:t xml:space="preserve"> Payment shall be </w:t>
      </w:r>
      <w:r w:rsidR="00D1584E">
        <w:t xml:space="preserve">in the amount of </w:t>
      </w:r>
      <w:r>
        <w:t>$</w:t>
      </w:r>
      <w:r w:rsidR="00231024">
        <w:t>3,600,000</w:t>
      </w:r>
      <w:r>
        <w:t xml:space="preserve">. </w:t>
      </w:r>
    </w:p>
    <w:p w:rsidR="00C24903" w:rsidRDefault="00877BAE" w:rsidP="00082C4C">
      <w:pPr>
        <w:pStyle w:val="Heading2"/>
        <w:rPr>
          <w:b/>
          <w:u w:val="single"/>
        </w:rPr>
      </w:pPr>
      <w:r w:rsidRPr="00C24903">
        <w:rPr>
          <w:b/>
          <w:u w:val="single"/>
        </w:rPr>
        <w:t>Construction Noise</w:t>
      </w:r>
    </w:p>
    <w:p w:rsidR="00902088" w:rsidRDefault="00877BAE" w:rsidP="00D32A6B">
      <w:pPr>
        <w:pStyle w:val="BodyText"/>
        <w:numPr>
          <w:ilvl w:val="2"/>
          <w:numId w:val="17"/>
        </w:numPr>
        <w:spacing w:line="480" w:lineRule="auto"/>
        <w:ind w:left="0" w:firstLine="1440"/>
      </w:pPr>
      <w:r>
        <w:t>W</w:t>
      </w:r>
      <w:r w:rsidRPr="00EF01C3">
        <w:t>here feasible, practicable, and effective to control construction noise, the site-perimeter noise barriers during c</w:t>
      </w:r>
      <w:r w:rsidRPr="00EF01C3">
        <w:t>oncrete operations would be increased to at least 12 feet tall with a cantilever towards the work area</w:t>
      </w:r>
      <w:r>
        <w:t>;</w:t>
      </w:r>
    </w:p>
    <w:p w:rsidR="00D32A6B" w:rsidRPr="00D32A6B" w:rsidRDefault="00877BAE" w:rsidP="00D32A6B">
      <w:pPr>
        <w:pStyle w:val="BodyText"/>
        <w:numPr>
          <w:ilvl w:val="2"/>
          <w:numId w:val="17"/>
        </w:numPr>
        <w:spacing w:line="480" w:lineRule="auto"/>
        <w:ind w:left="0" w:firstLine="1440"/>
      </w:pPr>
      <w:r w:rsidRPr="00D764AC">
        <w:t xml:space="preserve">At building façades where significant adverse </w:t>
      </w:r>
      <w:r>
        <w:t xml:space="preserve">construction </w:t>
      </w:r>
      <w:r w:rsidRPr="00D764AC">
        <w:t xml:space="preserve">noise impacts are predicted to occur, </w:t>
      </w:r>
      <w:r>
        <w:t xml:space="preserve">as set forth in Table </w:t>
      </w:r>
      <w:r w:rsidR="00321E6F">
        <w:t xml:space="preserve">16-12 </w:t>
      </w:r>
      <w:r>
        <w:t xml:space="preserve">of the FEIS, Declarant shall, prior to Construction Commencement, </w:t>
      </w:r>
      <w:r w:rsidRPr="00D764AC">
        <w:t xml:space="preserve">offer to make available at no cost for purchase and installation </w:t>
      </w:r>
      <w:r>
        <w:t xml:space="preserve">(1) </w:t>
      </w:r>
      <w:r w:rsidRPr="00D764AC">
        <w:t xml:space="preserve">storm windows for façades that do not already have insulated glass windows and/or </w:t>
      </w:r>
      <w:r>
        <w:t xml:space="preserve">(2) </w:t>
      </w:r>
      <w:r w:rsidRPr="00D764AC">
        <w:t>one window air conditioner per livi</w:t>
      </w:r>
      <w:r w:rsidRPr="00D764AC">
        <w:t>ng room and bedroom at residences</w:t>
      </w:r>
      <w:r w:rsidR="00902088">
        <w:t xml:space="preserve"> or one window air conditioner per classroom at school receptors</w:t>
      </w:r>
      <w:r w:rsidRPr="00D764AC">
        <w:t xml:space="preserve"> that do not already have alternative means of ventil</w:t>
      </w:r>
      <w:r>
        <w:t>ation.</w:t>
      </w:r>
    </w:p>
    <w:p w:rsidR="00F51D46" w:rsidRDefault="00877BAE" w:rsidP="00082C4C">
      <w:pPr>
        <w:pStyle w:val="Heading2"/>
      </w:pPr>
      <w:r w:rsidRPr="00E76BC7">
        <w:rPr>
          <w:b/>
          <w:u w:val="single"/>
        </w:rPr>
        <w:t>Inconsistencies with the FEIS</w:t>
      </w:r>
      <w:r>
        <w:t>.  If this Declaration inadvertently fails to include a PCRE or Mitiga</w:t>
      </w:r>
      <w:r>
        <w:t>tion Measure set forth in the FEIS as a PCRE or Mitigation Measure to be implemented by Declarant, such PCRE or Mitigation Measure shall be deemed incorporated in this Declaration by reference. If there is any inconsistency between a PCRE or Mitigation Mea</w:t>
      </w:r>
      <w:r>
        <w:t xml:space="preserve">sure as set forth in the FEIS and as incorporated in this Declaration, the more restrictive provision shall apply.  Notwithstanding the foregoing, Declarant shall be entitled to the certificates as provided in 6.05. </w:t>
      </w:r>
    </w:p>
    <w:p w:rsidR="00082C4C" w:rsidRPr="00E76BC7" w:rsidRDefault="00877BAE" w:rsidP="00D23CFE">
      <w:pPr>
        <w:pStyle w:val="Heading2"/>
        <w:keepNext/>
        <w:rPr>
          <w:b/>
        </w:rPr>
      </w:pPr>
      <w:r w:rsidRPr="00E76BC7">
        <w:rPr>
          <w:b/>
          <w:u w:val="single"/>
        </w:rPr>
        <w:t xml:space="preserve">Innovation and Alternatives: </w:t>
      </w:r>
      <w:r w:rsidRPr="00E76BC7">
        <w:rPr>
          <w:b/>
          <w:u w:val="single"/>
        </w:rPr>
        <w:t>Modifications Based on Further Assessments</w:t>
      </w:r>
      <w:r w:rsidRPr="00E76BC7">
        <w:rPr>
          <w:b/>
        </w:rPr>
        <w:t>.</w:t>
      </w:r>
    </w:p>
    <w:p w:rsidR="00F51D46" w:rsidRDefault="00877BAE" w:rsidP="00D23CFE">
      <w:pPr>
        <w:pStyle w:val="Heading3"/>
        <w:keepNext/>
      </w:pPr>
      <w:r w:rsidRPr="00082C4C">
        <w:rPr>
          <w:u w:val="single"/>
        </w:rPr>
        <w:t>Innovation and Alternatives</w:t>
      </w:r>
      <w:r>
        <w:t>.  In complying with Sections 3.01 through 3.0</w:t>
      </w:r>
      <w:r w:rsidR="00EA611A">
        <w:t>4</w:t>
      </w:r>
      <w:r>
        <w:t xml:space="preserve"> of this Declaration, Declarant may, at its election, implement innovations, technologies or alternatives that are or become available, wh</w:t>
      </w:r>
      <w:r>
        <w:t>ich Declarant demonstrates to the satisfaction of DCP would result in equal or better methods of achieving the relevant PCRE or Mitigation Measure, than those set forth in this Declaration.</w:t>
      </w:r>
    </w:p>
    <w:p w:rsidR="00470F10" w:rsidRPr="00470F10" w:rsidRDefault="00877BAE" w:rsidP="00470F10">
      <w:pPr>
        <w:pStyle w:val="Heading3"/>
        <w:rPr>
          <w:u w:color="0000FF"/>
        </w:rPr>
      </w:pPr>
      <w:bookmarkStart w:id="1" w:name="_cp_blt_1_92"/>
      <w:bookmarkStart w:id="2" w:name="_cp_text_1_93"/>
      <w:r w:rsidRPr="00470F10">
        <w:rPr>
          <w:u w:val="single"/>
        </w:rPr>
        <w:t>P</w:t>
      </w:r>
      <w:bookmarkEnd w:id="1"/>
      <w:r w:rsidRPr="00470F10">
        <w:rPr>
          <w:u w:val="single"/>
        </w:rPr>
        <w:t>rocess for Innovations, Alternatives and Modifications Pursuant t</w:t>
      </w:r>
      <w:r w:rsidRPr="00470F10">
        <w:rPr>
          <w:u w:val="single"/>
        </w:rPr>
        <w:t>o Section 3.0</w:t>
      </w:r>
      <w:r w:rsidR="00252320">
        <w:rPr>
          <w:u w:val="single"/>
        </w:rPr>
        <w:t>6</w:t>
      </w:r>
      <w:r>
        <w:rPr>
          <w:u w:color="0000FF"/>
        </w:rPr>
        <w:t>.  Following the delivery of a Notice to DCP requesting an Innovation, Alternative or Modification pursuant to Section 3.0</w:t>
      </w:r>
      <w:r w:rsidR="00CB0224">
        <w:rPr>
          <w:u w:color="0000FF"/>
        </w:rPr>
        <w:t>6</w:t>
      </w:r>
      <w:r>
        <w:rPr>
          <w:u w:color="0000FF"/>
        </w:rPr>
        <w:t xml:space="preserve"> hereof (the “</w:t>
      </w:r>
      <w:r w:rsidRPr="00470F10">
        <w:rPr>
          <w:b/>
          <w:u w:val="single"/>
        </w:rPr>
        <w:t>Section 3.0</w:t>
      </w:r>
      <w:r w:rsidR="00CB0224">
        <w:rPr>
          <w:b/>
          <w:u w:val="single"/>
        </w:rPr>
        <w:t>6</w:t>
      </w:r>
      <w:r w:rsidRPr="00470F10">
        <w:rPr>
          <w:b/>
          <w:u w:val="single"/>
        </w:rPr>
        <w:t xml:space="preserve"> Request</w:t>
      </w:r>
      <w:r>
        <w:rPr>
          <w:u w:color="0000FF"/>
        </w:rPr>
        <w:t>”), Declarant shall meet with DCP to respond to any questions or comments on such req</w:t>
      </w:r>
      <w:r>
        <w:rPr>
          <w:u w:color="0000FF"/>
        </w:rPr>
        <w:t>uest and accompanying materials, and shall provide additional information as may reasonably be requested by DCP in writing in order to allow DCP to determine</w:t>
      </w:r>
      <w:r w:rsidR="00252320">
        <w:rPr>
          <w:u w:color="0000FF"/>
        </w:rPr>
        <w:t xml:space="preserve"> whether to grant such request</w:t>
      </w:r>
      <w:r>
        <w:rPr>
          <w:u w:color="0000FF"/>
        </w:rPr>
        <w:t>, acting in consultation with City agency personnel as necessary in r</w:t>
      </w:r>
      <w:r>
        <w:rPr>
          <w:u w:color="0000FF"/>
        </w:rPr>
        <w:t>elation to the subject matter of the Section 3.0</w:t>
      </w:r>
      <w:r w:rsidR="00CB0224">
        <w:rPr>
          <w:u w:color="0000FF"/>
        </w:rPr>
        <w:t>6</w:t>
      </w:r>
      <w:r>
        <w:rPr>
          <w:u w:color="0000FF"/>
        </w:rPr>
        <w:t xml:space="preserve"> Request. </w:t>
      </w:r>
      <w:bookmarkEnd w:id="2"/>
    </w:p>
    <w:p w:rsidR="00F51D46" w:rsidRDefault="00877BAE" w:rsidP="00B22E6D">
      <w:pPr>
        <w:pStyle w:val="Heading3"/>
      </w:pPr>
      <w:r w:rsidRPr="00082C4C">
        <w:rPr>
          <w:u w:val="single"/>
        </w:rPr>
        <w:t>Modifications Based on Further Assessments</w:t>
      </w:r>
      <w:r>
        <w:t>.</w:t>
      </w:r>
      <w:r w:rsidR="00082C4C">
        <w:t xml:space="preserve">  </w:t>
      </w:r>
      <w:r>
        <w:t>In the event that Declarant believes, based on changed conditions, that a PCRE or Mitigation Measure required under Sections 3.01 through 3.0</w:t>
      </w:r>
      <w:r w:rsidR="00252320">
        <w:t>4</w:t>
      </w:r>
      <w:r>
        <w:t xml:space="preserve"> should n</w:t>
      </w:r>
      <w:r>
        <w:t>ot apply or could be modified without diminishment of the environmental standards which would be achieved by implementation of the PCRE or Mitigation Measure, it shall set forth the basis for such belief in an analysis submitted to DCP</w:t>
      </w:r>
      <w:r w:rsidR="00B22E6D" w:rsidRPr="00B22E6D">
        <w:rPr>
          <w:rFonts w:eastAsia="Times New Roman"/>
          <w:bCs w:val="0"/>
          <w:szCs w:val="20"/>
        </w:rPr>
        <w:t xml:space="preserve"> </w:t>
      </w:r>
      <w:r w:rsidR="00B22E6D" w:rsidRPr="00B22E6D">
        <w:t>an</w:t>
      </w:r>
      <w:r>
        <w:t>d other relevant C</w:t>
      </w:r>
      <w:r>
        <w:t xml:space="preserve">ity agencies </w:t>
      </w:r>
      <w:r w:rsidR="00B22E6D" w:rsidRPr="00B22E6D">
        <w:t>such as DOT or DEP (the “</w:t>
      </w:r>
      <w:r w:rsidR="00B22E6D" w:rsidRPr="00B22E6D">
        <w:rPr>
          <w:b/>
          <w:u w:val="single"/>
        </w:rPr>
        <w:t>Modification Request</w:t>
      </w:r>
      <w:r w:rsidR="00B22E6D" w:rsidRPr="00B22E6D">
        <w:t>”).  Following the delivery of the Modification Request, Declarant shall meet with DCP and the relevant City agencies (and at DCP’s option, the Monitor) to respond to any questions or comments on such request and accompanying materials and shall provide additional information as may be reasonably requested by DCP or the Monitor.  Upon reviewing the Modification Request and any other materials submitted, DCP shall issue a written determination within t</w:t>
      </w:r>
      <w:r w:rsidR="000C0D24">
        <w:t>wenty (2</w:t>
      </w:r>
      <w:r w:rsidR="00B22E6D" w:rsidRPr="00B22E6D">
        <w:t>0) business days after receipt of the request.  In the event that, based upon review of such analysis, DCP determines that the relevant PCRE or Mitigation Measure should not apply or could be modified, Declarant may eliminate or modify the PCRE or Mitigation Measure consistent with the DCP determination, provided that Declarant records a notice of such change, as approved by DCP Counsel’s Office, against the Subject Property in the office of the City Register.</w:t>
      </w:r>
    </w:p>
    <w:p w:rsidR="001F3943" w:rsidRDefault="00877BAE" w:rsidP="001F3943">
      <w:pPr>
        <w:pStyle w:val="Heading2"/>
      </w:pPr>
      <w:r w:rsidRPr="00AE368A">
        <w:rPr>
          <w:b/>
          <w:u w:val="single"/>
        </w:rPr>
        <w:t xml:space="preserve">Appointment and Role of Independent </w:t>
      </w:r>
      <w:r w:rsidRPr="00AE368A">
        <w:rPr>
          <w:b/>
          <w:u w:val="single"/>
        </w:rPr>
        <w:t>Monitor</w:t>
      </w:r>
      <w:r>
        <w:t>.</w:t>
      </w:r>
    </w:p>
    <w:p w:rsidR="00F51D46" w:rsidRDefault="00877BAE" w:rsidP="001F3943">
      <w:pPr>
        <w:pStyle w:val="Heading3"/>
      </w:pPr>
      <w:r>
        <w:t>Declarant shall, with the consent of DCP, retain an independent third party (the “</w:t>
      </w:r>
      <w:r w:rsidRPr="00E76BC7">
        <w:rPr>
          <w:b/>
          <w:u w:val="single"/>
        </w:rPr>
        <w:t>Monitor</w:t>
      </w:r>
      <w:r>
        <w:t xml:space="preserve">”) reasonably acceptable to DCP to oversee, on behalf of DCP, the implementation and performance by Declarant of the construction period PCREs required under </w:t>
      </w:r>
      <w:r>
        <w:t>Section 3.01 of this Declaration (the “</w:t>
      </w:r>
      <w:r w:rsidRPr="00E76BC7">
        <w:rPr>
          <w:b/>
          <w:u w:val="single"/>
        </w:rPr>
        <w:t>Construction Monitoring Measures</w:t>
      </w:r>
      <w:r>
        <w:t>” or “</w:t>
      </w:r>
      <w:r w:rsidRPr="00E76BC7">
        <w:rPr>
          <w:b/>
          <w:u w:val="single"/>
        </w:rPr>
        <w:t>CMMs</w:t>
      </w:r>
      <w:r>
        <w:t>”). The Monitor shall be a licensed engineer, architect, general contractor or environmental consultant with significant experience in environmental management and constructio</w:t>
      </w:r>
      <w:r>
        <w:t xml:space="preserve">n management (or multiple persons or a firm employing such persons), including familiarity with the means and methods for implementation of the CMMs.  DCP shall advise Declarant of its approval or rejection of the Monitor, as proposed, within fifteen (15) </w:t>
      </w:r>
      <w:r>
        <w:t>business days after Declarant provides DCP with satisfactory (as reasonably determined by DCP) documentation concerning the name and relevant experience of the Monitor.</w:t>
      </w:r>
    </w:p>
    <w:p w:rsidR="00F51D46" w:rsidRDefault="00877BAE" w:rsidP="00DB4766">
      <w:pPr>
        <w:pStyle w:val="Heading3"/>
      </w:pPr>
      <w:r>
        <w:t>The “Scope of Services” described in any agreement between Declarant and the Monitor pu</w:t>
      </w:r>
      <w:r>
        <w:t>rsuant to which the Monitor is retained (the “</w:t>
      </w:r>
      <w:r w:rsidRPr="00E76BC7">
        <w:rPr>
          <w:b/>
          <w:u w:val="single"/>
        </w:rPr>
        <w:t>Monitor Agreement</w:t>
      </w:r>
      <w:r>
        <w:t>”) shall be subject to prior review by and approval of DCP, such approval not to be unreasonably withheld, conditioned or delayed.  Such Monitor Agreement shall include provisions in a form acc</w:t>
      </w:r>
      <w:r>
        <w:t xml:space="preserve">eptable to DCP that, among others, shall: (i) ensure that the Monitor is independent of Declarant in all respects relating to the Monitor’s responsibilities under this Declaration (provided that the Monitor shall be responsible to Declarant with regard to </w:t>
      </w:r>
      <w:r>
        <w:t xml:space="preserve">practices generally applicable to or expected of consultants and independent contractors of Declarant) and has a duty of loyalty to DCP; (ii) provide for appropriate DCP management and control of the performance of services by the Monitor; (iii) authorize </w:t>
      </w:r>
      <w:r>
        <w:t>DCP to direct the termination of services by the Monitor for unsatisfactory performance of its responsibilities under the Monitor Agreement</w:t>
      </w:r>
      <w:r w:rsidR="005609BA">
        <w:t xml:space="preserve">, following a fifteen (15)-day notice period by DCP </w:t>
      </w:r>
      <w:r w:rsidR="00E025BB">
        <w:t xml:space="preserve">to Declarant </w:t>
      </w:r>
      <w:r w:rsidR="005609BA">
        <w:t>and the failure of Monitor to correct or remedy the unsatisfactory activity</w:t>
      </w:r>
      <w:r>
        <w:t>; (iv) allow for the retention by the Monitor of sub-consultants with expertise appropriate to assisting the Monitor in its performance of its obligations to the extent reasonably necessary to perform its obligations under this Decla</w:t>
      </w:r>
      <w:r>
        <w:t>ration and the Monitor Agreement; and (v) allow for termination by Declarant for cause, but only with the express written concurrence of DCP, which concurrence shall not be unreasonably withheld or delayed.  If DCP shall fail to act upon a proposed Monitor</w:t>
      </w:r>
      <w:r>
        <w:t xml:space="preserve"> Agreement within twenty (20) days after submission of a draft form of Monitor Agreement, the form of Monitor Agreement so submitted shall be deemed acceptable by DCP and may be executed by Declarant and the Monitor. The Monitor Agreement shall provide for</w:t>
      </w:r>
      <w:r>
        <w:t xml:space="preserve"> the commencement of services by the Monitor at a point prior to Construction Commencement (the timing of such earlier point to be at the sole discretion of Declarant) and shall continue in effect at all times that construction activities are occurring on </w:t>
      </w:r>
      <w:r>
        <w:t>the Subject Property until issuance of the first TCO for any portion of the Development, unless the Declarant, with the prior consent of DCP or at the direction of DCP, shall have terminated the Monitor Agreement and substituted therefor another Monitor un</w:t>
      </w:r>
      <w:r>
        <w:t>der a new Monitor Agreement, in accordance with all requirements of this Section 3.0</w:t>
      </w:r>
      <w:r w:rsidR="00B22E6D">
        <w:t>7</w:t>
      </w:r>
      <w:r>
        <w:t xml:space="preserve">. </w:t>
      </w:r>
      <w:r w:rsidR="00AE368A">
        <w:t xml:space="preserve"> </w:t>
      </w:r>
      <w:r>
        <w:t>If the stage of development of the Subject Property identified in the Scope of Services under the Monitor Agreement is completed, Declarant shall not have any obligatio</w:t>
      </w:r>
      <w:r>
        <w:t>n to retain the Monitor for subsequent stage(s) of development of the Subject Property, provided that Declarant shall not recommence any construction until it shall have retained a new Monitor in compliance with the provisions of this Section.</w:t>
      </w:r>
    </w:p>
    <w:p w:rsidR="00F51D46" w:rsidRDefault="00877BAE" w:rsidP="00DB4766">
      <w:pPr>
        <w:pStyle w:val="Heading3"/>
      </w:pPr>
      <w:r>
        <w:t xml:space="preserve">The Monitor </w:t>
      </w:r>
      <w:r>
        <w:t>shall: (i) assist and advise DCP with regard to review of plans and measures proposed by Declarant for purposes of satisfying CMMs in connection with determinations required under this Declaration as a prerequisite to Construction Commencement; (ii) provid</w:t>
      </w:r>
      <w:r>
        <w:t>e reports of Declarant’s compliance with the CMMs during any period of construction on a schedule reasonably acceptable to DCP, but not more frequently than once per month; and (iii) review records or perform field inspections of the portion of the Subject</w:t>
      </w:r>
      <w:r>
        <w:t xml:space="preserve"> Property then being developed as reasonabl</w:t>
      </w:r>
      <w:r w:rsidR="005609BA">
        <w:t>y</w:t>
      </w:r>
      <w:r>
        <w:t xml:space="preserve"> necessary to confirm that Declarant is complying with the CMMs.  The Monitor may at any time also provide Declarant and DCP with notice of a determination that a CMM has not been implemented, accompanied by supp</w:t>
      </w:r>
      <w:r>
        <w:t xml:space="preserve">orting documentation establishing the basis for such determination, provided that any such notice shall be delivered to both parties.  </w:t>
      </w:r>
      <w:r w:rsidR="00F203C9">
        <w:t>If the Monitor has provided DCP with such notice of a determination and supporting documentation that a CMM has not been implemented, t</w:t>
      </w:r>
      <w:r>
        <w:t>he Monitor shall: (x) have full access to the portion of the Subject Property then being developed (as referenced in the Monitor Agreement), subject to compliance with all generally applicable site safety requirements imposed by law</w:t>
      </w:r>
      <w:r w:rsidR="00F203C9">
        <w:t xml:space="preserve"> or the construction manager’s safety requirements</w:t>
      </w:r>
      <w:r>
        <w:t xml:space="preserve"> pur</w:t>
      </w:r>
      <w:r w:rsidR="00F203C9">
        <w:t>suant to construction contracts</w:t>
      </w:r>
      <w:r>
        <w:t xml:space="preserve"> or imposed as part of the site safety protocol in effect for the Subject Property; (y) on reasonable notice and during normal business hours, be provided with access to all books a</w:t>
      </w:r>
      <w:r>
        <w:t xml:space="preserve">nd records of Declarant pertaining to </w:t>
      </w:r>
      <w:r w:rsidR="005609BA">
        <w:t xml:space="preserve">both the CMM </w:t>
      </w:r>
      <w:r w:rsidR="00F203C9">
        <w:t>alleged</w:t>
      </w:r>
      <w:r w:rsidR="005609BA">
        <w:t xml:space="preserve"> not </w:t>
      </w:r>
      <w:r w:rsidR="00F203C9">
        <w:t xml:space="preserve">to have </w:t>
      </w:r>
      <w:r w:rsidR="005609BA">
        <w:t xml:space="preserve">been implemented </w:t>
      </w:r>
      <w:r w:rsidR="00F203C9">
        <w:t xml:space="preserve">and </w:t>
      </w:r>
      <w:r>
        <w:t>the applicable portion of the Subject Property which it reasonably deems necessary to carry out its duties, including the preparation of periodic reports; and (z) b</w:t>
      </w:r>
      <w:r>
        <w:t>e entitled to conduct any tests on the Subject Property that the Monitor reasonably deems necessary to verify Declarant’s implementation and performance of the CMMs, subject to compliance with all generally applicable site safety requirements imposed by la</w:t>
      </w:r>
      <w:r>
        <w:t>w, site operations, or pursuant to construction contracts in effect for the Subject Property and provided further that any  such additional testing shall be (q) coordinated with Declarant’s construction activities and use of the Subject Property by the occ</w:t>
      </w:r>
      <w:r>
        <w:t>upants of and visitors; and (r) conducted in a manner that will mini</w:t>
      </w:r>
      <w:r w:rsidR="00B71199">
        <w:t>mize any interference with the</w:t>
      </w:r>
      <w:r>
        <w:t xml:space="preserve"> Development.  The Monitor Agreement shall provide that Declarant shall have the right to require the Monitor to secure insurance customary for such activity </w:t>
      </w:r>
      <w:r>
        <w:t>and may hold the Monitor liable for any damage or harm resulting from such testing activities. Nothing in this Declaration, including without limitation the provisions of this Section 3.0</w:t>
      </w:r>
      <w:r w:rsidR="00B22E6D">
        <w:t>7</w:t>
      </w:r>
      <w:r>
        <w:t>, shall be construed to make the Monitor a third-party beneficiary o</w:t>
      </w:r>
      <w:r>
        <w:t>f this Declaration.</w:t>
      </w:r>
    </w:p>
    <w:p w:rsidR="00F51D46" w:rsidRDefault="00877BAE" w:rsidP="001837A3">
      <w:pPr>
        <w:pStyle w:val="Heading3"/>
      </w:pPr>
      <w:r>
        <w:t xml:space="preserve">Subject to compliance with all generally applicable site safety requirements  </w:t>
      </w:r>
      <w:r w:rsidR="00F203C9">
        <w:t xml:space="preserve">or the construction manager’s safety requirements </w:t>
      </w:r>
      <w:r>
        <w:t>pur</w:t>
      </w:r>
      <w:r w:rsidR="00F203C9">
        <w:t>suant to construction contracts</w:t>
      </w:r>
      <w:r>
        <w:t xml:space="preserve"> or imposed as part of the site safety protocol in effect for the Subject </w:t>
      </w:r>
      <w:r>
        <w:t>Property, DCP, or any other applicable City agency, may, upon prior written or telephonic notice to Declarant, enter upon the Subject Property during business hours on business days for the purpose of conducting inspections to verify Declarant’s implementa</w:t>
      </w:r>
      <w:r>
        <w:t>tion and performance of the CMMs; provided, however, that any such inspections shall be (i) coordinated with Declarant’s construction activities and use of the Subject Property by the occupants of and visitors to the Subject Property, and (ii) conducted in</w:t>
      </w:r>
      <w:r>
        <w:t xml:space="preserve"> a manner that will minimize any interference with</w:t>
      </w:r>
      <w:r w:rsidR="00783B04">
        <w:t>, delay construction of, or create any safety hazard at,</w:t>
      </w:r>
      <w:r>
        <w:t xml:space="preserve"> the Development.  Declarant shall cooperate with DCP (or such other applicable City agency) and its representatives, and shall not delay or withhold </w:t>
      </w:r>
      <w:r>
        <w:t>any information or access to the Subject Property reasonably requested by DCP (or such other applicable City agency).  Notwithstanding the foregoing, Declarant shall not be obligated to provide DCP or any other City agency with access to tenant occupied sp</w:t>
      </w:r>
      <w:r>
        <w:t xml:space="preserve">aces or those portions of the Subject Property not owned and controlled by Declarant (such as individual condominium units).  </w:t>
      </w:r>
    </w:p>
    <w:p w:rsidR="00F51D46" w:rsidRDefault="00877BAE" w:rsidP="001837A3">
      <w:pPr>
        <w:pStyle w:val="Heading3"/>
      </w:pPr>
      <w:r>
        <w:t>Declarant shall be responsible for payment of all fees and expenses due to the Monitor (including fees and expenses paid to sub-c</w:t>
      </w:r>
      <w:r>
        <w:t>onsultants engaged pursuant to Section 3.</w:t>
      </w:r>
      <w:r w:rsidR="00216B5A">
        <w:t>0</w:t>
      </w:r>
      <w:r w:rsidR="00B22E6D">
        <w:t>7</w:t>
      </w:r>
      <w:r>
        <w:t>(b)) in accordance with the terms of the Monitoring Agreement.</w:t>
      </w:r>
    </w:p>
    <w:p w:rsidR="00F51D46" w:rsidRDefault="00877BAE" w:rsidP="001837A3">
      <w:pPr>
        <w:pStyle w:val="Heading3"/>
      </w:pPr>
      <w:r>
        <w:t>If DCP determines, based on information provided by the Monitor and others, or through its own inspection of the Subject Property during construction,</w:t>
      </w:r>
      <w:r>
        <w:t xml:space="preserve"> as applicable,  that there is a basis for concluding that Declarant has failed to implement or to cause its contractors to implement a CMM, DCP may thereupon give Declarant written notice of such alleged violation (each, a “</w:t>
      </w:r>
      <w:r w:rsidRPr="002631F4">
        <w:rPr>
          <w:b/>
          <w:u w:val="single"/>
        </w:rPr>
        <w:t>CMM Default Notice</w:t>
      </w:r>
      <w:r>
        <w:t>”), transmitt</w:t>
      </w:r>
      <w:r>
        <w:t xml:space="preserve">ed by hand or via overnight courier service to the address for Notices for Declarant set forth in Section </w:t>
      </w:r>
      <w:r w:rsidRPr="00AE368A">
        <w:t>6.04.</w:t>
      </w:r>
      <w:r>
        <w:t xml:space="preserve">  Notwithstanding any provisions to the contrary contained in Section </w:t>
      </w:r>
      <w:r w:rsidR="00AE368A" w:rsidRPr="00AE368A">
        <w:t>5.01</w:t>
      </w:r>
      <w:r>
        <w:t xml:space="preserve"> of this Declaration, following receipt of a CMM Default Notice, Declarant shall: (i) effect a cure of the alleged violation within </w:t>
      </w:r>
      <w:r w:rsidR="00420948">
        <w:t>fifteen</w:t>
      </w:r>
      <w:r>
        <w:t xml:space="preserve"> (1</w:t>
      </w:r>
      <w:r w:rsidR="00F203C9">
        <w:t>5</w:t>
      </w:r>
      <w:r>
        <w:t>) business days; (ii) seek to demonstrate to DCP in writing within five (5) business days of receipt of the CMM D</w:t>
      </w:r>
      <w:r>
        <w:t xml:space="preserve">efault Notice why the alleged violation did not occur and does not then exist; or (iii) seek to demonstrate to DCP in writing within five (5) business days of receipt of the CMM Default Notice that a cure period greater than </w:t>
      </w:r>
      <w:r w:rsidR="00420948">
        <w:t>fifteen</w:t>
      </w:r>
      <w:r>
        <w:t xml:space="preserve"> (1</w:t>
      </w:r>
      <w:r w:rsidR="002A53B1">
        <w:t>5</w:t>
      </w:r>
      <w:r>
        <w:t>) business days woul</w:t>
      </w:r>
      <w:r>
        <w:t xml:space="preserve">d not be harmful to the environment or that the required cure cannot be accomplished within </w:t>
      </w:r>
      <w:r w:rsidR="00420948">
        <w:t>fifteen</w:t>
      </w:r>
      <w:r>
        <w:t xml:space="preserve"> (1</w:t>
      </w:r>
      <w:r w:rsidR="002A53B1">
        <w:t>5</w:t>
      </w:r>
      <w:r>
        <w:t>) business days (such longer cure period, a “</w:t>
      </w:r>
      <w:r w:rsidRPr="002631F4">
        <w:rPr>
          <w:b/>
          <w:u w:val="single"/>
        </w:rPr>
        <w:t>Proposed Cure Period</w:t>
      </w:r>
      <w:r>
        <w:t>”). If DCP accepts within two (2) business days of receipt of a writing from Declarant t</w:t>
      </w:r>
      <w:r>
        <w:t>hat the alleged violation did not occur and does not then exist, DCP shall withdraw the CMM Default Notice and Declarant shall have no obligation to cure.  If DCP accepts a Proposed Cure Period in writing within two (2) business day of receipt of a writing</w:t>
      </w:r>
      <w:r>
        <w:t xml:space="preserve"> from Declarant, then this shall become the applicable cure period for the alleged violation (the “</w:t>
      </w:r>
      <w:r w:rsidRPr="002631F4">
        <w:rPr>
          <w:b/>
          <w:u w:val="single"/>
        </w:rPr>
        <w:t>New Cure Period</w:t>
      </w:r>
      <w:r>
        <w:t>”), provided that if DCP does not act with respect to a Proposed Cure Period within two (2) business days or after receipt of a writing from D</w:t>
      </w:r>
      <w:r>
        <w:t xml:space="preserve">eclarant with respect thereto, the running of the </w:t>
      </w:r>
      <w:r w:rsidR="00420948">
        <w:t>fifteen</w:t>
      </w:r>
      <w:r>
        <w:t xml:space="preserve"> (1</w:t>
      </w:r>
      <w:r w:rsidR="002A53B1">
        <w:t>5</w:t>
      </w:r>
      <w:r>
        <w:t>) day cure period for the alleged violation shall be tolled until such time as DCP so acts.  If Declarant fails to: (i) effect a cure of the alleged violation; (ii) cure the alleged violation wit</w:t>
      </w:r>
      <w:r>
        <w:t>hin a New Cure Period, if one has been established; or (iii) demonstrate to DCP’s satisfaction that a violation has not occurred, then representatives of Declarant shall, promptly at DCP’s request, and upon a time and date, and a location acceptable to DCP</w:t>
      </w:r>
      <w:r>
        <w:t>, convene a meeting (and, at the election of the parties, additional meetings) with the Monitor and DCP representatives. If, subsequent to such meetings, Declarant is unable reasonably to satisfy the DCP representatives that no violation exists or is conti</w:t>
      </w:r>
      <w:r>
        <w:t>nuing or the Declarant, the Monitor and DCP are unable to agree upon a method for curing the violation within a time period acceptable to DCP, DCP shall have the right to exercise any remedy available at law or in equity or by way of administrative enforce</w:t>
      </w:r>
      <w:r>
        <w:t>ment, to obtain or compel Declarant’s performance under this Declaration, including seeking an injunction to stop work on the Subject Property, as necessary, to ensure that the violation does not continue, until the Declarant demonstrates either that the v</w:t>
      </w:r>
      <w:r>
        <w:t>iolation does not exist or that it has cured the violation, subject to the cure provisions of Section 5.02 hereof (as modified for the cure periods set forth in this Section 3.0</w:t>
      </w:r>
      <w:r w:rsidR="00B22E6D">
        <w:t>7</w:t>
      </w:r>
      <w:r>
        <w:t>(f)) and the limitations of Sections 5.03, 5.04, 6.01, and 6.02 hereof. Nothin</w:t>
      </w:r>
      <w:r>
        <w:t>g herein shall be construed as a waiver of any legal or equitable defense that Declarant may have in any enforcement action or proceeding initiated by DCP in accordance with this provision.</w:t>
      </w:r>
    </w:p>
    <w:p w:rsidR="00F51D46" w:rsidRDefault="00877BAE" w:rsidP="001837A3">
      <w:pPr>
        <w:pStyle w:val="Heading2"/>
      </w:pPr>
      <w:r w:rsidRPr="002631F4">
        <w:rPr>
          <w:b/>
          <w:u w:val="single"/>
        </w:rPr>
        <w:t>Force Majeure Event Involving a PCRE or Mitigation Measure</w:t>
      </w:r>
      <w:r>
        <w:t>.  Notwi</w:t>
      </w:r>
      <w:r>
        <w:t>thstanding any provision of Section 5.04 to the contrary, where the Obligation as to which a Force Majeure Event applies is a PCRE or Mitigation Measure set forth in this Article III of the Declaration, Declarant may not be excused from performing such PCR</w:t>
      </w:r>
      <w:r>
        <w:t xml:space="preserve">E or Mitigation Measure that is affected by the Force Majeure Event </w:t>
      </w:r>
      <w:r w:rsidR="00F203C9">
        <w:t>(x) unless such PCRE or Mitigation Measure cannot be reasonably implemented during the Force Maj</w:t>
      </w:r>
      <w:r w:rsidR="004F7A6C">
        <w:t>e</w:t>
      </w:r>
      <w:r w:rsidR="00F203C9">
        <w:t>ure or</w:t>
      </w:r>
      <w:r>
        <w:t xml:space="preserve"> </w:t>
      </w:r>
      <w:r w:rsidR="00F203C9">
        <w:t xml:space="preserve">(y) unless and </w:t>
      </w:r>
      <w:r>
        <w:t>until the Chair has made a determination in his or her reasonable dis</w:t>
      </w:r>
      <w:r>
        <w:t>cretion that not implementing the PCRE or Mitigation Measure during the period of the Force Majeure Event, or implementing an alternative proposed by Declarant, would not result in any new or different significant adverse environmental impact not addressed</w:t>
      </w:r>
      <w:r>
        <w:t xml:space="preserve"> in the FEIS.</w:t>
      </w:r>
    </w:p>
    <w:p w:rsidR="00F51D46" w:rsidRDefault="00877BAE" w:rsidP="001837A3">
      <w:pPr>
        <w:pStyle w:val="Heading1"/>
      </w:pPr>
      <w:r>
        <w:br/>
      </w:r>
      <w:r>
        <w:br/>
        <w:t>EFFECTIVE DATE; AMENDMENTS</w:t>
      </w:r>
      <w:r w:rsidR="00D23CFE">
        <w:t xml:space="preserve"> </w:t>
      </w:r>
      <w:r>
        <w:t xml:space="preserve">AND MODIFICATIONS TO </w:t>
      </w:r>
      <w:r w:rsidR="00D23CFE">
        <w:t>AND CANCELLATION</w:t>
      </w:r>
      <w:r>
        <w:t xml:space="preserve"> OF THIS DECLARATION</w:t>
      </w:r>
    </w:p>
    <w:p w:rsidR="00F51D46" w:rsidRPr="00FA2992" w:rsidRDefault="00877BAE" w:rsidP="00FA2992">
      <w:pPr>
        <w:pStyle w:val="Heading2"/>
        <w:rPr>
          <w:u w:val="single"/>
        </w:rPr>
      </w:pPr>
      <w:r w:rsidRPr="002631F4">
        <w:rPr>
          <w:b/>
          <w:u w:val="single"/>
        </w:rPr>
        <w:t>Effective Date; Recordation</w:t>
      </w:r>
      <w:r w:rsidR="00FA2992" w:rsidRPr="00FA2992">
        <w:t>.</w:t>
      </w:r>
    </w:p>
    <w:p w:rsidR="00D342CC" w:rsidRPr="00D342CC" w:rsidRDefault="00877BAE" w:rsidP="00FA2992">
      <w:pPr>
        <w:pStyle w:val="Heading3"/>
      </w:pPr>
      <w:r w:rsidRPr="00D342CC">
        <w:t>This Declaration and the provisions and covenants hereof shall become effective only upon Final Approval of the Land Use Appli</w:t>
      </w:r>
      <w:r w:rsidRPr="00D342CC">
        <w:t>cations (the “</w:t>
      </w:r>
      <w:r w:rsidRPr="00D342CC">
        <w:rPr>
          <w:u w:val="single"/>
        </w:rPr>
        <w:t>Effective Date</w:t>
      </w:r>
      <w:r w:rsidRPr="00D342CC">
        <w:t>”).  However, following such Effective Date, Declarant shall not be subject to or have any obligations under this Declaration unless and</w:t>
      </w:r>
      <w:r w:rsidR="00B71199">
        <w:t xml:space="preserve"> until Declarant has elected obtain</w:t>
      </w:r>
      <w:r w:rsidRPr="00D342CC">
        <w:t xml:space="preserve"> a permit from the Buildings Department permitting the co</w:t>
      </w:r>
      <w:r w:rsidRPr="00D342CC">
        <w:t xml:space="preserve">nstruction of the foundation of </w:t>
      </w:r>
      <w:r w:rsidR="00B71199">
        <w:t>a</w:t>
      </w:r>
      <w:r w:rsidRPr="00D342CC">
        <w:t xml:space="preserve"> Development (the “</w:t>
      </w:r>
      <w:r w:rsidRPr="00D342CC">
        <w:rPr>
          <w:u w:val="single"/>
        </w:rPr>
        <w:t>Foundation Permit</w:t>
      </w:r>
      <w:r w:rsidRPr="00D342CC">
        <w:t>”).</w:t>
      </w:r>
      <w:r w:rsidRPr="007546FA">
        <w:rPr>
          <w:highlight w:val="yellow"/>
        </w:rPr>
        <w:t xml:space="preserve">  </w:t>
      </w:r>
    </w:p>
    <w:p w:rsidR="00F51D46" w:rsidRDefault="00877BAE" w:rsidP="00FA2992">
      <w:pPr>
        <w:pStyle w:val="Heading3"/>
      </w:pPr>
      <w:r w:rsidRPr="00D342CC">
        <w:t>Within ten (10) days of such Final Approval of the Land Use Applications and prior to application for any Building Permit relating to the Subject Property</w:t>
      </w:r>
      <w:r w:rsidR="004D4005" w:rsidRPr="00D342CC">
        <w:t>, the Declarant shall record this Declaration and any related waivers executed by Mortgagees or other Parties-in-Interest or other documents executed and delivered in connection with the Land Use Application and required by this Declaration to be recorded in public records, in the Office of the City Register, New York County (the “</w:t>
      </w:r>
      <w:r w:rsidR="004D4005" w:rsidRPr="00D342CC">
        <w:rPr>
          <w:b/>
          <w:u w:val="single"/>
        </w:rPr>
        <w:t>Register’s Office</w:t>
      </w:r>
      <w:r w:rsidR="004D4005" w:rsidRPr="00D342CC">
        <w:t xml:space="preserve">”), indexing them against the entire Subject Property, and deliver to the Commission within ten (10) days from any such submission for recording, a copy of such documents as submitted for recording, together with an affidavit of submission for recordation.  </w:t>
      </w:r>
      <w:r w:rsidR="004D4005">
        <w:t xml:space="preserve">If the Declarant fails to so record such documents, then the City may record duplicate originals of such documents.  However, all fees paid or payable for the purpose of recording such documents, whether undertaken by the Declarant or by the City, shall be borne by Declarant.  </w:t>
      </w:r>
    </w:p>
    <w:p w:rsidR="00F51D46" w:rsidRDefault="00877BAE" w:rsidP="00FA2992">
      <w:pPr>
        <w:pStyle w:val="Heading3"/>
      </w:pPr>
      <w:r>
        <w:t>Notwithstanding anything to the contrary contained in this Declaration, if the Approvals given in connection with the Land Use Application are declared invalid or o</w:t>
      </w:r>
      <w:r>
        <w:t>therwise voided by a final judgment of any court of competent jurisdiction from which no appeal can be taken or for which no appeal has been taken within the applicable statutory period provided for such appeal, then, upon entry of said judgment or the exp</w:t>
      </w:r>
      <w:r>
        <w:t>iration of the applicable statutory period for such appeal, then this Declaration shall be cancelled and shall be of no further force or effect and an instrument discharging or terminating it may be recorded.  Prior to the recordation of such instrument di</w:t>
      </w:r>
      <w:r>
        <w:t>scharging or terminating this Declaration, the Declarant shall notify the Chair of Declarant’s intent to discharge or terminate this Declaration and request the Chair’s approval, which approval shall be limited to insuring that such discharge and terminati</w:t>
      </w:r>
      <w:r>
        <w:t>on is in proper form and provides that the proper provisions which are not discharged or terminated survive such termination.  Upon recordation of such instrument, Declarant or Successor Declarants (as hereinafter defined) shall provide a copy thereof to t</w:t>
      </w:r>
      <w:r>
        <w:t>he Commission so certified by the Register.</w:t>
      </w:r>
    </w:p>
    <w:p w:rsidR="00F51D46" w:rsidRDefault="00877BAE" w:rsidP="00FA2992">
      <w:pPr>
        <w:pStyle w:val="Heading2"/>
      </w:pPr>
      <w:r w:rsidRPr="00D23CFE">
        <w:rPr>
          <w:b/>
          <w:u w:val="single"/>
        </w:rPr>
        <w:t>Amendment</w:t>
      </w:r>
      <w:r>
        <w:t>.  This Declaration may be amended, modified or cancelled only upon application by the Declarant and (if not then Successor Declarant) and with the express written approval of the Commission or an agency</w:t>
      </w:r>
      <w:r>
        <w:t xml:space="preserve"> succeeding to the Commission’s jurisdiction (except with respect to a cancellation pursuant to Section 4.01 hereof, for which no such approval shall be required).  No other approval or consent shall be required from any public body, private person or lega</w:t>
      </w:r>
      <w:r>
        <w:t>l entity of any kind, including, without limitation, any other present Party-in-Interest or future Party-in-Interest who is not a successor of Declarant.</w:t>
      </w:r>
    </w:p>
    <w:p w:rsidR="00F51D46" w:rsidRDefault="00877BAE" w:rsidP="00FA2992">
      <w:pPr>
        <w:pStyle w:val="Heading2"/>
      </w:pPr>
      <w:r w:rsidRPr="00D23CFE">
        <w:rPr>
          <w:b/>
          <w:u w:val="single"/>
        </w:rPr>
        <w:t>Minor Modifications</w:t>
      </w:r>
      <w:r>
        <w:t>.  Notwithstanding the provisions of Section 4.02 above, any change to this Declara</w:t>
      </w:r>
      <w:r>
        <w:t>tion proposed by the Declarant (if not then Successor Declarant), which the Chair deems to be a minor modification of this Declaration, may by express written consent be approved administratively by the Chair and no other approval or consent shall be requi</w:t>
      </w:r>
      <w:r>
        <w:t>red from any public body, private person or legal entity of any kind, including, without limitation, any present or future Party-in-Interest.  Such minor modifications shall not be deemed amendments requiring the approval of the Commission.  In the event t</w:t>
      </w:r>
      <w:r>
        <w:t xml:space="preserve">hat a minor modification results in a modification of the Plans, a notice indicating such modification shall be recorded in the City Register’s Office, in lieu of a modification of this Declaration.  </w:t>
      </w:r>
    </w:p>
    <w:p w:rsidR="00F51D46" w:rsidRDefault="00877BAE" w:rsidP="00FA2992">
      <w:pPr>
        <w:pStyle w:val="Heading2"/>
      </w:pPr>
      <w:r w:rsidRPr="00D23CFE">
        <w:rPr>
          <w:b/>
          <w:u w:val="single"/>
        </w:rPr>
        <w:t>Future Recording</w:t>
      </w:r>
      <w:r>
        <w:t>.  Any modification, amendment or cance</w:t>
      </w:r>
      <w:r>
        <w:t>llation of this Declaration shall be executed and recorded in the same manner as this Declaration.</w:t>
      </w:r>
    </w:p>
    <w:p w:rsidR="00F51D46" w:rsidRDefault="00877BAE" w:rsidP="00906D2F">
      <w:pPr>
        <w:pStyle w:val="Heading2"/>
      </w:pPr>
      <w:r w:rsidRPr="00D23CFE">
        <w:rPr>
          <w:b/>
          <w:u w:val="single"/>
        </w:rPr>
        <w:t>Certain Provisions Regarding Modification</w:t>
      </w:r>
      <w:r>
        <w:t xml:space="preserve">.  For so long as any Declarant or any Successor Declarant shall hold a Possessory Interest in the Subject Property </w:t>
      </w:r>
      <w:r>
        <w:t>or any portion thereof, all other Unit Interested Parties, their heirs, successors, assigns and legal representatives, hereby irrevocably (i) consent to any amendment, modification, cancellation, revision or other change in this Declaration, (ii) waive and</w:t>
      </w:r>
      <w:r>
        <w:t xml:space="preserve"> subordinate any rights they may have to enter into an amended Declaration or other instrument amending, modifying, canceling, revising or otherwise changing this Declaration, and (iii) nominate, constitute and appoint Declarant, or any Successor Declarant</w:t>
      </w:r>
      <w:r>
        <w:t xml:space="preserve">, their true and lawful attorney-in-fact, coupled with an interest, to execute any documents or instruments of any kind that may be required in order to amend, modify, cancel, revise or otherwise change this Declaration or to evidence such Unit Interested </w:t>
      </w:r>
      <w:r>
        <w:t xml:space="preserve">Parties’ consent or waiver as set forth in this Section 4.05.  </w:t>
      </w:r>
    </w:p>
    <w:p w:rsidR="00F51D46" w:rsidRDefault="00877BAE" w:rsidP="00906D2F">
      <w:pPr>
        <w:pStyle w:val="Heading1"/>
      </w:pPr>
      <w:r>
        <w:br/>
      </w:r>
      <w:r w:rsidRPr="00906D2F">
        <w:br/>
      </w:r>
      <w:r>
        <w:t>COMPLIANCE; DEFAULTS; REMEDIES</w:t>
      </w:r>
    </w:p>
    <w:p w:rsidR="00F51D46" w:rsidRDefault="00877BAE" w:rsidP="00906D2F">
      <w:pPr>
        <w:pStyle w:val="Heading2"/>
      </w:pPr>
      <w:r w:rsidRPr="00D23CFE">
        <w:rPr>
          <w:b/>
          <w:u w:val="single"/>
        </w:rPr>
        <w:t>Default</w:t>
      </w:r>
      <w:r>
        <w:t xml:space="preserve">.  </w:t>
      </w:r>
    </w:p>
    <w:p w:rsidR="00F51D46" w:rsidRDefault="00877BAE" w:rsidP="00906D2F">
      <w:pPr>
        <w:pStyle w:val="Heading3"/>
      </w:pPr>
      <w:r>
        <w:t>Declarant acknowledges that the restrictions, covenants, and Obligations of this Declaration will protect the value and desirability of the Subject Property, as well as benefit the City. Declarant acknowledges that the City is an interested party to this D</w:t>
      </w:r>
      <w:r>
        <w:t>eclaration, and consent to enforcement by the City, administratively or at law or equity, of the restrictions, covenants, easements, obligations and agreements contained herein. If the Declarant fails to perform any of its obligations under this Declaratio</w:t>
      </w:r>
      <w:r>
        <w:t>n with respect to its Obligations, the City shall seek to enforce this Declaration and exercise any administrative legal or equitable remedy available to the City, and Declarant hereby consents to same; provided that this Declaration shall not be deemed to</w:t>
      </w:r>
      <w:r>
        <w:t xml:space="preserve"> diminish Declarant’s or any other Party in Interest’s right to exercise any and all administrative, legal, or equitable remedies otherwise available to it, and provided further, that the City’s rights of enforcement shall be subject to the cure provisions</w:t>
      </w:r>
      <w:r>
        <w:t xml:space="preserve"> and periods set forth in Section 5.01(c) hereof and the limitations of Sections </w:t>
      </w:r>
      <w:r w:rsidR="00253973">
        <w:t xml:space="preserve">5.02, </w:t>
      </w:r>
      <w:r>
        <w:t>6.01 and 6.02 hereof. Declarant also acknowledges that the remedies set forth in this Declaration are not exclusive and that the City and any agency thereof may pursue o</w:t>
      </w:r>
      <w:r>
        <w:t>ther remedies not specifically set forth herein, subject to the further provisions of this Section 5.01 and Sections 6.01 and 6.02 hereof, including, but not limited to, a mandatory injunction compelling Declarant to comply with the terms of this Declarati</w:t>
      </w:r>
      <w:r>
        <w:t>on and a revocation by the City of any certificate of occupancy, temporary or permanent, for any building located within the Development that does not comply with the provisions of this Declaration; provided, however, that such right of revocation shall no</w:t>
      </w:r>
      <w:r>
        <w:t>t permit or be construed to permit the revocation of any certificate of occupancy for any use or improvement that exists on the Subject Property as of the date of this Declaration;</w:t>
      </w:r>
    </w:p>
    <w:p w:rsidR="00F51D46" w:rsidRDefault="00877BAE" w:rsidP="00906D2F">
      <w:pPr>
        <w:pStyle w:val="Heading3"/>
      </w:pPr>
      <w:r>
        <w:t>Notwithstanding any provision of this Declaration, only Declarant, Mortgage</w:t>
      </w:r>
      <w:r>
        <w:t>es, and Declarant’s successors and assigns and the City, shall be entitled to enforce or assert any claim arising out of or in connection with this Declaration. Nothing contained herein should be construed or deemed to allow any other person or entity to h</w:t>
      </w:r>
      <w:r>
        <w:t>ave any interest in or right of enforcement of any provision of this Declaration or any document or instrument executed or delivered in connection with the Land Use Application or Approvals.</w:t>
      </w:r>
    </w:p>
    <w:p w:rsidR="00F51D46" w:rsidRDefault="00877BAE" w:rsidP="00906D2F">
      <w:pPr>
        <w:pStyle w:val="Heading3"/>
      </w:pPr>
      <w:r>
        <w:t xml:space="preserve">Prior to City instituting any proceeding to enforce the terms or </w:t>
      </w:r>
      <w:r>
        <w:t xml:space="preserve">conditions of this Declaration due to any alleged violation hereof, City shall give the Declarant, every Mortgagee of all or any portion of the Subject Property, and every Party in Interest, </w:t>
      </w:r>
      <w:r w:rsidR="000C0D24">
        <w:t>forty-five</w:t>
      </w:r>
      <w:r>
        <w:t xml:space="preserve"> (</w:t>
      </w:r>
      <w:r w:rsidR="000C0D24">
        <w:t>45</w:t>
      </w:r>
      <w:r>
        <w:t>) days written notice of such alleged violation, du</w:t>
      </w:r>
      <w:r>
        <w:t xml:space="preserve">ring which period the Declarant, any Party in Interest, and Mortgagee shall have the opportunity to effect a cure of such alleged violation or to demonstrate to City why the alleged violation has not occurred.  If a Mortgagee or Party in Interest performs </w:t>
      </w:r>
      <w:r>
        <w:t>any obligation or effects any cure the Declarant is required to perform or cure pursuant to this Declaration, such performance or cure shall be deemed performance on behalf of the Declarant and shall be accepted by any person or entity benefited hereunder,</w:t>
      </w:r>
      <w:r>
        <w:t xml:space="preserve"> including the Commission and the City, as if performed by the Declarant.  If the Declarant, any Party in Interest, or Mortgagee commence to effect such cure within such </w:t>
      </w:r>
      <w:r w:rsidR="000C0D24">
        <w:t xml:space="preserve">forty-five (45) </w:t>
      </w:r>
      <w:r>
        <w:t xml:space="preserve">day period (or if cure is not capable of being commenced within </w:t>
      </w:r>
      <w:r w:rsidR="000C0D24">
        <w:t xml:space="preserve">forty-five (45) </w:t>
      </w:r>
      <w:r w:rsidR="00D7523D">
        <w:t>day period, the Declarant,</w:t>
      </w:r>
      <w:r>
        <w:t xml:space="preserve"> any Party in Interest or Mortgagee commences to effect such cure when such commencement is reasonably possible), and thereafter proceeds diligently toward the effectuation of such cure, the aforesaid </w:t>
      </w:r>
      <w:r w:rsidR="000C0D24">
        <w:t xml:space="preserve">forty-five (45) </w:t>
      </w:r>
      <w:r>
        <w:t>day</w:t>
      </w:r>
      <w:r>
        <w:t xml:space="preserve"> period (as such may be extended in accordance with the preceding clause) shall be extended for so long as the Declarant, any Party in Interest, or Mortgagee continues to proceed diligently with the effectuation of such cure.  In the event that more than o</w:t>
      </w:r>
      <w:r>
        <w:t>ne Declarant exists at any time on the Subject Property, notice shall be provided to all Declarants from whom City has received notice in accordance with Section 6.04 hereof, and the right to cure shall apply equally to all Declarants.</w:t>
      </w:r>
    </w:p>
    <w:p w:rsidR="00F51D46" w:rsidRDefault="00877BAE" w:rsidP="001F5637">
      <w:pPr>
        <w:pStyle w:val="Heading3"/>
      </w:pPr>
      <w:r>
        <w:t>If, after due notice</w:t>
      </w:r>
      <w:r>
        <w:t xml:space="preserve"> and opportunity to cure as set forth in this Declaration, the Declarant, Mortgagee, or a Party in Interest shall fail to cure the alleged violation with respect to the Subject Property, the City may exercise any and all of its rights, including without li</w:t>
      </w:r>
      <w:r>
        <w:t>mitation those delineated in this Section 5.01 and may disapprove any amendment, modification or cancellation of this Declaration on the sole ground that such Declarant is in default of a material Obligation under this Declaration.</w:t>
      </w:r>
    </w:p>
    <w:p w:rsidR="00F51D46" w:rsidRDefault="00877BAE" w:rsidP="001F5637">
      <w:pPr>
        <w:pStyle w:val="Heading3"/>
      </w:pPr>
      <w:r>
        <w:t>The time period for curi</w:t>
      </w:r>
      <w:r>
        <w:t>ng any violation of this Declaration by the Declarant shall be subject to extension due to the occurrence of a  Force Majeure Event subject to the provisions of Section 5.04 hereof.</w:t>
      </w:r>
    </w:p>
    <w:p w:rsidR="00F51D46" w:rsidRDefault="00877BAE" w:rsidP="00063803">
      <w:pPr>
        <w:pStyle w:val="Heading2"/>
      </w:pPr>
      <w:r w:rsidRPr="00D23CFE">
        <w:rPr>
          <w:b/>
          <w:u w:val="single"/>
        </w:rPr>
        <w:t>Rights of Mortgagees</w:t>
      </w:r>
      <w:r>
        <w:t>.  Except as otherwise provided in Section 5.03 of thi</w:t>
      </w:r>
      <w:r>
        <w:t>s Declaration, and notwithstanding Section 5.01, if the Declarant shall fail to observe or perform any of the covenants or provisions contained in this Declaration and such failure continues beyond the cure period set forth in Section 5.01 hereof, the City</w:t>
      </w:r>
      <w:r>
        <w:t xml:space="preserve"> shall, before taking any action to enforce this Declaration, give notice to any Named Mortgagee setting forth the nature of the alleged default.  A Named Mortgagee shall have available to it an additional cure period of the same number of days as the Decl</w:t>
      </w:r>
      <w:r>
        <w:t>arant had in which to cure such alleged default, as extended by Force Majeure Events.  If such Named Mortgagee</w:t>
      </w:r>
      <w:r w:rsidR="00B83D11">
        <w:t xml:space="preserve"> </w:t>
      </w:r>
      <w:r>
        <w:t xml:space="preserve">has commenced to effect a cure during such period and is proceeding with reasonable diligence towards effecting such cure, then such cure period </w:t>
      </w:r>
      <w:r>
        <w:t>shall be extended for so long as such Named Mortgagee</w:t>
      </w:r>
      <w:r w:rsidR="00B83D11">
        <w:t xml:space="preserve"> </w:t>
      </w:r>
      <w:r>
        <w:t>is continuing to proceed with reasonable diligence with the effectuation of such cure.  With respect to the effectuation of any cure by any Named Mortgagee, such Named Mortgagee shall have all the right</w:t>
      </w:r>
      <w:r>
        <w:t xml:space="preserve">s and powers of the Declarant pursuant to this Declaration necessary to cure such default.  If a Named Mortgagee </w:t>
      </w:r>
      <w:r w:rsidR="00B83D11">
        <w:t xml:space="preserve"> </w:t>
      </w:r>
      <w:r>
        <w:t>performs any obligation or effects any cure the Declarant is required to perform or cure pursuant to this Declaration, such performance or cur</w:t>
      </w:r>
      <w:r>
        <w:t>e shall be deemed performance on behalf of the Declarant and shall be accepted by any person or entity benefited hereunder, including the Commission and the City, as if performed by Declarant.  Notwithstanding anything to the contrary contained herein, the</w:t>
      </w:r>
      <w:r>
        <w:t xml:space="preserve"> execution of a Waiver and Subordination or the failure by a Named Mortgagee to cure an alleged default shall not defeat, invalidate, or impair the validity of the lien of the Mortgage in favor of a Named Mortgagee.</w:t>
      </w:r>
    </w:p>
    <w:p w:rsidR="00F51D46" w:rsidRDefault="00877BAE" w:rsidP="00063803">
      <w:pPr>
        <w:pStyle w:val="Heading2"/>
      </w:pPr>
      <w:r w:rsidRPr="00D23CFE">
        <w:rPr>
          <w:b/>
          <w:u w:val="single"/>
        </w:rPr>
        <w:t>Enforcement of Declaration</w:t>
      </w:r>
      <w:r>
        <w:t>.  No person o</w:t>
      </w:r>
      <w:r>
        <w:t>r entity other than Declarant, Mortgagees, the City, or a successor, assign or legal representative of any such party, shall be entitled to enforce, or assert any claim arising out of or in connection with, this Declaration.  This Declaration shall not cre</w:t>
      </w:r>
      <w:r>
        <w:t>ate any enforceable interest or right in any person or entity other than the parties named above in this Section, who shall be deemed to be the proper entities to enforce the provisions of this Declaration, and nothing contained herein shall be deemed to a</w:t>
      </w:r>
      <w:r>
        <w:t>llow any other person or entity, public or private, any interest or right of enforcement of any provision of this Declaration or any document or instrument executed or delivered in connection with the Land Use Application.  Declarant consents to the enforc</w:t>
      </w:r>
      <w:r>
        <w:t xml:space="preserve">ement by the City, administratively or at law or equity, or by any legal means necessary, of the covenants, conditions, easements, agreements and restrictions contained in this Declaration. </w:t>
      </w:r>
    </w:p>
    <w:p w:rsidR="00F51D46" w:rsidRDefault="00877BAE" w:rsidP="00063803">
      <w:pPr>
        <w:pStyle w:val="Heading2"/>
      </w:pPr>
      <w:r w:rsidRPr="00D23CFE">
        <w:rPr>
          <w:b/>
          <w:u w:val="single"/>
        </w:rPr>
        <w:t>Delay By Reason of Force Majeure Event</w:t>
      </w:r>
      <w:r>
        <w:t>.  In the event that Declar</w:t>
      </w:r>
      <w:r>
        <w:t>ant is unable to comply with any Obligations of this Declaration (including, without limitation, any violation of this Declaration under Section 5.01 hereof) as a result of a Force Majeure Event, then Declarant may, upon written notice to the Chair (the “</w:t>
      </w:r>
      <w:r w:rsidRPr="00D23CFE">
        <w:rPr>
          <w:b/>
          <w:u w:val="single"/>
        </w:rPr>
        <w:t>D</w:t>
      </w:r>
      <w:r w:rsidRPr="00D23CFE">
        <w:rPr>
          <w:b/>
          <w:u w:val="single"/>
        </w:rPr>
        <w:t>elay Notice</w:t>
      </w:r>
      <w:r>
        <w:t>”), request that the Chair, certify the existence of such Force Majeure Event.  Such Delay Notice shall include a description of the Force Majeure Event, and, if known to such Declarant, its cause and probable duration and the impact it is reaso</w:t>
      </w:r>
      <w:r>
        <w:t>nably anticipated to have on the completion of the item of work, to the extent known and reasonably determined by the Declarant.  In the exercise of its reasonable judgment the Chair shall, within thirty (30) days of its receipt of the Delay Notice certify</w:t>
      </w:r>
      <w:r>
        <w:t xml:space="preserve"> in writing whether a  Force Majeure Event has occurred.  If the Chair certifies that a Force Majeure Event does not exist, the Chair shall set forth with reasonable specificity, in the certification, the reasons therefor.  If the Chair certifies a Force M</w:t>
      </w:r>
      <w:r>
        <w:t>ajeure Event exists, upon such notification, the Chair shall grant Declarant appropriate relief including notifying DOB that a Building Permit, TCO, or a PCO, as applicable, may be issued for the Development.  Failure to respond within such thirty (30) day</w:t>
      </w:r>
      <w:r>
        <w:t xml:space="preserve"> period shall be deemed to be a certification by the City that Force Majeure Events have occurred.  Any delay caused as the result of a Force Majeure Event shall be deemed to continue only as long as the Force Majeure Event continues.  Upon a certification</w:t>
      </w:r>
      <w:r>
        <w:t xml:space="preserve"> or deemed certification that Force Majeure Events have occurred, the City may grant such Declarant appropriate relief.  Any delay caused as the result of Force Majeure Event shall be deemed to continue only as long as the Force Majeure Event continues.  D</w:t>
      </w:r>
      <w:r>
        <w:t>eclarant shall re-commence the Obligation at the end of the probable duration of the Force Majeure Event specified in the Delay Notice, or such lesser period of time as the Chair reasonably determined the Force Majeure Event shall continue; provided, howev</w:t>
      </w:r>
      <w:r>
        <w:t xml:space="preserve">er, that if the Force Majeure Event has a longer duration than as set forth in the Delay Notice, or as reasonably determined by the Chair, the Chair shall grant additional time to re-commence the Obligation.  </w:t>
      </w:r>
    </w:p>
    <w:p w:rsidR="00F51D46" w:rsidRDefault="00877BAE" w:rsidP="00063803">
      <w:pPr>
        <w:pStyle w:val="Heading1"/>
      </w:pPr>
      <w:r>
        <w:br/>
      </w:r>
      <w:r w:rsidRPr="00063803">
        <w:br/>
      </w:r>
      <w:r>
        <w:t>MISCELLANEOUS</w:t>
      </w:r>
    </w:p>
    <w:p w:rsidR="00F51D46" w:rsidRDefault="00877BAE" w:rsidP="00017546">
      <w:pPr>
        <w:pStyle w:val="Heading2"/>
      </w:pPr>
      <w:r w:rsidRPr="00D23CFE">
        <w:rPr>
          <w:b/>
          <w:u w:val="single"/>
        </w:rPr>
        <w:t>Binding Effect</w:t>
      </w:r>
      <w:r>
        <w:t>.  Except as spe</w:t>
      </w:r>
      <w:r>
        <w:t>cifically set forth in this Declaration and, subject to applicable law, Declarant shall have no obligation to act or refrain from acting with respect to the Subject Property.  The restrictions, covenants, rights and agreements set forth in this Declaration</w:t>
      </w:r>
      <w:r>
        <w:t xml:space="preserve"> shall be binding on Declarant, and any Successor Declarant who acquires a Possessory Interest in the Subject Property, provided that the Declaration shall only be binding upon Declarant, or a Successor Declarant for the period during which such Declarant,</w:t>
      </w:r>
      <w:r>
        <w:t xml:space="preserve"> or such Successor Declarant is the holder of a Possessory Interest in the Subject Property and only to the extent of such Possessory Interest in the Subject Property.  At such time as Declarant, or any Successor Declarant no longer holds a Possessory Inte</w:t>
      </w:r>
      <w:r>
        <w:t xml:space="preserve">rest in the Subject Property, such Declarant’s, or Successor Declarant’s obligation and liability under this Declaration shall wholly cease and terminate except with respect to any liability during the period when such Declarant held a Possessory Interest </w:t>
      </w:r>
      <w:r>
        <w:t>in the Subject Property,</w:t>
      </w:r>
      <w:r w:rsidR="00D7523D">
        <w:t xml:space="preserve"> and the party succeeding such</w:t>
      </w:r>
      <w:r>
        <w:t xml:space="preserve"> Declarant shall be deemed to have assumed the obligations and liability Declarant pursuant to this Declaration with respect to actions or matters occurring subsequent to the date such party succeeds to</w:t>
      </w:r>
      <w:r>
        <w:t xml:space="preserve"> a Possessory Interest in the Subject Property to the extent of such party’s Possessory Interest in the Subject Property.  For purposes of this Declaration, any successor to Declarant shall be deemed a Declarant for such time as such successor holds all or</w:t>
      </w:r>
      <w:r>
        <w:t xml:space="preserve"> any portion of a Possessory Interest in the Subject Property. The provisions of this Declaration shall run with the land and shall inure to the benefit of and be binding upon Declarant. </w:t>
      </w:r>
    </w:p>
    <w:p w:rsidR="00F51D46" w:rsidRDefault="00877BAE" w:rsidP="00017546">
      <w:pPr>
        <w:pStyle w:val="Heading2"/>
      </w:pPr>
      <w:r w:rsidRPr="00D23CFE">
        <w:rPr>
          <w:b/>
          <w:u w:val="single"/>
        </w:rPr>
        <w:t>Limitation of Liability</w:t>
      </w:r>
      <w:r>
        <w:t>.  Notwithstanding anything to the contrary c</w:t>
      </w:r>
      <w:r>
        <w:t>ontained in this Declaration, the City will look solely to the estate and interest Declarant, and any or all of their respective successors and assigns or the subsequent holders of any interest in the Subject Property, on an in rem basis only, for the coll</w:t>
      </w:r>
      <w:r>
        <w:t>ection of any judgment or the enforcement of any remedy based upon any breach by any such party of any of the terms, covenants or conditions of this Declaration.  No other property of any such party or its principals, disclosed or undisclosed, or its partn</w:t>
      </w:r>
      <w:r>
        <w:t xml:space="preserve">ers, shareholders, directors, officers or employees, or said successors, assigns and holders, shall be subject to levy, execution or other enforcement procedure for the satisfaction of the remedies of the City or of any other party or person under or with </w:t>
      </w:r>
      <w:r>
        <w:t>respect to this Declaration, and no such party shall have any personal liability under this Declaration.  In the event that the Development is subject to a declaration of condominium, every condominium unit shall be subject to levy or execution for the sat</w:t>
      </w:r>
      <w:r>
        <w:t>isfaction of any monetary remedies of the City solely to the extent of each Unit Interested Party’s Individual Assessment Interest.  The “</w:t>
      </w:r>
      <w:r w:rsidRPr="00D23CFE">
        <w:rPr>
          <w:b/>
          <w:u w:val="single"/>
        </w:rPr>
        <w:t>Individual Assessment Interest</w:t>
      </w:r>
      <w:r>
        <w:t>” shall mean the Unit Interested Party’s percentage interest in the common elements of t</w:t>
      </w:r>
      <w:r>
        <w:t>he condominium in which such condominium unit is located applied to the assessment imposed on the condominium in which such condominium unit is located.  In the event of a default in the obligations of the condominium as set forth herein, the City shall ha</w:t>
      </w:r>
      <w:r>
        <w:t>ve a lien upon the property owned by each Unit Interested Party solely to the extent of each such Unit Interested Party's unpaid Individual Assessment Interest, which lien shall include such Unit Interested Party’s obligation for the costs of collection of</w:t>
      </w:r>
      <w:r>
        <w:t xml:space="preserve"> such Unit Interested Party's unpaid Individual Assessment Interest.  Such lien shall be subordinate to the lien of any prior recorded Mortgage in respect of such property given to a bank, insurance company, real estate investment trust, private equity or </w:t>
      </w:r>
      <w:r>
        <w:t xml:space="preserve">debt fund, or other institutional lender (including but not limited to a governmental agency), the lien of any real property taxes, and the lien of the board of managers of any such condominium for unpaid common charges of the condominium, and the lien of </w:t>
      </w:r>
      <w:r>
        <w:t>the condominium pursuant to the provisions of Article V hereof.  The City agrees that, prior to enforcing its rights against a Unit Interested Party, the City shall first attempt to enforce its rights under this Declaration against the applicable Declarant</w:t>
      </w:r>
      <w:r>
        <w:t>, and the boards of managers of any condominium association.  In the event that the condominium shall default in its obligations under this Declaration, the City shall have the right to obtain from the boards of managers of any condominium association, the</w:t>
      </w:r>
      <w:r>
        <w:t xml:space="preserve"> names of the Unit Interested Parties who have not paid their Individual Assessment Interests.</w:t>
      </w:r>
    </w:p>
    <w:p w:rsidR="00F51D46" w:rsidRPr="00216B5A" w:rsidRDefault="00877BAE" w:rsidP="00017546">
      <w:pPr>
        <w:pStyle w:val="Heading2"/>
        <w:rPr>
          <w:u w:val="single"/>
        </w:rPr>
      </w:pPr>
      <w:r w:rsidRPr="00D23CFE">
        <w:rPr>
          <w:b/>
          <w:u w:val="single"/>
        </w:rPr>
        <w:t>Condominium and Cooperative Ownership</w:t>
      </w:r>
      <w:r w:rsidR="00017546" w:rsidRPr="00017546">
        <w:t>.</w:t>
      </w:r>
      <w:r w:rsidR="00F203C9">
        <w:t xml:space="preserve"> </w:t>
      </w:r>
    </w:p>
    <w:p w:rsidR="00F51D46" w:rsidRDefault="00877BAE" w:rsidP="00335D18">
      <w:pPr>
        <w:pStyle w:val="Heading3"/>
      </w:pPr>
      <w:r>
        <w:t>In the event that the Subject Property or any portion thereof is developed as, sold, or converted to condominium or coope</w:t>
      </w:r>
      <w:r>
        <w:t>rative ownership requiring the approval of an offering plan by the Attorney General of the State of New York (the “</w:t>
      </w:r>
      <w:r w:rsidRPr="00D23CFE">
        <w:rPr>
          <w:b/>
          <w:u w:val="single"/>
        </w:rPr>
        <w:t>Attorney General</w:t>
      </w:r>
      <w:r>
        <w:t xml:space="preserve">”), Declarant so doing shall provide a copy of this Declaration and any subsequent modification hereof to the Attorney </w:t>
      </w:r>
      <w:r>
        <w:t>General with the offering documents at the time of application for approval of any offering plan for such condominium or cooperative. Declarant shall include in the offering plan, if any, for such condominium or cooperative this Declaration or any portions</w:t>
      </w:r>
      <w:r>
        <w:t xml:space="preserve"> hereof which the Attorney General determines shall be included and, if so included in the offering plan, shall make copies of this Declaration available to condominium purchasers and cooperative shareholders purchasing from such Declarant pursuant to such</w:t>
      </w:r>
      <w:r>
        <w:t xml:space="preserve"> offering plan. Such condominium or cooperative (or the board of managers of a condominium or board directors of a cooperative having a Possessory Interest therein) shall be deemed to be a Declarant for purposes of this Declaration, and shall succeed to a </w:t>
      </w:r>
      <w:r>
        <w:t>prior Declarant’s obligations under this Declaration in accordance with Section 8.01 hereof.</w:t>
      </w:r>
    </w:p>
    <w:p w:rsidR="00420948" w:rsidRPr="00420948" w:rsidRDefault="00877BAE" w:rsidP="00F05A2F">
      <w:pPr>
        <w:pStyle w:val="Heading3"/>
      </w:pPr>
      <w:r>
        <w:t>With respect to any portion of the Subject Property which shall be subject to a condominium, cooperative or similar form of ownership, for the purposes of this Dec</w:t>
      </w:r>
      <w:r>
        <w:t>laration, except as otherwise set forth below, the board of directors or managers of the condominium, cooperative or similar association (such entity, a “</w:t>
      </w:r>
      <w:r w:rsidRPr="00D23CFE">
        <w:rPr>
          <w:b/>
          <w:u w:val="single"/>
        </w:rPr>
        <w:t>Board</w:t>
      </w:r>
      <w:r>
        <w:t>”) or a master association (an “</w:t>
      </w:r>
      <w:r w:rsidRPr="00D23CFE">
        <w:rPr>
          <w:b/>
          <w:u w:val="single"/>
        </w:rPr>
        <w:t>Association</w:t>
      </w:r>
      <w:r>
        <w:t xml:space="preserve">”) selected by the Board and authorized by underlying </w:t>
      </w:r>
      <w:r>
        <w:t>organizational documents to act on behalf of the individual condominium unit owners, cooperative shareholders or similar owners, shall have the sole right as Declarant of such portion of the Subject Property to assess a lien for any costs incurred under th</w:t>
      </w:r>
      <w:r>
        <w:t>is Declaration or to otherwise act as a Declarant with respect to this Declaration, to the extent such action is required for any purpose under this Declaration, and the consent of any individual condominium unit owner, cooperative shareholder or other sim</w:t>
      </w:r>
      <w:r>
        <w:t>ilar owner who may be considered a party in interest under the Zoning Resolution shall not be required. For purposes of this Declaration, the Board or the Association, as the case may be, shall be deemed the sole Party in Interest with respect to the prope</w:t>
      </w:r>
      <w:r>
        <w:t xml:space="preserve">rty interest subjected to the condominium, cooperative or similar ownership arrangement, and any such condominium unit owner, cooperative shareholder or other similar owner, or holder of any lien encumbering any such individual unit, shall not be deemed a </w:t>
      </w:r>
      <w:r>
        <w:t>Party in Interest. For purposes of Section 8.04 hereof, notice to the Board or the Association, as the case may be, shall be deemed notice to the Declarant of the applicable portion of the Subject Property.</w:t>
      </w:r>
    </w:p>
    <w:p w:rsidR="00F51D46" w:rsidRDefault="00877BAE" w:rsidP="00335D18">
      <w:pPr>
        <w:pStyle w:val="Heading2"/>
      </w:pPr>
      <w:r w:rsidRPr="00D23CFE">
        <w:rPr>
          <w:b/>
          <w:u w:val="single"/>
        </w:rPr>
        <w:t>Notices</w:t>
      </w:r>
      <w:r>
        <w:t>.</w:t>
      </w:r>
    </w:p>
    <w:p w:rsidR="00F51D46" w:rsidRDefault="00877BAE" w:rsidP="00335D18">
      <w:pPr>
        <w:pStyle w:val="BodyTextFirstIndent2"/>
      </w:pPr>
      <w:r>
        <w:t>All notices, demands, requests. Consents</w:t>
      </w:r>
      <w:r>
        <w:t>, approvals, and other communications (each, a “</w:t>
      </w:r>
      <w:r w:rsidRPr="00B50E0D">
        <w:rPr>
          <w:b/>
          <w:u w:val="single"/>
        </w:rPr>
        <w:t>Notice</w:t>
      </w:r>
      <w:r>
        <w:t>”) which may be or are permitted, desirable, or required to be given under this Declaration shall be in writing and shall be sent or delivered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030"/>
      </w:tblGrid>
      <w:tr w:rsidR="007B6749" w:rsidTr="00AD7B39">
        <w:tc>
          <w:tcPr>
            <w:tcW w:w="2610" w:type="dxa"/>
          </w:tcPr>
          <w:p w:rsidR="00894360" w:rsidRPr="00AD7B39" w:rsidRDefault="00877BAE" w:rsidP="00894360">
            <w:r w:rsidRPr="00AD7B39">
              <w:t>To Declarant</w:t>
            </w:r>
            <w:r w:rsidR="002718F0">
              <w:t>s</w:t>
            </w:r>
            <w:r w:rsidRPr="00AD7B39">
              <w:t>:</w:t>
            </w:r>
          </w:p>
        </w:tc>
        <w:tc>
          <w:tcPr>
            <w:tcW w:w="6030" w:type="dxa"/>
          </w:tcPr>
          <w:p w:rsidR="00894360" w:rsidRPr="00AD7B39" w:rsidRDefault="00877BAE" w:rsidP="00F25B64">
            <w:r>
              <w:t>New York Blood Center, Inc.</w:t>
            </w:r>
          </w:p>
        </w:tc>
      </w:tr>
      <w:tr w:rsidR="007B6749" w:rsidTr="00AD7B39">
        <w:tc>
          <w:tcPr>
            <w:tcW w:w="2610" w:type="dxa"/>
          </w:tcPr>
          <w:p w:rsidR="00B22E6D" w:rsidRPr="00AD7B39" w:rsidRDefault="00B22E6D" w:rsidP="00B22E6D"/>
        </w:tc>
        <w:tc>
          <w:tcPr>
            <w:tcW w:w="6030" w:type="dxa"/>
          </w:tcPr>
          <w:p w:rsidR="00B22E6D" w:rsidRDefault="00877BAE" w:rsidP="00B22E6D">
            <w:r w:rsidRPr="008562BD">
              <w:t>310 E 67th St</w:t>
            </w:r>
            <w:r>
              <w:t>reet</w:t>
            </w:r>
          </w:p>
          <w:p w:rsidR="00B22E6D" w:rsidRDefault="00877BAE" w:rsidP="00B22E6D">
            <w:r w:rsidRPr="008562BD">
              <w:t>New York, NY 10065</w:t>
            </w:r>
          </w:p>
        </w:tc>
      </w:tr>
      <w:tr w:rsidR="007B6749" w:rsidTr="00AD7B39">
        <w:tc>
          <w:tcPr>
            <w:tcW w:w="2610" w:type="dxa"/>
          </w:tcPr>
          <w:p w:rsidR="00AD7B39" w:rsidRPr="00AD7B39" w:rsidRDefault="00AD7B39" w:rsidP="00AD7B39"/>
        </w:tc>
        <w:tc>
          <w:tcPr>
            <w:tcW w:w="6030" w:type="dxa"/>
          </w:tcPr>
          <w:p w:rsidR="00AD7B39" w:rsidRPr="00AD7B39" w:rsidRDefault="00877BAE" w:rsidP="00B22E6D">
            <w:r w:rsidRPr="00AD7B39">
              <w:t xml:space="preserve">Attention:  </w:t>
            </w:r>
            <w:r w:rsidR="00B22E6D">
              <w:t>Jordana Schwartz, Esq.</w:t>
            </w:r>
          </w:p>
        </w:tc>
      </w:tr>
      <w:tr w:rsidR="007B6749" w:rsidTr="00AD7B39">
        <w:tc>
          <w:tcPr>
            <w:tcW w:w="2610" w:type="dxa"/>
          </w:tcPr>
          <w:p w:rsidR="00AD7B39" w:rsidRPr="00AD7B39" w:rsidRDefault="00AD7B39" w:rsidP="00AD7B39"/>
        </w:tc>
        <w:tc>
          <w:tcPr>
            <w:tcW w:w="6030" w:type="dxa"/>
          </w:tcPr>
          <w:p w:rsidR="00AD7B39" w:rsidRPr="00AD7B39" w:rsidRDefault="00877BAE" w:rsidP="00B22E6D">
            <w:r w:rsidRPr="00AD7B39">
              <w:t xml:space="preserve">Telephone: </w:t>
            </w:r>
            <w:r w:rsidR="00B22E6D" w:rsidRPr="00B22E6D">
              <w:rPr>
                <w:bCs/>
              </w:rPr>
              <w:t>(212) 570-3002</w:t>
            </w:r>
          </w:p>
        </w:tc>
      </w:tr>
      <w:tr w:rsidR="007B6749" w:rsidTr="00AD7B39">
        <w:tc>
          <w:tcPr>
            <w:tcW w:w="2610" w:type="dxa"/>
          </w:tcPr>
          <w:p w:rsidR="00AD7B39" w:rsidRPr="00AD7B39" w:rsidRDefault="00AD7B39" w:rsidP="00AD7B39"/>
        </w:tc>
        <w:tc>
          <w:tcPr>
            <w:tcW w:w="6030" w:type="dxa"/>
          </w:tcPr>
          <w:p w:rsidR="00AD7B39" w:rsidRDefault="00877BAE" w:rsidP="00AD7B39">
            <w:r w:rsidRPr="00AD7B39">
              <w:t xml:space="preserve">E-mail: </w:t>
            </w:r>
            <w:hyperlink r:id="rId8" w:history="1">
              <w:r w:rsidR="00B22E6D" w:rsidRPr="00D8420D">
                <w:rPr>
                  <w:rStyle w:val="Hyperlink"/>
                </w:rPr>
                <w:t>JSchwartz@nybc.org</w:t>
              </w:r>
            </w:hyperlink>
            <w:r w:rsidR="00B22E6D">
              <w:t xml:space="preserve"> </w:t>
            </w:r>
          </w:p>
          <w:p w:rsidR="00420948" w:rsidRPr="00AD7B39" w:rsidRDefault="00420948" w:rsidP="00B22E6D"/>
        </w:tc>
      </w:tr>
      <w:tr w:rsidR="007B6749" w:rsidTr="00AD7B39">
        <w:tc>
          <w:tcPr>
            <w:tcW w:w="2610" w:type="dxa"/>
          </w:tcPr>
          <w:p w:rsidR="00AD7B39" w:rsidRPr="00AD7B39" w:rsidRDefault="00AD7B39" w:rsidP="00AD7B39"/>
        </w:tc>
        <w:tc>
          <w:tcPr>
            <w:tcW w:w="6030" w:type="dxa"/>
          </w:tcPr>
          <w:p w:rsidR="00AD7B39" w:rsidRPr="00AD7B39" w:rsidRDefault="00AD7B39" w:rsidP="00AD7B39"/>
        </w:tc>
      </w:tr>
      <w:tr w:rsidR="007B6749" w:rsidTr="00AD7B39">
        <w:tc>
          <w:tcPr>
            <w:tcW w:w="2610" w:type="dxa"/>
          </w:tcPr>
          <w:p w:rsidR="00AD7B39" w:rsidRPr="00AD7B39" w:rsidRDefault="00877BAE" w:rsidP="00AD7B39">
            <w:r w:rsidRPr="00AD7B39">
              <w:t>With a copy to:</w:t>
            </w:r>
          </w:p>
        </w:tc>
        <w:tc>
          <w:tcPr>
            <w:tcW w:w="6030" w:type="dxa"/>
          </w:tcPr>
          <w:p w:rsidR="00AD7B39" w:rsidRPr="00AD7B39" w:rsidRDefault="00877BAE" w:rsidP="00AD7B39">
            <w:r w:rsidRPr="00AD7B39">
              <w:t>Kramer, Levin, Naftalis &amp; Frankel LLP</w:t>
            </w:r>
          </w:p>
        </w:tc>
      </w:tr>
      <w:tr w:rsidR="007B6749" w:rsidTr="00AD7B39">
        <w:tc>
          <w:tcPr>
            <w:tcW w:w="2610" w:type="dxa"/>
          </w:tcPr>
          <w:p w:rsidR="00AD7B39" w:rsidRPr="00AD7B39" w:rsidRDefault="00AD7B39" w:rsidP="00AD7B39"/>
        </w:tc>
        <w:tc>
          <w:tcPr>
            <w:tcW w:w="6030" w:type="dxa"/>
          </w:tcPr>
          <w:p w:rsidR="00AD7B39" w:rsidRPr="00AD7B39" w:rsidRDefault="00877BAE" w:rsidP="00AD7B39">
            <w:r w:rsidRPr="00AD7B39">
              <w:t xml:space="preserve">1177 Avenue of the </w:t>
            </w:r>
            <w:r w:rsidRPr="00AD7B39">
              <w:t>Americas</w:t>
            </w:r>
          </w:p>
        </w:tc>
      </w:tr>
      <w:tr w:rsidR="007B6749" w:rsidTr="00AD7B39">
        <w:tc>
          <w:tcPr>
            <w:tcW w:w="2610" w:type="dxa"/>
          </w:tcPr>
          <w:p w:rsidR="00AD7B39" w:rsidRPr="00AD7B39" w:rsidRDefault="00AD7B39" w:rsidP="00AD7B39"/>
        </w:tc>
        <w:tc>
          <w:tcPr>
            <w:tcW w:w="6030" w:type="dxa"/>
          </w:tcPr>
          <w:p w:rsidR="00AD7B39" w:rsidRPr="00AD7B39" w:rsidRDefault="00877BAE" w:rsidP="00AD7B39">
            <w:r w:rsidRPr="00AD7B39">
              <w:t>New York, New York 10036</w:t>
            </w:r>
          </w:p>
        </w:tc>
      </w:tr>
      <w:tr w:rsidR="007B6749" w:rsidTr="00AD7B39">
        <w:tc>
          <w:tcPr>
            <w:tcW w:w="2610" w:type="dxa"/>
          </w:tcPr>
          <w:p w:rsidR="00AD7B39" w:rsidRPr="00AD7B39" w:rsidRDefault="00AD7B39" w:rsidP="00AD7B39"/>
        </w:tc>
        <w:tc>
          <w:tcPr>
            <w:tcW w:w="6030" w:type="dxa"/>
          </w:tcPr>
          <w:p w:rsidR="00AD7B39" w:rsidRPr="00AD7B39" w:rsidRDefault="00877BAE" w:rsidP="00B22E6D">
            <w:pPr>
              <w:tabs>
                <w:tab w:val="left" w:pos="1229"/>
              </w:tabs>
            </w:pPr>
            <w:r w:rsidRPr="00AD7B39">
              <w:t>Attention:</w:t>
            </w:r>
            <w:r>
              <w:tab/>
            </w:r>
            <w:r w:rsidR="00B22E6D">
              <w:t>Paul Selver</w:t>
            </w:r>
          </w:p>
        </w:tc>
      </w:tr>
      <w:tr w:rsidR="007B6749" w:rsidTr="00AD7B39">
        <w:tc>
          <w:tcPr>
            <w:tcW w:w="2610" w:type="dxa"/>
          </w:tcPr>
          <w:p w:rsidR="00AD7B39" w:rsidRPr="00AD7B39" w:rsidRDefault="00AD7B39" w:rsidP="00AD7B39"/>
        </w:tc>
        <w:tc>
          <w:tcPr>
            <w:tcW w:w="6030" w:type="dxa"/>
          </w:tcPr>
          <w:p w:rsidR="00AD7B39" w:rsidRPr="00AD7B39" w:rsidRDefault="00877BAE" w:rsidP="00B22E6D">
            <w:pPr>
              <w:tabs>
                <w:tab w:val="left" w:pos="1229"/>
              </w:tabs>
            </w:pPr>
            <w:r w:rsidRPr="00AD7B39">
              <w:t>Telephone:</w:t>
            </w:r>
            <w:r>
              <w:tab/>
            </w:r>
            <w:r w:rsidRPr="00AD7B39">
              <w:t>(212) 715-91</w:t>
            </w:r>
            <w:r w:rsidR="00B22E6D">
              <w:t>99</w:t>
            </w:r>
          </w:p>
        </w:tc>
      </w:tr>
      <w:tr w:rsidR="007B6749" w:rsidTr="00AD7B39">
        <w:tc>
          <w:tcPr>
            <w:tcW w:w="2610" w:type="dxa"/>
          </w:tcPr>
          <w:p w:rsidR="00AD7B39" w:rsidRPr="00AD7B39" w:rsidRDefault="00AD7B39" w:rsidP="00AD7B39"/>
        </w:tc>
        <w:tc>
          <w:tcPr>
            <w:tcW w:w="6030" w:type="dxa"/>
          </w:tcPr>
          <w:p w:rsidR="00AD7B39" w:rsidRPr="00AD7B39" w:rsidRDefault="00877BAE" w:rsidP="00B22E6D">
            <w:r w:rsidRPr="00AD7B39">
              <w:t xml:space="preserve">E-mail: </w:t>
            </w:r>
            <w:r w:rsidR="00B22E6D">
              <w:t>pselver</w:t>
            </w:r>
            <w:r w:rsidRPr="00AD7B39">
              <w:t>@kramerlevin.com</w:t>
            </w:r>
          </w:p>
        </w:tc>
      </w:tr>
      <w:tr w:rsidR="007B6749" w:rsidTr="00AD7B39">
        <w:tc>
          <w:tcPr>
            <w:tcW w:w="2610" w:type="dxa"/>
          </w:tcPr>
          <w:p w:rsidR="00AD7B39" w:rsidRPr="00AD7B39" w:rsidRDefault="00AD7B39" w:rsidP="00AD7B39"/>
        </w:tc>
        <w:tc>
          <w:tcPr>
            <w:tcW w:w="6030" w:type="dxa"/>
          </w:tcPr>
          <w:p w:rsidR="00AD7B39" w:rsidRPr="00AD7B39" w:rsidRDefault="00AD7B39" w:rsidP="00AD7B39"/>
        </w:tc>
      </w:tr>
    </w:tbl>
    <w:p w:rsidR="00AD7B39" w:rsidRDefault="00AD7B39" w:rsidP="00AD7B39"/>
    <w:p w:rsidR="00F51D46" w:rsidRDefault="00877BAE" w:rsidP="00AD7B39">
      <w:pPr>
        <w:pStyle w:val="BlockText"/>
        <w:spacing w:after="120" w:line="480" w:lineRule="auto"/>
        <w:jc w:val="both"/>
      </w:pPr>
      <w:r>
        <w:t>Declarant</w:t>
      </w:r>
      <w:r w:rsidR="00566746">
        <w:t xml:space="preserve">, </w:t>
      </w:r>
      <w:r w:rsidR="004D4005">
        <w:t>the Commission, any Party in Interest, and any Mortgagee may, by notice provided in accordance with this Section 6.04, change any name or address(es) for purposes of this Declaration. In order to be deemed effective any Notice shall be sent or delivered in at least one of the following manners: (A) sent by registered or certified mail, postage pre-paid, return receipt requested, in which case the Notice shall he deemed delivered for all purposes hereunder five days after being actually mailed; (B) sent by overnight courier service, in which case the Notice shall be deemed delivered for all purposes hereunder on the date the Notice was actually received or was refused; or (C) delivered by hand, in which case the Notice will be deemed delivered for all purposes hereunder on the date the Notice was actually received.  All Notices from the Commission to Declarant shall also be sent to every Mortgagee of whom the Commission has notice (“</w:t>
      </w:r>
      <w:r w:rsidR="004D4005" w:rsidRPr="00D23CFE">
        <w:rPr>
          <w:b/>
          <w:u w:val="single"/>
        </w:rPr>
        <w:t>Named Mortgagee</w:t>
      </w:r>
      <w:r w:rsidR="004D4005">
        <w:t>”), and no Notice shall be deemed properly given to Declarant without such notice to such Named Mortgagee(s).  In the event that there is more than one Declarant at any time, any Notice from the City or the Commission shall be provided to all Declarants of whom the Commission has notice.</w:t>
      </w:r>
    </w:p>
    <w:p w:rsidR="00F51D46" w:rsidRDefault="00877BAE" w:rsidP="00AD7B39">
      <w:pPr>
        <w:pStyle w:val="Heading2"/>
      </w:pPr>
      <w:r w:rsidRPr="00D23CFE">
        <w:rPr>
          <w:b/>
          <w:u w:val="single"/>
        </w:rPr>
        <w:t>Certificates</w:t>
      </w:r>
      <w:r>
        <w:t xml:space="preserve">.  The City will, at any time and from time to time upon not less than </w:t>
      </w:r>
      <w:r w:rsidR="00420948">
        <w:t>ten</w:t>
      </w:r>
      <w:r>
        <w:t xml:space="preserve"> days (1</w:t>
      </w:r>
      <w:r w:rsidR="00420948">
        <w:t>0</w:t>
      </w:r>
      <w:r>
        <w:t>) days’ prior notice by Declarant, or a Named Mortgagee, execute, acknowledge, and deliver to Declarant, or such Named Mortgagee, as the case may be, a statement in writing certifying (a) that this Declaration is unmodified and in full force and effect (or</w:t>
      </w:r>
      <w:r>
        <w:t xml:space="preserve"> if there have been modifications or supplements that the same is in full force and effect, as modified or supplemented, and stating the modifications and supplements), (b) whether or not to the best knowledge of the signer of such certificate the Declaran</w:t>
      </w:r>
      <w:r>
        <w:t>t is in default in the performance of any Obligation contained in this Declaration, and, if so, specifying each such default of which the signer may have knowledge, and (c) as to such further matters as Declarant, or such Named Mortgagee may reasonably req</w:t>
      </w:r>
      <w:r>
        <w:t xml:space="preserve">uest.  If the City fails to respond within such </w:t>
      </w:r>
      <w:r w:rsidR="00420948">
        <w:t>ten</w:t>
      </w:r>
      <w:r>
        <w:t xml:space="preserve"> (1</w:t>
      </w:r>
      <w:r w:rsidR="00420948">
        <w:t>0</w:t>
      </w:r>
      <w:r>
        <w:t>) day period, Declarant, or such Named Mortgagee may send a second written notice to the City requesting such statement (which notice shall state in bold upper case type both at the top of the first pa</w:t>
      </w:r>
      <w:r>
        <w:t>ge thereof and on the front of the envelope thereof the following: “SECOND NOTICE PURSUANT TO SECTION 8.04 OF THE DECLARATION OF DEVELOPMENT”).  If the City fails to respond within ten (10) days after receipt of such second notice, it shall be deemed to ha</w:t>
      </w:r>
      <w:r>
        <w:t xml:space="preserve">ve certified (i) that this Declaration is unmodified and in full force and effect (or if there have been modifications or supplements that the same is in full force and effect, as modified or supplemented), (ii) that to the best knowledge of the signer of </w:t>
      </w:r>
      <w:r>
        <w:t>such certificate Declarant is not in default in the performance of any Obligation contained in this Declaration, and (iii) as to such further matters as Declarant, or such Named Mortgagee had requested, and such deemed certification may be relied on by Dec</w:t>
      </w:r>
      <w:r>
        <w:t>larant, or such Named Mortgagee and their respective successors and assigns.</w:t>
      </w:r>
    </w:p>
    <w:p w:rsidR="0048217C" w:rsidRDefault="00877BAE" w:rsidP="00AF2BAE">
      <w:pPr>
        <w:pStyle w:val="Heading2"/>
      </w:pPr>
      <w:r w:rsidRPr="00D23CFE">
        <w:rPr>
          <w:b/>
          <w:u w:val="single"/>
        </w:rPr>
        <w:t>Successors of Declarant</w:t>
      </w:r>
      <w:r>
        <w:t xml:space="preserve">.  </w:t>
      </w:r>
    </w:p>
    <w:p w:rsidR="0048217C" w:rsidRDefault="00877BAE" w:rsidP="0048217C">
      <w:pPr>
        <w:pStyle w:val="Heading3"/>
      </w:pPr>
      <w:r>
        <w:t>References in this Declaration to “Declarant(s)” shall be deemed to include Successor Declarant(s), if any, which are holders of a Possessory Interest i</w:t>
      </w:r>
      <w:r>
        <w:t>n the Subject Property.  Notwithstanding anything to the contrary contained in this Declaration, no holder of a mortgage or other lien in the Subject Property shall be deemed to be a successor of Declarant for any purpose, unless and until such holder obta</w:t>
      </w:r>
      <w:r>
        <w:t>ins a Possessory Interest and provided further that, following succession to such Possessory Interest, the holder of any such mortgage or lien shall not be liable for any obligations of Declarant as the “Declarant” hereunder unless such holder commences to</w:t>
      </w:r>
      <w:r>
        <w:t xml:space="preserve"> develop the Subject Property in accordance with the terms of Section 2.01 hereof or has acquired its interest from a Party who has done so.</w:t>
      </w:r>
    </w:p>
    <w:p w:rsidR="00F51D46" w:rsidRDefault="00877BAE" w:rsidP="00AF2BAE">
      <w:pPr>
        <w:pStyle w:val="Heading2"/>
      </w:pPr>
      <w:r w:rsidRPr="00D23CFE">
        <w:rPr>
          <w:b/>
          <w:u w:val="single"/>
        </w:rPr>
        <w:t>Parties-in-Interest</w:t>
      </w:r>
      <w:r>
        <w:t>.  Declarant shall provide the City with an updated Certification of Parties-in-Interest as of t</w:t>
      </w:r>
      <w:r>
        <w:t>he recording date of this Declaration and will cause any individual, business organization or other entity which, between the date hereof and the effective and recording date and time of this Declaration, becomes a Party-in-Interest in the Subject Property</w:t>
      </w:r>
      <w:r>
        <w:t xml:space="preserve"> or portion thereof to subordinate its interest in the Subject Property to this Declaration.  Any and all mortgages or other liens encumbering the Subject Property after the recording date of this Declaration shall be subject and subordinate hereto as prov</w:t>
      </w:r>
      <w:r>
        <w:t>ided herein.  Notwithstanding anything to the contrary contained in this Declaration, if a portion of the Subject Property is held in condominium ownership, the board of managers of the condominium association shall be deemed to be the sole Party-in-Intere</w:t>
      </w:r>
      <w:r>
        <w:t>st with respect to the premises held in condominium ownership, and the owner of any unit in such condominium, the holder of a lien encumbering any such condominium unit, and the holder of any other occupancy or other interest in such condominium unit shall</w:t>
      </w:r>
      <w:r>
        <w:t xml:space="preserve"> not be deemed to be a Party-in-Interest.</w:t>
      </w:r>
    </w:p>
    <w:p w:rsidR="00F51D46" w:rsidRDefault="00877BAE" w:rsidP="00AF2BAE">
      <w:pPr>
        <w:pStyle w:val="Heading2"/>
      </w:pPr>
      <w:r w:rsidRPr="00D23CFE">
        <w:rPr>
          <w:b/>
          <w:u w:val="single"/>
        </w:rPr>
        <w:t>Governing Law</w:t>
      </w:r>
      <w:r>
        <w:t>.  This Declaration shall be governed and construed by the laws of the State of New York, without regard to principles of conflicts of law.</w:t>
      </w:r>
    </w:p>
    <w:p w:rsidR="00F51D46" w:rsidRDefault="00877BAE" w:rsidP="00AF2BAE">
      <w:pPr>
        <w:pStyle w:val="Heading2"/>
      </w:pPr>
      <w:r w:rsidRPr="00D23CFE">
        <w:rPr>
          <w:b/>
          <w:u w:val="single"/>
        </w:rPr>
        <w:t>Severability</w:t>
      </w:r>
      <w:r>
        <w:t>.  In the event that any provision of this Declar</w:t>
      </w:r>
      <w:r>
        <w:t>ation shall be deemed, decreed, adjudged or determined to be invalid or unlawful by a court of competent jurisdiction, such provision shall be severed and the remainder of this Declaration shall continue to be of full force and effect.</w:t>
      </w:r>
    </w:p>
    <w:p w:rsidR="00F51D46" w:rsidRDefault="00877BAE" w:rsidP="00AF2BAE">
      <w:pPr>
        <w:pStyle w:val="Heading2"/>
      </w:pPr>
      <w:r w:rsidRPr="00D23CFE">
        <w:rPr>
          <w:b/>
          <w:u w:val="single"/>
        </w:rPr>
        <w:t>Applications</w:t>
      </w:r>
      <w:r>
        <w:t>.  Decla</w:t>
      </w:r>
      <w:r>
        <w:t>rant shall include a copy of this Declaration as part of any application pertaining to the Subject Property (as to which the provisions of this Declaration are applicable) submitted to the DOB.</w:t>
      </w:r>
    </w:p>
    <w:p w:rsidR="00F51D46" w:rsidRDefault="00877BAE" w:rsidP="00AF2BAE">
      <w:pPr>
        <w:pStyle w:val="Heading2"/>
      </w:pPr>
      <w:r w:rsidRPr="00D23CFE">
        <w:rPr>
          <w:b/>
          <w:u w:val="single"/>
        </w:rPr>
        <w:t>Incorporation by Reference</w:t>
      </w:r>
      <w:r>
        <w:t xml:space="preserve">.  Any and all exhibits, appendices </w:t>
      </w:r>
      <w:r>
        <w:t>and attachments referred to herein are hereby incorporated fully and made an integral part of this Declaration by reference.</w:t>
      </w:r>
    </w:p>
    <w:p w:rsidR="00F51D46" w:rsidRDefault="00877BAE" w:rsidP="00AF2BAE">
      <w:pPr>
        <w:pStyle w:val="Heading2"/>
      </w:pPr>
      <w:r w:rsidRPr="00D23CFE">
        <w:rPr>
          <w:b/>
          <w:u w:val="single"/>
        </w:rPr>
        <w:t>Counterparts</w:t>
      </w:r>
      <w:r>
        <w:t xml:space="preserve">.  This Declaration may be executed in one or more counterparts, each of which when so executed and delivered shall be </w:t>
      </w:r>
      <w:r>
        <w:t>deemed an original, but all of which taken together shall be construed as and shall constitute but one and the same instrument.</w:t>
      </w:r>
    </w:p>
    <w:p w:rsidR="00F51D46" w:rsidRDefault="00877BAE" w:rsidP="00AF2BAE">
      <w:pPr>
        <w:jc w:val="center"/>
      </w:pPr>
      <w:r>
        <w:t>[Signature Page Follows]</w:t>
      </w:r>
    </w:p>
    <w:p w:rsidR="00AF2BAE" w:rsidRDefault="00877BAE">
      <w:r>
        <w:br w:type="page"/>
      </w:r>
    </w:p>
    <w:p w:rsidR="00F51D46" w:rsidRDefault="00877BAE" w:rsidP="00AF2BAE">
      <w:pPr>
        <w:pStyle w:val="BodyText2"/>
      </w:pPr>
      <w:r w:rsidRPr="00AF2BAE">
        <w:rPr>
          <w:b/>
        </w:rPr>
        <w:t>IN WITNESS WHEREOF</w:t>
      </w:r>
      <w:r>
        <w:t>, Declarant has executed and delivered this Declaration as of the day and year firs</w:t>
      </w:r>
      <w:r>
        <w:t>t above written.</w:t>
      </w:r>
    </w:p>
    <w:p w:rsidR="00F51D46" w:rsidRPr="00A40B37" w:rsidRDefault="00877BAE" w:rsidP="00E1508F">
      <w:pPr>
        <w:pStyle w:val="Signature"/>
      </w:pPr>
      <w:r w:rsidRPr="00A40B37">
        <w:t>DECLARANT:</w:t>
      </w:r>
    </w:p>
    <w:p w:rsidR="00A40B37" w:rsidRPr="00CC18D3" w:rsidRDefault="00A40B37" w:rsidP="00E1508F">
      <w:pPr>
        <w:pStyle w:val="Signature"/>
        <w:rPr>
          <w:b/>
        </w:rPr>
      </w:pPr>
    </w:p>
    <w:p w:rsidR="00F51D46" w:rsidRPr="00CC18D3" w:rsidRDefault="00877BAE" w:rsidP="00E1508F">
      <w:pPr>
        <w:pStyle w:val="Signature"/>
        <w:rPr>
          <w:b/>
        </w:rPr>
      </w:pPr>
      <w:r>
        <w:rPr>
          <w:b/>
        </w:rPr>
        <w:t>New York Blood Center, Inc.</w:t>
      </w:r>
    </w:p>
    <w:p w:rsidR="00F51D46" w:rsidRDefault="00F51D46" w:rsidP="00E1508F">
      <w:pPr>
        <w:pStyle w:val="Signature"/>
      </w:pPr>
    </w:p>
    <w:p w:rsidR="00CC18D3" w:rsidRDefault="00CC18D3" w:rsidP="00E1508F">
      <w:pPr>
        <w:pStyle w:val="Signature"/>
      </w:pPr>
    </w:p>
    <w:p w:rsidR="00F51D46" w:rsidRDefault="00877BAE" w:rsidP="00E1508F">
      <w:pPr>
        <w:pStyle w:val="Signature"/>
      </w:pPr>
      <w:r>
        <w:t>BY:  _________________________________</w:t>
      </w:r>
    </w:p>
    <w:p w:rsidR="00F51D46" w:rsidRDefault="00877BAE" w:rsidP="00E1508F">
      <w:pPr>
        <w:pStyle w:val="Signature"/>
      </w:pPr>
      <w:r>
        <w:tab/>
        <w:t>NAME: _____________________</w:t>
      </w:r>
    </w:p>
    <w:p w:rsidR="00F51D46" w:rsidRPr="00CC18D3" w:rsidRDefault="00877BAE" w:rsidP="00E1508F">
      <w:pPr>
        <w:pStyle w:val="Signature"/>
      </w:pPr>
      <w:r>
        <w:tab/>
        <w:t xml:space="preserve">TITLE: </w:t>
      </w:r>
      <w:r w:rsidR="00CC18D3" w:rsidRPr="00CC18D3">
        <w:t>_____________________</w:t>
      </w:r>
    </w:p>
    <w:p w:rsidR="00F51D46" w:rsidRDefault="00F51D46" w:rsidP="00E1508F">
      <w:pPr>
        <w:pStyle w:val="Signature"/>
      </w:pPr>
    </w:p>
    <w:p w:rsidR="00F51D46" w:rsidRDefault="00F51D46" w:rsidP="00E1508F">
      <w:pPr>
        <w:pStyle w:val="Signature"/>
      </w:pPr>
    </w:p>
    <w:p w:rsidR="00F51D46" w:rsidRDefault="00F51D46" w:rsidP="00E1508F">
      <w:pPr>
        <w:pStyle w:val="Signature"/>
      </w:pPr>
    </w:p>
    <w:p w:rsidR="00F51D46" w:rsidRDefault="00877BAE" w:rsidP="00A22D9F">
      <w:r>
        <w:t>STATE OF NEW YORK</w:t>
      </w:r>
      <w:r>
        <w:tab/>
        <w:t>)</w:t>
      </w:r>
    </w:p>
    <w:p w:rsidR="00F51D46" w:rsidRDefault="00877BAE" w:rsidP="00A22D9F">
      <w:r>
        <w:tab/>
      </w:r>
      <w:r>
        <w:tab/>
      </w:r>
      <w:r>
        <w:tab/>
      </w:r>
      <w:r>
        <w:tab/>
        <w:t>)ss.:</w:t>
      </w:r>
    </w:p>
    <w:p w:rsidR="00F51D46" w:rsidRDefault="00877BAE" w:rsidP="00A22D9F">
      <w:r>
        <w:t>COUNTY OF NEW YORK</w:t>
      </w:r>
      <w:r>
        <w:tab/>
        <w:t>)</w:t>
      </w:r>
    </w:p>
    <w:p w:rsidR="00F51D46" w:rsidRDefault="00F51D46" w:rsidP="00A22D9F"/>
    <w:p w:rsidR="00F51D46" w:rsidRDefault="00877BAE" w:rsidP="00A22D9F">
      <w:pPr>
        <w:pStyle w:val="BodyTextFirstIndent"/>
        <w:jc w:val="both"/>
      </w:pPr>
      <w:r>
        <w:t>On the ______ day of ______________ in the y</w:t>
      </w:r>
      <w:r>
        <w:t>ear 20</w:t>
      </w:r>
      <w:r w:rsidR="00F25B64">
        <w:t>2</w:t>
      </w:r>
      <w:r w:rsidR="006B0AAB">
        <w:t>1</w:t>
      </w:r>
      <w:r>
        <w:t xml:space="preserve"> before me, the undersigned, personally appeared __________________________________________________, personally known to me or proved to me on the basis of satisfactory evidence to be the individual(s) whose name(s) is/are subscribed to the within </w:t>
      </w:r>
      <w:r>
        <w:t>instrument and acknowledged to me that he/she/they executed the same in his/her/their capacity(ies), and that by his/her/their signature(s) on the instrument, the individual(s), or the person or entity upon behalf of which the individual(s) acted, executed</w:t>
      </w:r>
      <w:r>
        <w:t xml:space="preserve"> the instrument.</w:t>
      </w:r>
    </w:p>
    <w:p w:rsidR="00F51D46" w:rsidRDefault="00F51D46" w:rsidP="00A22D9F"/>
    <w:p w:rsidR="00F51D46" w:rsidRDefault="00F51D46" w:rsidP="00A22D9F"/>
    <w:p w:rsidR="00F51D46" w:rsidRDefault="00877BAE" w:rsidP="00A22D9F">
      <w:pPr>
        <w:pStyle w:val="Signature"/>
      </w:pPr>
      <w:r>
        <w:t>____________________________</w:t>
      </w:r>
    </w:p>
    <w:p w:rsidR="00F51D46" w:rsidRDefault="00877BAE" w:rsidP="00A22D9F">
      <w:pPr>
        <w:pStyle w:val="Signature"/>
      </w:pPr>
      <w:r>
        <w:t>Notary Public</w:t>
      </w:r>
    </w:p>
    <w:p w:rsidR="00F51D46" w:rsidRDefault="00F51D46" w:rsidP="00A22D9F"/>
    <w:p w:rsidR="00F51D46" w:rsidRDefault="00F51D46" w:rsidP="00A22D9F"/>
    <w:p w:rsidR="00F51D46" w:rsidRDefault="00F51D46" w:rsidP="00A22D9F"/>
    <w:p w:rsidR="00566746" w:rsidRDefault="00877BAE" w:rsidP="00566746">
      <w:r>
        <w:br w:type="page"/>
      </w:r>
    </w:p>
    <w:p w:rsidR="00566746" w:rsidRDefault="00566746" w:rsidP="00566746"/>
    <w:p w:rsidR="00566746" w:rsidRDefault="00566746" w:rsidP="00566746"/>
    <w:p w:rsidR="00566746" w:rsidRDefault="00566746" w:rsidP="00566746">
      <w:pPr>
        <w:pStyle w:val="TitleB"/>
        <w:jc w:val="left"/>
      </w:pPr>
    </w:p>
    <w:p w:rsidR="00F51D46" w:rsidRDefault="00877BAE" w:rsidP="00A22D9F">
      <w:pPr>
        <w:pStyle w:val="TitleB"/>
      </w:pPr>
      <w:r>
        <w:t>SCHEDULE OF EXHIBITS</w:t>
      </w:r>
    </w:p>
    <w:p w:rsidR="00F51D46" w:rsidRDefault="00877BAE" w:rsidP="00A22D9F">
      <w:pPr>
        <w:rPr>
          <w:b/>
        </w:rPr>
      </w:pPr>
      <w:r w:rsidRPr="00A22D9F">
        <w:rPr>
          <w:b/>
        </w:rPr>
        <w:t xml:space="preserve">EXHIBIT A </w:t>
      </w:r>
      <w:r w:rsidRPr="00A22D9F">
        <w:rPr>
          <w:b/>
        </w:rPr>
        <w:tab/>
        <w:t xml:space="preserve">Metes and Bounds of </w:t>
      </w:r>
      <w:r w:rsidR="00A40B37">
        <w:rPr>
          <w:b/>
        </w:rPr>
        <w:t xml:space="preserve">the </w:t>
      </w:r>
      <w:r w:rsidR="006B0AAB">
        <w:rPr>
          <w:b/>
        </w:rPr>
        <w:t>Subject</w:t>
      </w:r>
      <w:r w:rsidR="00457F23">
        <w:rPr>
          <w:b/>
        </w:rPr>
        <w:t xml:space="preserve"> </w:t>
      </w:r>
      <w:r w:rsidR="00A40B37">
        <w:rPr>
          <w:b/>
        </w:rPr>
        <w:t>Property</w:t>
      </w:r>
    </w:p>
    <w:p w:rsidR="00F51D46" w:rsidRPr="00A22D9F" w:rsidRDefault="00877BAE" w:rsidP="00A22D9F">
      <w:pPr>
        <w:rPr>
          <w:b/>
        </w:rPr>
      </w:pPr>
      <w:r w:rsidRPr="00A22D9F">
        <w:rPr>
          <w:b/>
        </w:rPr>
        <w:t>EXHIBIT B</w:t>
      </w:r>
      <w:r w:rsidRPr="00A22D9F">
        <w:rPr>
          <w:b/>
        </w:rPr>
        <w:tab/>
      </w:r>
      <w:r w:rsidR="00A81D3E" w:rsidRPr="00A22D9F">
        <w:rPr>
          <w:b/>
        </w:rPr>
        <w:t>Parties in Interest Certification</w:t>
      </w:r>
    </w:p>
    <w:p w:rsidR="006B0AAB" w:rsidRDefault="006B0AAB" w:rsidP="00950547">
      <w:pPr>
        <w:pStyle w:val="BodyText"/>
        <w:ind w:firstLine="0"/>
        <w:jc w:val="center"/>
        <w:rPr>
          <w:b/>
        </w:rPr>
      </w:pPr>
    </w:p>
    <w:p w:rsidR="006B0AAB" w:rsidRDefault="006B0AAB" w:rsidP="00950547">
      <w:pPr>
        <w:pStyle w:val="BodyText"/>
        <w:ind w:firstLine="0"/>
        <w:jc w:val="center"/>
        <w:rPr>
          <w:b/>
        </w:rPr>
      </w:pPr>
    </w:p>
    <w:p w:rsidR="006B0AAB" w:rsidRDefault="006B0AAB" w:rsidP="00950547">
      <w:pPr>
        <w:pStyle w:val="BodyText"/>
        <w:ind w:firstLine="0"/>
        <w:jc w:val="center"/>
        <w:rPr>
          <w:b/>
        </w:rPr>
      </w:pPr>
    </w:p>
    <w:p w:rsidR="006B0AAB" w:rsidRDefault="006B0AAB" w:rsidP="00950547">
      <w:pPr>
        <w:pStyle w:val="BodyText"/>
        <w:ind w:firstLine="0"/>
        <w:jc w:val="center"/>
        <w:rPr>
          <w:b/>
        </w:rPr>
      </w:pPr>
    </w:p>
    <w:p w:rsidR="006B0AAB" w:rsidRDefault="006B0AAB" w:rsidP="00950547">
      <w:pPr>
        <w:pStyle w:val="BodyText"/>
        <w:ind w:firstLine="0"/>
        <w:jc w:val="center"/>
        <w:rPr>
          <w:b/>
        </w:rPr>
      </w:pPr>
    </w:p>
    <w:p w:rsidR="006B0AAB" w:rsidRDefault="006B0AAB" w:rsidP="00950547">
      <w:pPr>
        <w:pStyle w:val="BodyText"/>
        <w:ind w:firstLine="0"/>
        <w:jc w:val="center"/>
        <w:rPr>
          <w:b/>
        </w:rPr>
      </w:pPr>
    </w:p>
    <w:p w:rsidR="006B0AAB" w:rsidRDefault="006B0AAB" w:rsidP="00950547">
      <w:pPr>
        <w:pStyle w:val="BodyText"/>
        <w:ind w:firstLine="0"/>
        <w:jc w:val="center"/>
        <w:rPr>
          <w:b/>
        </w:rPr>
      </w:pPr>
    </w:p>
    <w:p w:rsidR="006B0AAB" w:rsidRDefault="006B0AAB" w:rsidP="00950547">
      <w:pPr>
        <w:pStyle w:val="BodyText"/>
        <w:ind w:firstLine="0"/>
        <w:jc w:val="center"/>
        <w:rPr>
          <w:b/>
        </w:rPr>
      </w:pPr>
    </w:p>
    <w:p w:rsidR="006B0AAB" w:rsidRDefault="006B0AAB" w:rsidP="00950547">
      <w:pPr>
        <w:pStyle w:val="BodyText"/>
        <w:ind w:firstLine="0"/>
        <w:jc w:val="center"/>
        <w:rPr>
          <w:b/>
        </w:rPr>
      </w:pPr>
    </w:p>
    <w:p w:rsidR="006B0AAB" w:rsidRDefault="006B0AAB" w:rsidP="00950547">
      <w:pPr>
        <w:pStyle w:val="BodyText"/>
        <w:ind w:firstLine="0"/>
        <w:jc w:val="center"/>
        <w:rPr>
          <w:b/>
        </w:rPr>
      </w:pPr>
    </w:p>
    <w:p w:rsidR="006B0AAB" w:rsidRDefault="006B0AAB" w:rsidP="00950547">
      <w:pPr>
        <w:pStyle w:val="BodyText"/>
        <w:ind w:firstLine="0"/>
        <w:jc w:val="center"/>
        <w:rPr>
          <w:b/>
        </w:rPr>
      </w:pPr>
    </w:p>
    <w:p w:rsidR="006B0AAB" w:rsidRDefault="006B0AAB" w:rsidP="00950547">
      <w:pPr>
        <w:pStyle w:val="BodyText"/>
        <w:ind w:firstLine="0"/>
        <w:jc w:val="center"/>
        <w:rPr>
          <w:b/>
        </w:rPr>
      </w:pPr>
    </w:p>
    <w:p w:rsidR="006B0AAB" w:rsidRDefault="006B0AAB" w:rsidP="00950547">
      <w:pPr>
        <w:pStyle w:val="BodyText"/>
        <w:ind w:firstLine="0"/>
        <w:jc w:val="center"/>
        <w:rPr>
          <w:b/>
        </w:rPr>
      </w:pPr>
    </w:p>
    <w:p w:rsidR="006B0AAB" w:rsidRDefault="006B0AAB" w:rsidP="00950547">
      <w:pPr>
        <w:pStyle w:val="BodyText"/>
        <w:ind w:firstLine="0"/>
        <w:jc w:val="center"/>
        <w:rPr>
          <w:b/>
        </w:rPr>
      </w:pPr>
    </w:p>
    <w:p w:rsidR="006B0AAB" w:rsidRDefault="006B0AAB" w:rsidP="00950547">
      <w:pPr>
        <w:pStyle w:val="BodyText"/>
        <w:ind w:firstLine="0"/>
        <w:jc w:val="center"/>
        <w:rPr>
          <w:b/>
        </w:rPr>
      </w:pPr>
    </w:p>
    <w:p w:rsidR="006B0AAB" w:rsidRDefault="006B0AAB" w:rsidP="00950547">
      <w:pPr>
        <w:pStyle w:val="BodyText"/>
        <w:ind w:firstLine="0"/>
        <w:jc w:val="center"/>
        <w:rPr>
          <w:b/>
        </w:rPr>
      </w:pPr>
    </w:p>
    <w:p w:rsidR="006B0AAB" w:rsidRDefault="006B0AAB" w:rsidP="00950547">
      <w:pPr>
        <w:pStyle w:val="BodyText"/>
        <w:ind w:firstLine="0"/>
        <w:jc w:val="center"/>
        <w:rPr>
          <w:b/>
        </w:rPr>
      </w:pPr>
    </w:p>
    <w:p w:rsidR="006B0AAB" w:rsidRDefault="006B0AAB" w:rsidP="00950547">
      <w:pPr>
        <w:pStyle w:val="BodyText"/>
        <w:ind w:firstLine="0"/>
        <w:jc w:val="center"/>
        <w:rPr>
          <w:b/>
        </w:rPr>
      </w:pPr>
    </w:p>
    <w:p w:rsidR="006B0AAB" w:rsidRDefault="006B0AAB" w:rsidP="00950547">
      <w:pPr>
        <w:pStyle w:val="BodyText"/>
        <w:ind w:firstLine="0"/>
        <w:jc w:val="center"/>
        <w:rPr>
          <w:b/>
        </w:rPr>
      </w:pPr>
    </w:p>
    <w:p w:rsidR="006B0AAB" w:rsidRDefault="006B0AAB" w:rsidP="00950547">
      <w:pPr>
        <w:pStyle w:val="BodyText"/>
        <w:ind w:firstLine="0"/>
        <w:jc w:val="center"/>
        <w:rPr>
          <w:b/>
        </w:rPr>
      </w:pPr>
    </w:p>
    <w:p w:rsidR="006B0AAB" w:rsidRDefault="006B0AAB" w:rsidP="00950547">
      <w:pPr>
        <w:pStyle w:val="BodyText"/>
        <w:ind w:firstLine="0"/>
        <w:jc w:val="center"/>
        <w:rPr>
          <w:b/>
        </w:rPr>
      </w:pPr>
    </w:p>
    <w:p w:rsidR="00F51D46" w:rsidRPr="00A22D9F" w:rsidRDefault="00877BAE" w:rsidP="00950547">
      <w:pPr>
        <w:pStyle w:val="BodyText"/>
        <w:ind w:firstLine="0"/>
        <w:jc w:val="center"/>
        <w:rPr>
          <w:b/>
        </w:rPr>
      </w:pPr>
      <w:r w:rsidRPr="00A22D9F">
        <w:rPr>
          <w:b/>
        </w:rPr>
        <w:t>Exhibit “A”</w:t>
      </w:r>
    </w:p>
    <w:p w:rsidR="00F51D46" w:rsidRDefault="00877BAE" w:rsidP="00950547">
      <w:pPr>
        <w:pStyle w:val="BodyText"/>
        <w:ind w:firstLine="0"/>
        <w:jc w:val="center"/>
      </w:pPr>
      <w:r>
        <w:t xml:space="preserve">Metes and Bounds of </w:t>
      </w:r>
      <w:r w:rsidR="00A40B37">
        <w:t xml:space="preserve">the </w:t>
      </w:r>
      <w:r w:rsidR="006B0AAB">
        <w:t>Subject</w:t>
      </w:r>
      <w:r w:rsidR="00A40B37">
        <w:t xml:space="preserve"> Property</w:t>
      </w:r>
    </w:p>
    <w:p w:rsidR="00AB2EF2" w:rsidRDefault="00877BAE">
      <w:r>
        <w:t>ALL that certain plot, piece or parcel of land, situate, lying and being in the Borough of Manhattan, City, County and State of New York bounded and described as follows:</w:t>
      </w:r>
    </w:p>
    <w:p w:rsidR="00B625F3" w:rsidRDefault="00B625F3"/>
    <w:p w:rsidR="00B625F3" w:rsidRDefault="00877BAE">
      <w:r>
        <w:t>BEGINNING at a point on the southerly side of East 67</w:t>
      </w:r>
      <w:r w:rsidRPr="00B625F3">
        <w:rPr>
          <w:vertAlign w:val="superscript"/>
        </w:rPr>
        <w:t>th</w:t>
      </w:r>
      <w:r>
        <w:t xml:space="preserve"> Street distant 100</w:t>
      </w:r>
      <w:r>
        <w:t xml:space="preserve"> feet, easterly from corner formed by the intersection of the easterly side of Second Avenue with the southerly side of east 67th Street;</w:t>
      </w:r>
    </w:p>
    <w:p w:rsidR="00B625F3" w:rsidRDefault="00B625F3"/>
    <w:p w:rsidR="00B625F3" w:rsidRDefault="00877BAE">
      <w:r>
        <w:t>RUNNING THENCE Easterly along the southerly side of East 67</w:t>
      </w:r>
      <w:r w:rsidRPr="00B625F3">
        <w:rPr>
          <w:vertAlign w:val="superscript"/>
        </w:rPr>
        <w:t>th</w:t>
      </w:r>
      <w:r>
        <w:t xml:space="preserve"> Street 225 feet;</w:t>
      </w:r>
    </w:p>
    <w:p w:rsidR="00B625F3" w:rsidRDefault="00B625F3"/>
    <w:p w:rsidR="00B625F3" w:rsidRDefault="00877BAE">
      <w:r>
        <w:t>RUNNING THENCE Southerly and parallel</w:t>
      </w:r>
      <w:r>
        <w:t xml:space="preserve"> with the easterly side of Second Avenue 200 feet 10 inches to the northerly side of East 66</w:t>
      </w:r>
      <w:r w:rsidRPr="00B625F3">
        <w:rPr>
          <w:vertAlign w:val="superscript"/>
        </w:rPr>
        <w:t>th</w:t>
      </w:r>
      <w:r>
        <w:t xml:space="preserve"> Street;</w:t>
      </w:r>
    </w:p>
    <w:p w:rsidR="00B625F3" w:rsidRDefault="00B625F3"/>
    <w:p w:rsidR="00B625F3" w:rsidRDefault="00877BAE">
      <w:r>
        <w:t>RUNNING THENCE Westerly along the northerly side of East 66</w:t>
      </w:r>
      <w:r w:rsidRPr="00B625F3">
        <w:rPr>
          <w:vertAlign w:val="superscript"/>
        </w:rPr>
        <w:t>th</w:t>
      </w:r>
      <w:r>
        <w:t xml:space="preserve"> Street 225 feet;</w:t>
      </w:r>
    </w:p>
    <w:p w:rsidR="00B625F3" w:rsidRDefault="00B625F3"/>
    <w:p w:rsidR="00B625F3" w:rsidRDefault="00877BAE">
      <w:r>
        <w:t>RUNNING THENCE Northerly and parallel with the easterly side of Second A</w:t>
      </w:r>
      <w:r>
        <w:t>venue</w:t>
      </w:r>
      <w:r w:rsidR="00032FEA">
        <w:t>, 200 feet 10 inches to the southerly side of East 67</w:t>
      </w:r>
      <w:r w:rsidR="00032FEA" w:rsidRPr="00032FEA">
        <w:rPr>
          <w:vertAlign w:val="superscript"/>
        </w:rPr>
        <w:t>th</w:t>
      </w:r>
      <w:r w:rsidR="00032FEA">
        <w:t xml:space="preserve"> Street at the point or place of BEGINNING.</w:t>
      </w:r>
    </w:p>
    <w:p w:rsidR="00B625F3" w:rsidRDefault="00877BAE">
      <w:r>
        <w:t xml:space="preserve"> </w:t>
      </w:r>
    </w:p>
    <w:p w:rsidR="00B625F3" w:rsidRDefault="00B625F3"/>
    <w:p w:rsidR="00B625F3" w:rsidRDefault="00B625F3"/>
    <w:p w:rsidR="00AB2EF2" w:rsidRDefault="00AB2EF2" w:rsidP="00457F23">
      <w:pPr>
        <w:pStyle w:val="BodyText"/>
        <w:jc w:val="center"/>
      </w:pPr>
    </w:p>
    <w:p w:rsidR="00032FEA" w:rsidRDefault="00032FEA" w:rsidP="00457F23">
      <w:pPr>
        <w:pStyle w:val="BodyText"/>
        <w:jc w:val="center"/>
      </w:pPr>
    </w:p>
    <w:p w:rsidR="00032FEA" w:rsidRDefault="00032FEA" w:rsidP="00457F23">
      <w:pPr>
        <w:pStyle w:val="BodyText"/>
        <w:jc w:val="center"/>
      </w:pPr>
    </w:p>
    <w:p w:rsidR="00032FEA" w:rsidRDefault="00032FEA" w:rsidP="00457F23">
      <w:pPr>
        <w:pStyle w:val="BodyText"/>
        <w:jc w:val="center"/>
      </w:pPr>
    </w:p>
    <w:p w:rsidR="00032FEA" w:rsidRDefault="00032FEA" w:rsidP="00457F23">
      <w:pPr>
        <w:pStyle w:val="BodyText"/>
        <w:jc w:val="center"/>
      </w:pPr>
    </w:p>
    <w:p w:rsidR="00032FEA" w:rsidRDefault="00032FEA" w:rsidP="00457F23">
      <w:pPr>
        <w:pStyle w:val="BodyText"/>
        <w:jc w:val="center"/>
      </w:pPr>
    </w:p>
    <w:p w:rsidR="00032FEA" w:rsidRDefault="00032FEA" w:rsidP="00457F23">
      <w:pPr>
        <w:pStyle w:val="BodyText"/>
        <w:jc w:val="center"/>
      </w:pPr>
    </w:p>
    <w:p w:rsidR="00032FEA" w:rsidRDefault="00032FEA" w:rsidP="00457F23">
      <w:pPr>
        <w:pStyle w:val="BodyText"/>
        <w:jc w:val="center"/>
      </w:pPr>
    </w:p>
    <w:p w:rsidR="00032FEA" w:rsidRDefault="00032FEA" w:rsidP="00457F23">
      <w:pPr>
        <w:pStyle w:val="BodyText"/>
        <w:jc w:val="center"/>
      </w:pPr>
    </w:p>
    <w:p w:rsidR="00032FEA" w:rsidRDefault="00032FEA" w:rsidP="00457F23">
      <w:pPr>
        <w:pStyle w:val="BodyText"/>
        <w:jc w:val="center"/>
      </w:pPr>
    </w:p>
    <w:p w:rsidR="00032FEA" w:rsidRDefault="00032FEA" w:rsidP="00457F23">
      <w:pPr>
        <w:pStyle w:val="BodyText"/>
        <w:jc w:val="center"/>
      </w:pPr>
    </w:p>
    <w:p w:rsidR="00032FEA" w:rsidRDefault="00032FEA" w:rsidP="00457F23">
      <w:pPr>
        <w:pStyle w:val="BodyText"/>
        <w:jc w:val="center"/>
      </w:pPr>
    </w:p>
    <w:p w:rsidR="00032FEA" w:rsidRDefault="00032FEA" w:rsidP="00457F23">
      <w:pPr>
        <w:pStyle w:val="BodyText"/>
        <w:jc w:val="center"/>
      </w:pPr>
    </w:p>
    <w:p w:rsidR="00F51D46" w:rsidRPr="00A22D9F" w:rsidRDefault="00877BAE" w:rsidP="00950547">
      <w:pPr>
        <w:pStyle w:val="BodyText"/>
        <w:ind w:firstLine="0"/>
        <w:jc w:val="center"/>
        <w:rPr>
          <w:b/>
        </w:rPr>
      </w:pPr>
      <w:r w:rsidRPr="00A22D9F">
        <w:rPr>
          <w:b/>
        </w:rPr>
        <w:t>Exhibit “B”</w:t>
      </w:r>
    </w:p>
    <w:p w:rsidR="00F51D46" w:rsidRDefault="00877BAE" w:rsidP="00950547">
      <w:pPr>
        <w:pStyle w:val="BodyText"/>
        <w:ind w:firstLine="0"/>
        <w:jc w:val="center"/>
      </w:pPr>
      <w:r>
        <w:t>Parties-in-Interest Certification</w:t>
      </w:r>
    </w:p>
    <w:p w:rsidR="00F51D46" w:rsidRPr="00F51D46" w:rsidRDefault="00877BAE" w:rsidP="00144EC8">
      <w:pPr>
        <w:jc w:val="center"/>
      </w:pPr>
      <w:r>
        <w:br w:type="page"/>
      </w:r>
    </w:p>
    <w:sectPr w:rsidR="00F51D46" w:rsidRPr="00F51D46">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77BAE">
      <w:r>
        <w:separator/>
      </w:r>
    </w:p>
  </w:endnote>
  <w:endnote w:type="continuationSeparator" w:id="0">
    <w:p w:rsidR="00000000" w:rsidRDefault="0087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4D"/>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DCA" w:rsidRDefault="00877BAE">
    <w:pPr>
      <w:pStyle w:val="Footer"/>
    </w:pPr>
    <w:r>
      <w:tab/>
      <w:t xml:space="preserve">- </w:t>
    </w:r>
    <w:r>
      <w:fldChar w:fldCharType="begin"/>
    </w:r>
    <w:r>
      <w:instrText xml:space="preserve"> PAGE   \* MERGEFORMAT </w:instrText>
    </w:r>
    <w:r>
      <w:fldChar w:fldCharType="separate"/>
    </w:r>
    <w:r>
      <w:rPr>
        <w:noProof/>
      </w:rPr>
      <w:t>44</w:t>
    </w:r>
    <w:r>
      <w:rPr>
        <w:noProof/>
      </w:rPr>
      <w:fldChar w:fldCharType="end"/>
    </w:r>
    <w:r>
      <w:rPr>
        <w:noProof/>
      </w:rPr>
      <w:t xml:space="preserve"> -</w:t>
    </w:r>
  </w:p>
  <w:p w:rsidR="003A6DCA" w:rsidRDefault="00877BAE">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sidR="00D03639" w:rsidRPr="00D03639">
      <w:rPr>
        <w:rStyle w:val="DocID"/>
      </w:rPr>
      <w:t>KL3 3353885.5</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DCA" w:rsidRDefault="00877BAE">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sidR="00D03639" w:rsidRPr="00D03639">
      <w:rPr>
        <w:rStyle w:val="DocID"/>
      </w:rPr>
      <w:t>KL3 3353885.5</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77BAE">
      <w:r>
        <w:separator/>
      </w:r>
    </w:p>
  </w:footnote>
  <w:footnote w:type="continuationSeparator" w:id="0">
    <w:p w:rsidR="00000000" w:rsidRDefault="00877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64" w:rsidRDefault="00F25B64" w:rsidP="00122C0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188B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8AEA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6C2B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B276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E433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902E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3627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3C02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F084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A450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5E18F1"/>
    <w:multiLevelType w:val="hybridMultilevel"/>
    <w:tmpl w:val="C9A2EE1E"/>
    <w:lvl w:ilvl="0" w:tplc="BF8AADE6">
      <w:start w:val="6"/>
      <w:numFmt w:val="bullet"/>
      <w:lvlText w:val="-"/>
      <w:lvlJc w:val="left"/>
      <w:pPr>
        <w:ind w:left="1080" w:hanging="360"/>
      </w:pPr>
      <w:rPr>
        <w:rFonts w:ascii="Calibri" w:eastAsia="Calibri" w:hAnsi="Calibri" w:cs="Calibri" w:hint="default"/>
        <w:color w:val="auto"/>
        <w:sz w:val="22"/>
      </w:rPr>
    </w:lvl>
    <w:lvl w:ilvl="1" w:tplc="D638E01E">
      <w:start w:val="1"/>
      <w:numFmt w:val="bullet"/>
      <w:lvlText w:val="o"/>
      <w:lvlJc w:val="left"/>
      <w:pPr>
        <w:ind w:left="1800" w:hanging="360"/>
      </w:pPr>
      <w:rPr>
        <w:rFonts w:ascii="Courier New" w:hAnsi="Courier New" w:cs="Courier New" w:hint="default"/>
      </w:rPr>
    </w:lvl>
    <w:lvl w:ilvl="2" w:tplc="5A025584">
      <w:start w:val="1"/>
      <w:numFmt w:val="bullet"/>
      <w:lvlText w:val=""/>
      <w:lvlJc w:val="left"/>
      <w:pPr>
        <w:ind w:left="2520" w:hanging="360"/>
      </w:pPr>
      <w:rPr>
        <w:rFonts w:ascii="Wingdings" w:hAnsi="Wingdings" w:hint="default"/>
      </w:rPr>
    </w:lvl>
    <w:lvl w:ilvl="3" w:tplc="11C654A6">
      <w:start w:val="1"/>
      <w:numFmt w:val="bullet"/>
      <w:lvlText w:val=""/>
      <w:lvlJc w:val="left"/>
      <w:pPr>
        <w:ind w:left="3240" w:hanging="360"/>
      </w:pPr>
      <w:rPr>
        <w:rFonts w:ascii="Symbol" w:hAnsi="Symbol" w:hint="default"/>
      </w:rPr>
    </w:lvl>
    <w:lvl w:ilvl="4" w:tplc="C18A588E">
      <w:start w:val="1"/>
      <w:numFmt w:val="bullet"/>
      <w:lvlText w:val="o"/>
      <w:lvlJc w:val="left"/>
      <w:pPr>
        <w:ind w:left="3960" w:hanging="360"/>
      </w:pPr>
      <w:rPr>
        <w:rFonts w:ascii="Courier New" w:hAnsi="Courier New" w:cs="Courier New" w:hint="default"/>
      </w:rPr>
    </w:lvl>
    <w:lvl w:ilvl="5" w:tplc="9D0AFA68">
      <w:start w:val="1"/>
      <w:numFmt w:val="bullet"/>
      <w:lvlText w:val=""/>
      <w:lvlJc w:val="left"/>
      <w:pPr>
        <w:ind w:left="4680" w:hanging="360"/>
      </w:pPr>
      <w:rPr>
        <w:rFonts w:ascii="Wingdings" w:hAnsi="Wingdings" w:hint="default"/>
      </w:rPr>
    </w:lvl>
    <w:lvl w:ilvl="6" w:tplc="1554BC24">
      <w:start w:val="1"/>
      <w:numFmt w:val="bullet"/>
      <w:lvlText w:val=""/>
      <w:lvlJc w:val="left"/>
      <w:pPr>
        <w:ind w:left="5400" w:hanging="360"/>
      </w:pPr>
      <w:rPr>
        <w:rFonts w:ascii="Symbol" w:hAnsi="Symbol" w:hint="default"/>
      </w:rPr>
    </w:lvl>
    <w:lvl w:ilvl="7" w:tplc="324872B6">
      <w:start w:val="1"/>
      <w:numFmt w:val="bullet"/>
      <w:lvlText w:val="o"/>
      <w:lvlJc w:val="left"/>
      <w:pPr>
        <w:ind w:left="6120" w:hanging="360"/>
      </w:pPr>
      <w:rPr>
        <w:rFonts w:ascii="Courier New" w:hAnsi="Courier New" w:cs="Courier New" w:hint="default"/>
      </w:rPr>
    </w:lvl>
    <w:lvl w:ilvl="8" w:tplc="15664072">
      <w:start w:val="1"/>
      <w:numFmt w:val="bullet"/>
      <w:lvlText w:val=""/>
      <w:lvlJc w:val="left"/>
      <w:pPr>
        <w:ind w:left="6840" w:hanging="360"/>
      </w:pPr>
      <w:rPr>
        <w:rFonts w:ascii="Wingdings" w:hAnsi="Wingdings" w:hint="default"/>
      </w:rPr>
    </w:lvl>
  </w:abstractNum>
  <w:abstractNum w:abstractNumId="11" w15:restartNumberingAfterBreak="0">
    <w:nsid w:val="1A7A639B"/>
    <w:multiLevelType w:val="multilevel"/>
    <w:tmpl w:val="E80A5CE4"/>
    <w:lvl w:ilvl="0">
      <w:start w:val="1"/>
      <w:numFmt w:val="upperRoman"/>
      <w:suff w:val="nothing"/>
      <w:lvlText w:val="ARTICLE %1."/>
      <w:lvlJc w:val="left"/>
      <w:pPr>
        <w:ind w:left="0" w:firstLine="0"/>
      </w:pPr>
      <w:rPr>
        <w:rFonts w:ascii="9999999" w:hAnsi="9999999" w:cs="Times New Roman" w:hint="default"/>
        <w:b/>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1">
      <w:start w:val="1"/>
      <w:numFmt w:val="decimalZero"/>
      <w:isLgl/>
      <w:lvlText w:val="Section %1.%2"/>
      <w:lvlJc w:val="left"/>
      <w:pPr>
        <w:tabs>
          <w:tab w:val="num" w:pos="0"/>
        </w:tabs>
        <w:ind w:left="0" w:firstLine="720"/>
      </w:pPr>
      <w:rPr>
        <w:rFonts w:ascii="9999999" w:hAnsi="9999999"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lowerLetter"/>
      <w:lvlText w:val="(%3)"/>
      <w:lvlJc w:val="left"/>
      <w:pPr>
        <w:tabs>
          <w:tab w:val="num" w:pos="0"/>
        </w:tabs>
        <w:ind w:left="0" w:firstLine="1440"/>
      </w:pPr>
      <w:rPr>
        <w:rFonts w:ascii="9999999" w:hAnsi="9999999"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lowerRoman"/>
      <w:lvlText w:val="(%4)"/>
      <w:lvlJc w:val="left"/>
      <w:pPr>
        <w:tabs>
          <w:tab w:val="num" w:pos="0"/>
        </w:tabs>
        <w:ind w:left="0" w:firstLine="2160"/>
      </w:pPr>
      <w:rPr>
        <w:rFonts w:ascii="9999999" w:hAnsi="9999999"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decimal"/>
      <w:lvlText w:val="%5."/>
      <w:lvlJc w:val="left"/>
      <w:pPr>
        <w:tabs>
          <w:tab w:val="num" w:pos="0"/>
        </w:tabs>
        <w:ind w:left="0" w:firstLine="2880"/>
      </w:pPr>
      <w:rPr>
        <w:rFonts w:ascii="9999999" w:hAnsi="9999999"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none"/>
      <w:suff w:val="nothing"/>
      <w:lvlText w:val=""/>
      <w:lvlJc w:val="left"/>
      <w:pPr>
        <w:ind w:left="4320" w:hanging="720"/>
      </w:pPr>
      <w:rPr>
        <w:rFonts w:ascii="9999999" w:hAnsi="9999999"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none"/>
      <w:suff w:val="nothing"/>
      <w:lvlText w:val=""/>
      <w:lvlJc w:val="left"/>
      <w:pPr>
        <w:ind w:left="5040" w:hanging="720"/>
      </w:pPr>
      <w:rPr>
        <w:rFonts w:ascii="9999999" w:hAnsi="9999999"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none"/>
      <w:suff w:val="nothing"/>
      <w:lvlText w:val=""/>
      <w:lvlJc w:val="left"/>
      <w:pPr>
        <w:ind w:left="5760" w:hanging="720"/>
      </w:pPr>
      <w:rPr>
        <w:rFonts w:ascii="9999999" w:hAnsi="9999999"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none"/>
      <w:suff w:val="nothing"/>
      <w:lvlText w:val=""/>
      <w:lvlJc w:val="left"/>
      <w:pPr>
        <w:ind w:left="6480" w:hanging="720"/>
      </w:pPr>
      <w:rPr>
        <w:rFonts w:ascii="9999999" w:hAnsi="9999999"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12" w15:restartNumberingAfterBreak="0">
    <w:nsid w:val="1DF33B87"/>
    <w:multiLevelType w:val="multilevel"/>
    <w:tmpl w:val="0D4428EA"/>
    <w:name w:val="Corporate (2)-Scheme 1"/>
    <w:lvl w:ilvl="0">
      <w:start w:val="1"/>
      <w:numFmt w:val="upperRoman"/>
      <w:pStyle w:val="Heading1"/>
      <w:suff w:val="nothing"/>
      <w:lvlText w:val="Article %1"/>
      <w:lvlJc w:val="left"/>
      <w:pPr>
        <w:ind w:left="0" w:firstLine="0"/>
      </w:pPr>
      <w:rPr>
        <w:rFonts w:hint="default"/>
        <w:b/>
        <w:caps/>
        <w:smallCaps w:val="0"/>
        <w:color w:val="000000"/>
        <w:u w:val="single"/>
      </w:rPr>
    </w:lvl>
    <w:lvl w:ilvl="1">
      <w:start w:val="1"/>
      <w:numFmt w:val="decimalZero"/>
      <w:pStyle w:val="Heading2"/>
      <w:isLgl/>
      <w:lvlText w:val="%1.%2"/>
      <w:lvlJc w:val="left"/>
      <w:pPr>
        <w:tabs>
          <w:tab w:val="num" w:pos="1440"/>
        </w:tabs>
        <w:ind w:left="0" w:firstLine="720"/>
      </w:pPr>
      <w:rPr>
        <w:rFonts w:hint="default"/>
        <w:b w:val="0"/>
        <w:caps w:val="0"/>
        <w:color w:val="000000"/>
        <w:u w:val="none"/>
      </w:rPr>
    </w:lvl>
    <w:lvl w:ilvl="2">
      <w:start w:val="1"/>
      <w:numFmt w:val="lowerLetter"/>
      <w:pStyle w:val="Heading3"/>
      <w:lvlText w:val="(%3)"/>
      <w:lvlJc w:val="left"/>
      <w:pPr>
        <w:tabs>
          <w:tab w:val="num" w:pos="2160"/>
        </w:tabs>
        <w:ind w:left="0" w:firstLine="1440"/>
      </w:pPr>
      <w:rPr>
        <w:rFonts w:hint="default"/>
        <w:caps w:val="0"/>
        <w:color w:val="000000"/>
        <w:u w:val="none"/>
      </w:rPr>
    </w:lvl>
    <w:lvl w:ilvl="3">
      <w:start w:val="1"/>
      <w:numFmt w:val="lowerRoman"/>
      <w:pStyle w:val="Heading4"/>
      <w:lvlText w:val="(%4)"/>
      <w:lvlJc w:val="left"/>
      <w:pPr>
        <w:tabs>
          <w:tab w:val="num" w:pos="2880"/>
        </w:tabs>
        <w:ind w:left="0" w:firstLine="2160"/>
      </w:pPr>
      <w:rPr>
        <w:rFonts w:hint="default"/>
        <w:caps w:val="0"/>
        <w:color w:val="000000"/>
        <w:u w:val="none"/>
      </w:rPr>
    </w:lvl>
    <w:lvl w:ilvl="4">
      <w:start w:val="1"/>
      <w:numFmt w:val="decimal"/>
      <w:pStyle w:val="Heading5"/>
      <w:lvlText w:val="%5."/>
      <w:lvlJc w:val="left"/>
      <w:pPr>
        <w:tabs>
          <w:tab w:val="num" w:pos="3600"/>
        </w:tabs>
        <w:ind w:left="0" w:firstLine="2880"/>
      </w:pPr>
      <w:rPr>
        <w:rFonts w:hint="default"/>
        <w:caps w:val="0"/>
        <w:color w:val="000000"/>
        <w:u w:val="none"/>
      </w:rPr>
    </w:lvl>
    <w:lvl w:ilvl="5">
      <w:start w:val="1"/>
      <w:numFmt w:val="upperLetter"/>
      <w:pStyle w:val="Heading6"/>
      <w:lvlText w:val="(%6)"/>
      <w:lvlJc w:val="left"/>
      <w:pPr>
        <w:tabs>
          <w:tab w:val="num" w:pos="4320"/>
        </w:tabs>
        <w:ind w:left="2880" w:firstLine="720"/>
      </w:pPr>
      <w:rPr>
        <w:rFonts w:hint="default"/>
        <w:caps w:val="0"/>
        <w:color w:val="000000"/>
        <w:u w:val="none"/>
      </w:rPr>
    </w:lvl>
    <w:lvl w:ilvl="6">
      <w:start w:val="1"/>
      <w:numFmt w:val="decimal"/>
      <w:pStyle w:val="Heading7"/>
      <w:lvlText w:val="%7."/>
      <w:lvlJc w:val="left"/>
      <w:pPr>
        <w:tabs>
          <w:tab w:val="num" w:pos="5040"/>
        </w:tabs>
        <w:ind w:left="3600" w:firstLine="720"/>
      </w:pPr>
      <w:rPr>
        <w:rFonts w:hint="default"/>
        <w:caps w:val="0"/>
        <w:color w:val="000000"/>
        <w:u w:val="none"/>
      </w:rPr>
    </w:lvl>
    <w:lvl w:ilvl="7">
      <w:start w:val="1"/>
      <w:numFmt w:val="lowerRoman"/>
      <w:pStyle w:val="Heading8"/>
      <w:lvlText w:val="%8."/>
      <w:lvlJc w:val="left"/>
      <w:pPr>
        <w:tabs>
          <w:tab w:val="num" w:pos="5760"/>
        </w:tabs>
        <w:ind w:left="4320" w:firstLine="720"/>
      </w:pPr>
      <w:rPr>
        <w:rFonts w:hint="default"/>
        <w:caps w:val="0"/>
        <w:color w:val="000000"/>
        <w:u w:val="none"/>
      </w:rPr>
    </w:lvl>
    <w:lvl w:ilvl="8">
      <w:start w:val="1"/>
      <w:numFmt w:val="decimal"/>
      <w:pStyle w:val="Heading9"/>
      <w:lvlText w:val="(%9)"/>
      <w:lvlJc w:val="left"/>
      <w:pPr>
        <w:tabs>
          <w:tab w:val="num" w:pos="6480"/>
        </w:tabs>
        <w:ind w:left="5040" w:firstLine="720"/>
      </w:pPr>
      <w:rPr>
        <w:rFonts w:hint="default"/>
        <w:caps w:val="0"/>
        <w:color w:val="000000"/>
        <w:u w:val="none"/>
      </w:rPr>
    </w:lvl>
  </w:abstractNum>
  <w:abstractNum w:abstractNumId="13" w15:restartNumberingAfterBreak="0">
    <w:nsid w:val="22B944BB"/>
    <w:multiLevelType w:val="multilevel"/>
    <w:tmpl w:val="B5225578"/>
    <w:name w:val="(Unnamed Numbering Scheme)"/>
    <w:lvl w:ilvl="0">
      <w:start w:val="1"/>
      <w:numFmt w:val="upperRoman"/>
      <w:suff w:val="nothing"/>
      <w:lvlText w:val="ARTICLE %1"/>
      <w:lvlJc w:val="left"/>
      <w:pPr>
        <w:ind w:left="0" w:firstLine="0"/>
      </w:pPr>
      <w:rPr>
        <w:rFonts w:ascii="Times New Roman Bold" w:hAnsi="Times New Roman Bold" w:hint="default"/>
        <w:b/>
        <w:i w:val="0"/>
        <w:caps/>
        <w:smallCaps w:val="0"/>
        <w:color w:val="010000"/>
        <w:sz w:val="24"/>
        <w:u w:val="single"/>
      </w:rPr>
    </w:lvl>
    <w:lvl w:ilvl="1">
      <w:start w:val="1"/>
      <w:numFmt w:val="decimalZero"/>
      <w:isLgl/>
      <w:lvlText w:val="%1.%2"/>
      <w:lvlJc w:val="left"/>
      <w:pPr>
        <w:tabs>
          <w:tab w:val="num" w:pos="1440"/>
        </w:tabs>
        <w:ind w:left="0" w:firstLine="720"/>
      </w:pPr>
      <w:rPr>
        <w:rFonts w:ascii="Times New Roman" w:hAnsi="Times New Roman" w:cs="Times New Roman" w:hint="default"/>
        <w:b w:val="0"/>
        <w:i w:val="0"/>
        <w:strike w:val="0"/>
        <w:dstrike w:val="0"/>
        <w:color w:val="010000"/>
        <w:sz w:val="24"/>
        <w:u w:val="none"/>
        <w:effect w:val="none"/>
      </w:rPr>
    </w:lvl>
    <w:lvl w:ilvl="2">
      <w:start w:val="1"/>
      <w:numFmt w:val="lowerLetter"/>
      <w:lvlText w:val="(%3)"/>
      <w:lvlJc w:val="left"/>
      <w:pPr>
        <w:tabs>
          <w:tab w:val="num" w:pos="2160"/>
        </w:tabs>
        <w:ind w:left="0" w:firstLine="1440"/>
      </w:pPr>
      <w:rPr>
        <w:b w:val="0"/>
        <w:strike w:val="0"/>
        <w:dstrike w:val="0"/>
        <w:color w:val="010000"/>
        <w:u w:val="none"/>
        <w:effect w:val="none"/>
      </w:rPr>
    </w:lvl>
    <w:lvl w:ilvl="3">
      <w:start w:val="1"/>
      <w:numFmt w:val="lowerRoman"/>
      <w:lvlText w:val="(%4)"/>
      <w:lvlJc w:val="left"/>
      <w:pPr>
        <w:tabs>
          <w:tab w:val="num" w:pos="2880"/>
        </w:tabs>
        <w:ind w:left="0" w:firstLine="2160"/>
      </w:pPr>
      <w:rPr>
        <w:strike w:val="0"/>
        <w:dstrike w:val="0"/>
        <w:color w:val="010000"/>
        <w:u w:val="none"/>
        <w:effect w:val="none"/>
      </w:rPr>
    </w:lvl>
    <w:lvl w:ilvl="4">
      <w:start w:val="1"/>
      <w:numFmt w:val="decimal"/>
      <w:lvlText w:val="%5."/>
      <w:lvlJc w:val="left"/>
      <w:pPr>
        <w:tabs>
          <w:tab w:val="num" w:pos="3600"/>
        </w:tabs>
        <w:ind w:left="720" w:firstLine="2160"/>
      </w:pPr>
      <w:rPr>
        <w:strike w:val="0"/>
        <w:dstrike w:val="0"/>
        <w:color w:val="010000"/>
        <w:u w:val="none"/>
        <w:effect w:val="none"/>
      </w:rPr>
    </w:lvl>
    <w:lvl w:ilvl="5">
      <w:start w:val="1"/>
      <w:numFmt w:val="lowerLetter"/>
      <w:lvlText w:val="%6."/>
      <w:lvlJc w:val="left"/>
      <w:pPr>
        <w:tabs>
          <w:tab w:val="num" w:pos="4320"/>
        </w:tabs>
        <w:ind w:left="0" w:firstLine="3600"/>
      </w:pPr>
      <w:rPr>
        <w:strike w:val="0"/>
        <w:dstrike w:val="0"/>
        <w:color w:val="010000"/>
        <w:u w:val="none"/>
        <w:effect w:val="none"/>
      </w:rPr>
    </w:lvl>
    <w:lvl w:ilvl="6">
      <w:start w:val="1"/>
      <w:numFmt w:val="decimal"/>
      <w:lvlText w:val="%7."/>
      <w:lvlJc w:val="left"/>
      <w:pPr>
        <w:tabs>
          <w:tab w:val="num" w:pos="5040"/>
        </w:tabs>
        <w:ind w:left="0" w:firstLine="4320"/>
      </w:pPr>
      <w:rPr>
        <w:strike w:val="0"/>
        <w:dstrike w:val="0"/>
        <w:color w:val="010000"/>
        <w:u w:val="none"/>
        <w:effect w:val="none"/>
      </w:rPr>
    </w:lvl>
    <w:lvl w:ilvl="7">
      <w:start w:val="1"/>
      <w:numFmt w:val="lowerRoman"/>
      <w:lvlText w:val="%8."/>
      <w:lvlJc w:val="left"/>
      <w:pPr>
        <w:tabs>
          <w:tab w:val="num" w:pos="5760"/>
        </w:tabs>
        <w:ind w:left="0" w:firstLine="5040"/>
      </w:pPr>
      <w:rPr>
        <w:strike w:val="0"/>
        <w:dstrike w:val="0"/>
        <w:color w:val="010000"/>
        <w:u w:val="none"/>
        <w:effect w:val="none"/>
      </w:rPr>
    </w:lvl>
    <w:lvl w:ilvl="8">
      <w:start w:val="1"/>
      <w:numFmt w:val="decimal"/>
      <w:lvlText w:val="(%9)"/>
      <w:lvlJc w:val="left"/>
      <w:pPr>
        <w:tabs>
          <w:tab w:val="num" w:pos="6480"/>
        </w:tabs>
        <w:ind w:left="0" w:firstLine="5760"/>
      </w:pPr>
      <w:rPr>
        <w:strike w:val="0"/>
        <w:dstrike w:val="0"/>
        <w:color w:val="010000"/>
        <w:u w:val="none"/>
        <w:effect w:val="none"/>
      </w:rPr>
    </w:lvl>
  </w:abstractNum>
  <w:abstractNum w:abstractNumId="14" w15:restartNumberingAfterBreak="0">
    <w:nsid w:val="6FE60B2F"/>
    <w:multiLevelType w:val="multilevel"/>
    <w:tmpl w:val="B5CCC658"/>
    <w:name w:val="General Numbering (1)-Scheme 1"/>
    <w:lvl w:ilvl="0">
      <w:start w:val="1"/>
      <w:numFmt w:val="decimal"/>
      <w:lvlText w:val="%1."/>
      <w:lvlJc w:val="left"/>
      <w:pPr>
        <w:tabs>
          <w:tab w:val="num" w:pos="720"/>
        </w:tabs>
        <w:ind w:left="0" w:firstLine="720"/>
      </w:pPr>
      <w:rPr>
        <w:rFonts w:ascii="Times New Roman Bold" w:hAnsi="Times New Roman Bold" w:cs="Times New Roman" w:hint="default"/>
        <w:b w:val="0"/>
        <w:i w:val="0"/>
        <w:caps w:val="0"/>
        <w:smallCaps w:val="0"/>
        <w:strike w:val="0"/>
        <w:dstrike w:val="0"/>
        <w:vanish w:val="0"/>
        <w:webHidden w:val="0"/>
        <w:color w:val="010000"/>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mallCaps w:val="0"/>
        <w:strike w:val="0"/>
        <w:dstrike w:val="0"/>
        <w:vanish w:val="0"/>
        <w:webHidden w:val="0"/>
        <w:color w:val="010000"/>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720" w:firstLine="720"/>
      </w:pPr>
      <w:rPr>
        <w:rFonts w:ascii="Times New Roman" w:hAnsi="Times New Roman" w:cs="Times New Roman" w:hint="default"/>
        <w:b w:val="0"/>
        <w:i w:val="0"/>
        <w:caps w:val="0"/>
        <w:smallCaps w:val="0"/>
        <w:strike w:val="0"/>
        <w:dstrike w:val="0"/>
        <w:vanish w:val="0"/>
        <w:webHidden w:val="0"/>
        <w:color w:val="010000"/>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1440" w:firstLine="720"/>
      </w:pPr>
      <w:rPr>
        <w:rFonts w:ascii="Times New Roman" w:hAnsi="Times New Roman" w:cs="Times New Roman" w:hint="default"/>
        <w:b w:val="0"/>
        <w:i w:val="0"/>
        <w:caps w:val="0"/>
        <w:smallCaps w:val="0"/>
        <w:strike w:val="0"/>
        <w:dstrike w:val="0"/>
        <w:vanish w:val="0"/>
        <w:webHidden w:val="0"/>
        <w:color w:val="010000"/>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1440" w:firstLine="1440"/>
      </w:pPr>
      <w:rPr>
        <w:rFonts w:ascii="Times New Roman" w:hAnsi="Times New Roman" w:cs="Times New Roman" w:hint="default"/>
        <w:b w:val="0"/>
        <w:i w:val="0"/>
        <w:caps w:val="0"/>
        <w:smallCaps w:val="0"/>
        <w:strike w:val="0"/>
        <w:dstrike w:val="0"/>
        <w:vanish w:val="0"/>
        <w:webHidden w:val="0"/>
        <w:color w:val="010000"/>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720"/>
      </w:pPr>
      <w:rPr>
        <w:rFonts w:ascii="Times New Roman" w:hAnsi="Times New Roman" w:cs="Times New Roman" w:hint="default"/>
        <w:b w:val="0"/>
        <w:i w:val="0"/>
        <w:caps w:val="0"/>
        <w:smallCaps w:val="0"/>
        <w:strike w:val="0"/>
        <w:dstrike w:val="0"/>
        <w:vanish w:val="0"/>
        <w:webHidden w:val="0"/>
        <w:color w:val="010000"/>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cs="Times New Roman" w:hint="default"/>
        <w:b w:val="0"/>
        <w:i w:val="0"/>
        <w:caps w:val="0"/>
        <w:smallCaps w:val="0"/>
        <w:strike w:val="0"/>
        <w:dstrike w:val="0"/>
        <w:vanish w:val="0"/>
        <w:webHidden w:val="0"/>
        <w:color w:val="010000"/>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ascii="Times New Roman" w:hAnsi="Times New Roman" w:cs="Times New Roman" w:hint="default"/>
        <w:b w:val="0"/>
        <w:i w:val="0"/>
        <w:caps w:val="0"/>
        <w:smallCaps w:val="0"/>
        <w:strike w:val="0"/>
        <w:dstrike w:val="0"/>
        <w:vanish w:val="0"/>
        <w:webHidden w:val="0"/>
        <w:color w:val="010000"/>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ascii="Times New Roman" w:hAnsi="Times New Roman" w:cs="Times New Roman" w:hint="default"/>
        <w:b w:val="0"/>
        <w:i w:val="0"/>
        <w:caps w:val="0"/>
        <w:smallCaps w:val="0"/>
        <w:strike w:val="0"/>
        <w:dstrike w:val="0"/>
        <w:vanish w:val="0"/>
        <w:webHidden w:val="0"/>
        <w:color w:val="010000"/>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3A018BE"/>
    <w:multiLevelType w:val="hybridMultilevel"/>
    <w:tmpl w:val="564ABCAA"/>
    <w:lvl w:ilvl="0" w:tplc="F502D06A">
      <w:numFmt w:val="bullet"/>
      <w:lvlText w:val="-"/>
      <w:lvlJc w:val="left"/>
      <w:pPr>
        <w:ind w:left="4935" w:hanging="360"/>
      </w:pPr>
      <w:rPr>
        <w:rFonts w:ascii="Times New Roman" w:eastAsiaTheme="minorHAnsi" w:hAnsi="Times New Roman" w:cs="Times New Roman" w:hint="default"/>
      </w:rPr>
    </w:lvl>
    <w:lvl w:ilvl="1" w:tplc="F8C8A6D2" w:tentative="1">
      <w:start w:val="1"/>
      <w:numFmt w:val="bullet"/>
      <w:lvlText w:val="o"/>
      <w:lvlJc w:val="left"/>
      <w:pPr>
        <w:ind w:left="5655" w:hanging="360"/>
      </w:pPr>
      <w:rPr>
        <w:rFonts w:ascii="Courier New" w:hAnsi="Courier New" w:cs="Courier New" w:hint="default"/>
      </w:rPr>
    </w:lvl>
    <w:lvl w:ilvl="2" w:tplc="38D6C948" w:tentative="1">
      <w:start w:val="1"/>
      <w:numFmt w:val="bullet"/>
      <w:lvlText w:val=""/>
      <w:lvlJc w:val="left"/>
      <w:pPr>
        <w:ind w:left="6375" w:hanging="360"/>
      </w:pPr>
      <w:rPr>
        <w:rFonts w:ascii="Wingdings" w:hAnsi="Wingdings" w:hint="default"/>
      </w:rPr>
    </w:lvl>
    <w:lvl w:ilvl="3" w:tplc="843677A2" w:tentative="1">
      <w:start w:val="1"/>
      <w:numFmt w:val="bullet"/>
      <w:lvlText w:val=""/>
      <w:lvlJc w:val="left"/>
      <w:pPr>
        <w:ind w:left="7095" w:hanging="360"/>
      </w:pPr>
      <w:rPr>
        <w:rFonts w:ascii="Symbol" w:hAnsi="Symbol" w:hint="default"/>
      </w:rPr>
    </w:lvl>
    <w:lvl w:ilvl="4" w:tplc="EFA66750" w:tentative="1">
      <w:start w:val="1"/>
      <w:numFmt w:val="bullet"/>
      <w:lvlText w:val="o"/>
      <w:lvlJc w:val="left"/>
      <w:pPr>
        <w:ind w:left="7815" w:hanging="360"/>
      </w:pPr>
      <w:rPr>
        <w:rFonts w:ascii="Courier New" w:hAnsi="Courier New" w:cs="Courier New" w:hint="default"/>
      </w:rPr>
    </w:lvl>
    <w:lvl w:ilvl="5" w:tplc="D0C82EB4" w:tentative="1">
      <w:start w:val="1"/>
      <w:numFmt w:val="bullet"/>
      <w:lvlText w:val=""/>
      <w:lvlJc w:val="left"/>
      <w:pPr>
        <w:ind w:left="8535" w:hanging="360"/>
      </w:pPr>
      <w:rPr>
        <w:rFonts w:ascii="Wingdings" w:hAnsi="Wingdings" w:hint="default"/>
      </w:rPr>
    </w:lvl>
    <w:lvl w:ilvl="6" w:tplc="01F21538" w:tentative="1">
      <w:start w:val="1"/>
      <w:numFmt w:val="bullet"/>
      <w:lvlText w:val=""/>
      <w:lvlJc w:val="left"/>
      <w:pPr>
        <w:ind w:left="9255" w:hanging="360"/>
      </w:pPr>
      <w:rPr>
        <w:rFonts w:ascii="Symbol" w:hAnsi="Symbol" w:hint="default"/>
      </w:rPr>
    </w:lvl>
    <w:lvl w:ilvl="7" w:tplc="7F9C0C9A" w:tentative="1">
      <w:start w:val="1"/>
      <w:numFmt w:val="bullet"/>
      <w:lvlText w:val="o"/>
      <w:lvlJc w:val="left"/>
      <w:pPr>
        <w:ind w:left="9975" w:hanging="360"/>
      </w:pPr>
      <w:rPr>
        <w:rFonts w:ascii="Courier New" w:hAnsi="Courier New" w:cs="Courier New" w:hint="default"/>
      </w:rPr>
    </w:lvl>
    <w:lvl w:ilvl="8" w:tplc="F1A27152" w:tentative="1">
      <w:start w:val="1"/>
      <w:numFmt w:val="bullet"/>
      <w:lvlText w:val=""/>
      <w:lvlJc w:val="left"/>
      <w:pPr>
        <w:ind w:left="10695" w:hanging="360"/>
      </w:pPr>
      <w:rPr>
        <w:rFonts w:ascii="Wingdings" w:hAnsi="Wingdings" w:hint="default"/>
      </w:rPr>
    </w:lvl>
  </w:abstractNum>
  <w:abstractNum w:abstractNumId="16" w15:restartNumberingAfterBreak="0">
    <w:nsid w:val="75B32828"/>
    <w:multiLevelType w:val="multilevel"/>
    <w:tmpl w:val="4426D8C0"/>
    <w:lvl w:ilvl="0">
      <w:start w:val="3"/>
      <w:numFmt w:val="decimal"/>
      <w:lvlText w:val="%1"/>
      <w:lvlJc w:val="left"/>
      <w:pPr>
        <w:ind w:left="420" w:hanging="420"/>
      </w:pPr>
      <w:rPr>
        <w:rFonts w:hint="default"/>
        <w:b/>
        <w:u w:val="single"/>
      </w:rPr>
    </w:lvl>
    <w:lvl w:ilvl="1">
      <w:start w:val="2"/>
      <w:numFmt w:val="decimalZero"/>
      <w:lvlText w:val="%1.%2"/>
      <w:lvlJc w:val="left"/>
      <w:pPr>
        <w:ind w:left="1140" w:hanging="420"/>
      </w:pPr>
      <w:rPr>
        <w:rFonts w:hint="default"/>
        <w:b/>
        <w:u w:val="single"/>
      </w:rPr>
    </w:lvl>
    <w:lvl w:ilvl="2">
      <w:start w:val="1"/>
      <w:numFmt w:val="lowerLetter"/>
      <w:lvlText w:val="(%3)"/>
      <w:lvlJc w:val="left"/>
      <w:pPr>
        <w:ind w:left="2160" w:hanging="720"/>
      </w:pPr>
      <w:rPr>
        <w:rFonts w:ascii="Times New Roman" w:eastAsiaTheme="majorEastAsia" w:hAnsi="Times New Roman" w:cs="Times New Roman"/>
        <w:b w:val="0"/>
        <w:u w:val="non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5"/>
  </w:num>
  <w:num w:numId="8">
    <w:abstractNumId w:val="8"/>
  </w:num>
  <w:num w:numId="9">
    <w:abstractNumId w:val="3"/>
  </w:num>
  <w:num w:numId="10">
    <w:abstractNumId w:val="2"/>
  </w:num>
  <w:num w:numId="11">
    <w:abstractNumId w:val="1"/>
  </w:num>
  <w:num w:numId="12">
    <w:abstractNumId w:val="0"/>
  </w:num>
  <w:num w:numId="13">
    <w:abstractNumId w:val="12"/>
    <w:lvlOverride w:ilvl="0">
      <w:lvl w:ilvl="0">
        <w:start w:val="1"/>
        <w:numFmt w:val="upperRoman"/>
        <w:pStyle w:val="Heading1"/>
        <w:suff w:val="nothing"/>
        <w:lvlText w:val="Article %1"/>
        <w:lvlJc w:val="left"/>
        <w:rPr>
          <w:b/>
          <w:caps/>
          <w:smallCaps w:val="0"/>
          <w:color w:val="000000"/>
          <w:u w:val="single"/>
        </w:rPr>
      </w:lvl>
    </w:lvlOverride>
    <w:lvlOverride w:ilvl="1">
      <w:lvl w:ilvl="1">
        <w:start w:val="1"/>
        <w:numFmt w:val="decimalZero"/>
        <w:pStyle w:val="Heading2"/>
        <w:isLgl/>
        <w:lvlText w:val="%1.%2"/>
        <w:lvlJc w:val="left"/>
        <w:pPr>
          <w:tabs>
            <w:tab w:val="left" w:pos="1440"/>
          </w:tabs>
          <w:ind w:firstLine="720"/>
        </w:pPr>
        <w:rPr>
          <w:caps w:val="0"/>
          <w:color w:val="000000"/>
        </w:rPr>
      </w:lvl>
    </w:lvlOverride>
    <w:lvlOverride w:ilvl="2">
      <w:lvl w:ilvl="2">
        <w:start w:val="1"/>
        <w:numFmt w:val="lowerLetter"/>
        <w:pStyle w:val="Heading3"/>
        <w:lvlText w:val="(%3)"/>
        <w:lvlJc w:val="left"/>
        <w:pPr>
          <w:tabs>
            <w:tab w:val="left" w:pos="2160"/>
          </w:tabs>
          <w:ind w:firstLine="1440"/>
        </w:pPr>
        <w:rPr>
          <w:caps w:val="0"/>
          <w:color w:val="0000FF"/>
          <w:u w:val="double"/>
        </w:rPr>
      </w:lvl>
    </w:lvlOverride>
    <w:lvlOverride w:ilvl="3">
      <w:lvl w:ilvl="3">
        <w:start w:val="1"/>
        <w:numFmt w:val="lowerRoman"/>
        <w:pStyle w:val="Heading4"/>
        <w:lvlText w:val="(%4)"/>
        <w:lvlJc w:val="left"/>
        <w:pPr>
          <w:tabs>
            <w:tab w:val="left" w:pos="2880"/>
          </w:tabs>
          <w:ind w:firstLine="2160"/>
        </w:pPr>
        <w:rPr>
          <w:caps w:val="0"/>
          <w:color w:val="000000"/>
        </w:rPr>
      </w:lvl>
    </w:lvlOverride>
    <w:lvlOverride w:ilvl="4">
      <w:lvl w:ilvl="4">
        <w:start w:val="1"/>
        <w:numFmt w:val="decimal"/>
        <w:pStyle w:val="Heading5"/>
        <w:lvlText w:val="%5."/>
        <w:lvlJc w:val="left"/>
        <w:pPr>
          <w:tabs>
            <w:tab w:val="left" w:pos="3600"/>
          </w:tabs>
          <w:ind w:firstLine="2880"/>
        </w:pPr>
        <w:rPr>
          <w:caps w:val="0"/>
          <w:color w:val="000000"/>
        </w:rPr>
      </w:lvl>
    </w:lvlOverride>
    <w:lvlOverride w:ilvl="5">
      <w:lvl w:ilvl="5">
        <w:start w:val="1"/>
        <w:numFmt w:val="upperLetter"/>
        <w:pStyle w:val="Heading6"/>
        <w:lvlText w:val="(%6)"/>
        <w:lvlJc w:val="left"/>
        <w:pPr>
          <w:tabs>
            <w:tab w:val="left" w:pos="4320"/>
          </w:tabs>
          <w:ind w:left="2880" w:firstLine="720"/>
        </w:pPr>
        <w:rPr>
          <w:caps w:val="0"/>
          <w:color w:val="000000"/>
        </w:rPr>
      </w:lvl>
    </w:lvlOverride>
    <w:lvlOverride w:ilvl="6">
      <w:lvl w:ilvl="6">
        <w:start w:val="1"/>
        <w:numFmt w:val="decimal"/>
        <w:pStyle w:val="Heading7"/>
        <w:lvlText w:val="%7."/>
        <w:lvlJc w:val="left"/>
        <w:pPr>
          <w:tabs>
            <w:tab w:val="left" w:pos="5040"/>
          </w:tabs>
          <w:ind w:left="3600" w:firstLine="720"/>
        </w:pPr>
        <w:rPr>
          <w:caps w:val="0"/>
          <w:color w:val="010000"/>
        </w:rPr>
      </w:lvl>
    </w:lvlOverride>
    <w:lvlOverride w:ilvl="7">
      <w:lvl w:ilvl="7">
        <w:start w:val="1"/>
        <w:numFmt w:val="lowerRoman"/>
        <w:pStyle w:val="Heading8"/>
        <w:lvlText w:val="%8."/>
        <w:lvlJc w:val="left"/>
        <w:pPr>
          <w:tabs>
            <w:tab w:val="left" w:pos="5760"/>
          </w:tabs>
          <w:ind w:left="4320" w:firstLine="720"/>
        </w:pPr>
        <w:rPr>
          <w:caps w:val="0"/>
          <w:color w:val="010000"/>
        </w:rPr>
      </w:lvl>
    </w:lvlOverride>
    <w:lvlOverride w:ilvl="8">
      <w:lvl w:ilvl="8">
        <w:start w:val="1"/>
        <w:numFmt w:val="decimal"/>
        <w:pStyle w:val="Heading9"/>
        <w:lvlText w:val="(%9)"/>
        <w:lvlJc w:val="left"/>
        <w:pPr>
          <w:tabs>
            <w:tab w:val="left" w:pos="6480"/>
          </w:tabs>
          <w:ind w:left="5040" w:firstLine="720"/>
        </w:pPr>
        <w:rPr>
          <w:caps w:val="0"/>
          <w:color w:val="010000"/>
        </w:rPr>
      </w:lvl>
    </w:lvlOverride>
  </w:num>
  <w:num w:numId="14">
    <w:abstractNumId w:val="10"/>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46"/>
    <w:rsid w:val="000004BB"/>
    <w:rsid w:val="00007777"/>
    <w:rsid w:val="00017546"/>
    <w:rsid w:val="0002147D"/>
    <w:rsid w:val="00032FEA"/>
    <w:rsid w:val="00055B1E"/>
    <w:rsid w:val="00056A3D"/>
    <w:rsid w:val="00056D8B"/>
    <w:rsid w:val="00063803"/>
    <w:rsid w:val="00074B82"/>
    <w:rsid w:val="00081493"/>
    <w:rsid w:val="00082C4C"/>
    <w:rsid w:val="000A3667"/>
    <w:rsid w:val="000A3848"/>
    <w:rsid w:val="000A45D3"/>
    <w:rsid w:val="000B4E23"/>
    <w:rsid w:val="000C0D24"/>
    <w:rsid w:val="00122C08"/>
    <w:rsid w:val="00144EC8"/>
    <w:rsid w:val="00163C22"/>
    <w:rsid w:val="00164D01"/>
    <w:rsid w:val="00177EF6"/>
    <w:rsid w:val="001837A3"/>
    <w:rsid w:val="001A0837"/>
    <w:rsid w:val="001B0E4C"/>
    <w:rsid w:val="001F3943"/>
    <w:rsid w:val="001F5637"/>
    <w:rsid w:val="00216B5A"/>
    <w:rsid w:val="00217B59"/>
    <w:rsid w:val="00231024"/>
    <w:rsid w:val="00232105"/>
    <w:rsid w:val="002413C0"/>
    <w:rsid w:val="00252320"/>
    <w:rsid w:val="00253973"/>
    <w:rsid w:val="002631F4"/>
    <w:rsid w:val="002718F0"/>
    <w:rsid w:val="00284675"/>
    <w:rsid w:val="002849E3"/>
    <w:rsid w:val="002930F4"/>
    <w:rsid w:val="002A53B1"/>
    <w:rsid w:val="002B469D"/>
    <w:rsid w:val="002C0653"/>
    <w:rsid w:val="002D5803"/>
    <w:rsid w:val="002F21EF"/>
    <w:rsid w:val="00321E6F"/>
    <w:rsid w:val="00323232"/>
    <w:rsid w:val="00335D18"/>
    <w:rsid w:val="00343C3B"/>
    <w:rsid w:val="00361ADC"/>
    <w:rsid w:val="00375AD1"/>
    <w:rsid w:val="003A6DCA"/>
    <w:rsid w:val="003B0A1C"/>
    <w:rsid w:val="003B6A07"/>
    <w:rsid w:val="003C2C1D"/>
    <w:rsid w:val="003D5636"/>
    <w:rsid w:val="003D5F76"/>
    <w:rsid w:val="003E559B"/>
    <w:rsid w:val="003F20A9"/>
    <w:rsid w:val="00411829"/>
    <w:rsid w:val="00417EBA"/>
    <w:rsid w:val="00420948"/>
    <w:rsid w:val="004311E8"/>
    <w:rsid w:val="00440A39"/>
    <w:rsid w:val="004434D9"/>
    <w:rsid w:val="00453CD1"/>
    <w:rsid w:val="00457F23"/>
    <w:rsid w:val="004679B9"/>
    <w:rsid w:val="00467E5F"/>
    <w:rsid w:val="00470F10"/>
    <w:rsid w:val="004765E8"/>
    <w:rsid w:val="0048217C"/>
    <w:rsid w:val="004C48F9"/>
    <w:rsid w:val="004D4005"/>
    <w:rsid w:val="004F7A6C"/>
    <w:rsid w:val="00537F6B"/>
    <w:rsid w:val="00552F6A"/>
    <w:rsid w:val="005536BF"/>
    <w:rsid w:val="005609BA"/>
    <w:rsid w:val="005622A9"/>
    <w:rsid w:val="00566746"/>
    <w:rsid w:val="00580433"/>
    <w:rsid w:val="00583604"/>
    <w:rsid w:val="005E5439"/>
    <w:rsid w:val="00647529"/>
    <w:rsid w:val="0064759F"/>
    <w:rsid w:val="00656029"/>
    <w:rsid w:val="006871E7"/>
    <w:rsid w:val="006915FD"/>
    <w:rsid w:val="00696FD0"/>
    <w:rsid w:val="006B0AAB"/>
    <w:rsid w:val="006B320A"/>
    <w:rsid w:val="006E2AB0"/>
    <w:rsid w:val="006F3426"/>
    <w:rsid w:val="006F5D14"/>
    <w:rsid w:val="0070770A"/>
    <w:rsid w:val="00730EE1"/>
    <w:rsid w:val="007546FA"/>
    <w:rsid w:val="00783B04"/>
    <w:rsid w:val="0079264A"/>
    <w:rsid w:val="007A0AA6"/>
    <w:rsid w:val="007B6749"/>
    <w:rsid w:val="007D47D4"/>
    <w:rsid w:val="007D6543"/>
    <w:rsid w:val="0082087E"/>
    <w:rsid w:val="00821CF9"/>
    <w:rsid w:val="008300DC"/>
    <w:rsid w:val="008329EB"/>
    <w:rsid w:val="0085602F"/>
    <w:rsid w:val="008562BD"/>
    <w:rsid w:val="008604C2"/>
    <w:rsid w:val="00877BAE"/>
    <w:rsid w:val="00894360"/>
    <w:rsid w:val="008A2034"/>
    <w:rsid w:val="008A41F0"/>
    <w:rsid w:val="008D7325"/>
    <w:rsid w:val="00902088"/>
    <w:rsid w:val="00906D2F"/>
    <w:rsid w:val="009214A0"/>
    <w:rsid w:val="00950547"/>
    <w:rsid w:val="00971662"/>
    <w:rsid w:val="009748EB"/>
    <w:rsid w:val="009C0406"/>
    <w:rsid w:val="009F0A6A"/>
    <w:rsid w:val="009F62A5"/>
    <w:rsid w:val="00A22D9F"/>
    <w:rsid w:val="00A400E7"/>
    <w:rsid w:val="00A40B37"/>
    <w:rsid w:val="00A52558"/>
    <w:rsid w:val="00A72C92"/>
    <w:rsid w:val="00A77B7C"/>
    <w:rsid w:val="00A81D3E"/>
    <w:rsid w:val="00A907ED"/>
    <w:rsid w:val="00A93F62"/>
    <w:rsid w:val="00A96D23"/>
    <w:rsid w:val="00AA1A12"/>
    <w:rsid w:val="00AB2EF2"/>
    <w:rsid w:val="00AD071B"/>
    <w:rsid w:val="00AD224E"/>
    <w:rsid w:val="00AD7B39"/>
    <w:rsid w:val="00AE368A"/>
    <w:rsid w:val="00AE3D5C"/>
    <w:rsid w:val="00AF0DEE"/>
    <w:rsid w:val="00AF2BAE"/>
    <w:rsid w:val="00B22E6D"/>
    <w:rsid w:val="00B3184D"/>
    <w:rsid w:val="00B41487"/>
    <w:rsid w:val="00B50E0D"/>
    <w:rsid w:val="00B625F3"/>
    <w:rsid w:val="00B71199"/>
    <w:rsid w:val="00B80830"/>
    <w:rsid w:val="00B83D11"/>
    <w:rsid w:val="00B84C43"/>
    <w:rsid w:val="00B8609C"/>
    <w:rsid w:val="00BA14BF"/>
    <w:rsid w:val="00BF1FFC"/>
    <w:rsid w:val="00C11094"/>
    <w:rsid w:val="00C129CB"/>
    <w:rsid w:val="00C13C77"/>
    <w:rsid w:val="00C24903"/>
    <w:rsid w:val="00C37734"/>
    <w:rsid w:val="00C41D15"/>
    <w:rsid w:val="00C46C5D"/>
    <w:rsid w:val="00C57CD9"/>
    <w:rsid w:val="00C65C41"/>
    <w:rsid w:val="00C74D0E"/>
    <w:rsid w:val="00CB0224"/>
    <w:rsid w:val="00CB55A6"/>
    <w:rsid w:val="00CC18D3"/>
    <w:rsid w:val="00CD1865"/>
    <w:rsid w:val="00CD5A05"/>
    <w:rsid w:val="00D03639"/>
    <w:rsid w:val="00D07EDD"/>
    <w:rsid w:val="00D11075"/>
    <w:rsid w:val="00D1584E"/>
    <w:rsid w:val="00D23CFE"/>
    <w:rsid w:val="00D32031"/>
    <w:rsid w:val="00D32A6B"/>
    <w:rsid w:val="00D342CC"/>
    <w:rsid w:val="00D37D7D"/>
    <w:rsid w:val="00D46A68"/>
    <w:rsid w:val="00D56BAA"/>
    <w:rsid w:val="00D72E10"/>
    <w:rsid w:val="00D7523D"/>
    <w:rsid w:val="00D764AC"/>
    <w:rsid w:val="00D8420D"/>
    <w:rsid w:val="00D95DFF"/>
    <w:rsid w:val="00DA05A8"/>
    <w:rsid w:val="00DB4766"/>
    <w:rsid w:val="00DE4820"/>
    <w:rsid w:val="00E025BB"/>
    <w:rsid w:val="00E05BD6"/>
    <w:rsid w:val="00E11F7E"/>
    <w:rsid w:val="00E1508F"/>
    <w:rsid w:val="00E307DE"/>
    <w:rsid w:val="00E41042"/>
    <w:rsid w:val="00E76BC7"/>
    <w:rsid w:val="00EA1136"/>
    <w:rsid w:val="00EA31C6"/>
    <w:rsid w:val="00EA611A"/>
    <w:rsid w:val="00EB18A3"/>
    <w:rsid w:val="00EC052F"/>
    <w:rsid w:val="00EC505D"/>
    <w:rsid w:val="00EC74A2"/>
    <w:rsid w:val="00EF01C3"/>
    <w:rsid w:val="00EF1103"/>
    <w:rsid w:val="00F05A2F"/>
    <w:rsid w:val="00F203C9"/>
    <w:rsid w:val="00F25B64"/>
    <w:rsid w:val="00F35B4B"/>
    <w:rsid w:val="00F51D46"/>
    <w:rsid w:val="00F71365"/>
    <w:rsid w:val="00FA2992"/>
    <w:rsid w:val="00FA68AA"/>
    <w:rsid w:val="00FD198D"/>
    <w:rsid w:val="00FD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BA9F8-4576-40F3-AB39-33A787F4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7"/>
    <w:qFormat/>
  </w:style>
  <w:style w:type="paragraph" w:styleId="Heading1">
    <w:name w:val="heading 1"/>
    <w:basedOn w:val="Normal"/>
    <w:next w:val="BodyText"/>
    <w:link w:val="Heading1Char"/>
    <w:qFormat/>
    <w:rsid w:val="00EF1103"/>
    <w:pPr>
      <w:keepLines/>
      <w:numPr>
        <w:numId w:val="1"/>
      </w:numPr>
      <w:spacing w:after="360"/>
      <w:jc w:val="center"/>
      <w:outlineLvl w:val="0"/>
    </w:pPr>
    <w:rPr>
      <w:rFonts w:eastAsiaTheme="majorEastAsia" w:cs="Times New Roman"/>
      <w:b/>
      <w:bCs/>
      <w:szCs w:val="28"/>
      <w:u w:val="single"/>
    </w:rPr>
  </w:style>
  <w:style w:type="paragraph" w:styleId="Heading2">
    <w:name w:val="heading 2"/>
    <w:basedOn w:val="Normal"/>
    <w:next w:val="BodyText"/>
    <w:link w:val="Heading2Char"/>
    <w:qFormat/>
    <w:rsid w:val="00EF1103"/>
    <w:pPr>
      <w:numPr>
        <w:ilvl w:val="1"/>
        <w:numId w:val="1"/>
      </w:numPr>
      <w:tabs>
        <w:tab w:val="left" w:pos="2160"/>
      </w:tabs>
      <w:spacing w:after="120" w:line="480" w:lineRule="auto"/>
      <w:jc w:val="both"/>
      <w:outlineLvl w:val="1"/>
    </w:pPr>
    <w:rPr>
      <w:rFonts w:eastAsiaTheme="majorEastAsia" w:cs="Times New Roman"/>
      <w:bCs/>
      <w:szCs w:val="26"/>
    </w:rPr>
  </w:style>
  <w:style w:type="paragraph" w:styleId="Heading3">
    <w:name w:val="heading 3"/>
    <w:basedOn w:val="Normal"/>
    <w:next w:val="BodyText"/>
    <w:link w:val="Heading3Char"/>
    <w:qFormat/>
    <w:rsid w:val="007D47D4"/>
    <w:pPr>
      <w:numPr>
        <w:ilvl w:val="2"/>
        <w:numId w:val="1"/>
      </w:numPr>
      <w:tabs>
        <w:tab w:val="left" w:pos="2160"/>
      </w:tabs>
      <w:spacing w:after="120" w:line="480" w:lineRule="auto"/>
      <w:jc w:val="both"/>
      <w:outlineLvl w:val="2"/>
    </w:pPr>
    <w:rPr>
      <w:rFonts w:eastAsiaTheme="majorEastAsia" w:cs="Times New Roman"/>
      <w:bCs/>
    </w:rPr>
  </w:style>
  <w:style w:type="paragraph" w:styleId="Heading4">
    <w:name w:val="heading 4"/>
    <w:basedOn w:val="Normal"/>
    <w:next w:val="BodyText"/>
    <w:link w:val="Heading4Char"/>
    <w:unhideWhenUsed/>
    <w:qFormat/>
    <w:rsid w:val="007D47D4"/>
    <w:pPr>
      <w:numPr>
        <w:ilvl w:val="3"/>
        <w:numId w:val="1"/>
      </w:numPr>
      <w:tabs>
        <w:tab w:val="left" w:pos="2880"/>
      </w:tabs>
      <w:spacing w:after="120" w:line="480" w:lineRule="auto"/>
      <w:jc w:val="both"/>
      <w:outlineLvl w:val="3"/>
    </w:pPr>
    <w:rPr>
      <w:rFonts w:eastAsiaTheme="majorEastAsia" w:cs="Times New Roman"/>
      <w:bCs/>
      <w:iCs/>
    </w:rPr>
  </w:style>
  <w:style w:type="paragraph" w:styleId="Heading5">
    <w:name w:val="heading 5"/>
    <w:basedOn w:val="Normal"/>
    <w:next w:val="BodyText"/>
    <w:link w:val="Heading5Char"/>
    <w:unhideWhenUsed/>
    <w:qFormat/>
    <w:rsid w:val="007D47D4"/>
    <w:pPr>
      <w:numPr>
        <w:ilvl w:val="4"/>
        <w:numId w:val="1"/>
      </w:numPr>
      <w:tabs>
        <w:tab w:val="left" w:pos="3600"/>
      </w:tabs>
      <w:spacing w:after="120" w:line="480" w:lineRule="auto"/>
      <w:jc w:val="both"/>
      <w:outlineLvl w:val="4"/>
    </w:pPr>
    <w:rPr>
      <w:rFonts w:eastAsiaTheme="majorEastAsia" w:cs="Times New Roman"/>
    </w:rPr>
  </w:style>
  <w:style w:type="paragraph" w:styleId="Heading6">
    <w:name w:val="heading 6"/>
    <w:basedOn w:val="Normal"/>
    <w:next w:val="BodyText"/>
    <w:link w:val="Heading6Char"/>
    <w:unhideWhenUsed/>
    <w:qFormat/>
    <w:rsid w:val="007D47D4"/>
    <w:pPr>
      <w:numPr>
        <w:ilvl w:val="5"/>
        <w:numId w:val="1"/>
      </w:numPr>
      <w:tabs>
        <w:tab w:val="left" w:pos="4320"/>
      </w:tabs>
      <w:spacing w:after="120" w:line="480" w:lineRule="auto"/>
      <w:outlineLvl w:val="5"/>
    </w:pPr>
    <w:rPr>
      <w:rFonts w:eastAsiaTheme="majorEastAsia" w:cs="Times New Roman"/>
      <w:iCs/>
    </w:rPr>
  </w:style>
  <w:style w:type="paragraph" w:styleId="Heading7">
    <w:name w:val="heading 7"/>
    <w:basedOn w:val="Normal"/>
    <w:next w:val="BodyText"/>
    <w:link w:val="Heading7Char"/>
    <w:unhideWhenUsed/>
    <w:qFormat/>
    <w:rsid w:val="00EF1103"/>
    <w:pPr>
      <w:numPr>
        <w:ilvl w:val="6"/>
        <w:numId w:val="1"/>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unhideWhenUsed/>
    <w:qFormat/>
    <w:rsid w:val="00EF1103"/>
    <w:pPr>
      <w:numPr>
        <w:ilvl w:val="7"/>
        <w:numId w:val="1"/>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unhideWhenUsed/>
    <w:qFormat/>
    <w:rsid w:val="00EF1103"/>
    <w:pPr>
      <w:numPr>
        <w:ilvl w:val="8"/>
        <w:numId w:val="1"/>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103"/>
    <w:rPr>
      <w:rFonts w:eastAsiaTheme="majorEastAsia" w:cs="Times New Roman"/>
      <w:b/>
      <w:bCs/>
      <w:szCs w:val="28"/>
      <w:u w:val="single"/>
    </w:rPr>
  </w:style>
  <w:style w:type="character" w:customStyle="1" w:styleId="Heading2Char">
    <w:name w:val="Heading 2 Char"/>
    <w:basedOn w:val="DefaultParagraphFont"/>
    <w:link w:val="Heading2"/>
    <w:rsid w:val="00EF1103"/>
    <w:rPr>
      <w:rFonts w:eastAsiaTheme="majorEastAsia" w:cs="Times New Roman"/>
      <w:bCs/>
      <w:szCs w:val="26"/>
    </w:rPr>
  </w:style>
  <w:style w:type="character" w:customStyle="1" w:styleId="Heading3Char">
    <w:name w:val="Heading 3 Char"/>
    <w:basedOn w:val="DefaultParagraphFont"/>
    <w:link w:val="Heading3"/>
    <w:rsid w:val="007D47D4"/>
    <w:rPr>
      <w:rFonts w:eastAsiaTheme="majorEastAsia" w:cs="Times New Roman"/>
      <w:bCs/>
    </w:rPr>
  </w:style>
  <w:style w:type="character" w:customStyle="1" w:styleId="Heading4Char">
    <w:name w:val="Heading 4 Char"/>
    <w:basedOn w:val="DefaultParagraphFont"/>
    <w:link w:val="Heading4"/>
    <w:rsid w:val="007D47D4"/>
    <w:rPr>
      <w:rFonts w:eastAsiaTheme="majorEastAsia" w:cs="Times New Roman"/>
      <w:bCs/>
      <w:iCs/>
    </w:rPr>
  </w:style>
  <w:style w:type="character" w:customStyle="1" w:styleId="Heading5Char">
    <w:name w:val="Heading 5 Char"/>
    <w:basedOn w:val="DefaultParagraphFont"/>
    <w:link w:val="Heading5"/>
    <w:rsid w:val="007D47D4"/>
    <w:rPr>
      <w:rFonts w:eastAsiaTheme="majorEastAsia" w:cs="Times New Roman"/>
    </w:rPr>
  </w:style>
  <w:style w:type="character" w:customStyle="1" w:styleId="Heading6Char">
    <w:name w:val="Heading 6 Char"/>
    <w:basedOn w:val="DefaultParagraphFont"/>
    <w:link w:val="Heading6"/>
    <w:rsid w:val="007D47D4"/>
    <w:rPr>
      <w:rFonts w:eastAsiaTheme="majorEastAsia" w:cs="Times New Roman"/>
      <w:iCs/>
    </w:rPr>
  </w:style>
  <w:style w:type="character" w:customStyle="1" w:styleId="Heading7Char">
    <w:name w:val="Heading 7 Char"/>
    <w:basedOn w:val="DefaultParagraphFont"/>
    <w:link w:val="Heading7"/>
    <w:rPr>
      <w:rFonts w:eastAsiaTheme="majorEastAsia" w:cs="Times New Roman"/>
      <w:iCs/>
    </w:rPr>
  </w:style>
  <w:style w:type="character" w:customStyle="1" w:styleId="Heading8Char">
    <w:name w:val="Heading 8 Char"/>
    <w:basedOn w:val="DefaultParagraphFont"/>
    <w:link w:val="Heading8"/>
    <w:rPr>
      <w:rFonts w:eastAsiaTheme="majorEastAsia" w:cs="Times New Roman"/>
      <w:szCs w:val="20"/>
    </w:rPr>
  </w:style>
  <w:style w:type="character" w:customStyle="1" w:styleId="Heading9Char">
    <w:name w:val="Heading 9 Char"/>
    <w:basedOn w:val="DefaultParagraphFont"/>
    <w:link w:val="Heading9"/>
    <w:rPr>
      <w:rFonts w:eastAsiaTheme="majorEastAsia" w:cs="Times New Roman"/>
      <w:iCs/>
      <w:szCs w:val="20"/>
    </w:rPr>
  </w:style>
  <w:style w:type="paragraph" w:customStyle="1" w:styleId="BlockQuote">
    <w:name w:val="Block Quote"/>
    <w:basedOn w:val="Normal"/>
    <w:qFormat/>
    <w:pPr>
      <w:spacing w:after="240"/>
      <w:ind w:left="1440" w:right="1440"/>
    </w:pPr>
  </w:style>
  <w:style w:type="paragraph" w:styleId="BlockText">
    <w:name w:val="Block Text"/>
    <w:basedOn w:val="Normal"/>
    <w:qFormat/>
    <w:pPr>
      <w:spacing w:after="240"/>
    </w:pPr>
    <w:rPr>
      <w:rFonts w:eastAsiaTheme="minorEastAsia"/>
      <w:iCs/>
    </w:rPr>
  </w:style>
  <w:style w:type="paragraph" w:customStyle="1" w:styleId="BlockQuoteJ">
    <w:name w:val="Block Quote J"/>
    <w:basedOn w:val="Normal"/>
    <w:unhideWhenUsed/>
    <w:pPr>
      <w:spacing w:after="240"/>
      <w:ind w:left="1440" w:right="1440"/>
      <w:jc w:val="both"/>
    </w:pPr>
  </w:style>
  <w:style w:type="character" w:customStyle="1" w:styleId="DocID">
    <w:name w:val="DocID"/>
    <w:basedOn w:val="DefaultParagraphFont"/>
    <w:uiPriority w:val="99"/>
    <w:rsid w:val="002F21EF"/>
    <w:rPr>
      <w:rFonts w:ascii="Times New Roman" w:hAnsi="Times New Roman"/>
      <w:sz w:val="14"/>
    </w:rPr>
  </w:style>
  <w:style w:type="paragraph" w:styleId="BodyText">
    <w:name w:val="Body Text"/>
    <w:basedOn w:val="Normal"/>
    <w:link w:val="BodyTextChar"/>
    <w:qFormat/>
    <w:pPr>
      <w:spacing w:after="240"/>
      <w:ind w:firstLine="1440"/>
    </w:pPr>
  </w:style>
  <w:style w:type="character" w:customStyle="1" w:styleId="BodyTextChar">
    <w:name w:val="Body Text Char"/>
    <w:basedOn w:val="DefaultParagraphFont"/>
    <w:link w:val="BodyText"/>
  </w:style>
  <w:style w:type="paragraph" w:styleId="BodyText2">
    <w:name w:val="Body Text 2"/>
    <w:basedOn w:val="Normal"/>
    <w:link w:val="BodyText2Char"/>
    <w:qFormat/>
    <w:pPr>
      <w:spacing w:line="480" w:lineRule="auto"/>
      <w:ind w:firstLine="1440"/>
    </w:pPr>
  </w:style>
  <w:style w:type="character" w:customStyle="1" w:styleId="BodyText2Char">
    <w:name w:val="Body Text 2 Char"/>
    <w:basedOn w:val="DefaultParagraphFont"/>
    <w:link w:val="BodyText2"/>
  </w:style>
  <w:style w:type="paragraph" w:styleId="BodyTextFirstIndent">
    <w:name w:val="Body Text First Indent"/>
    <w:basedOn w:val="BodyText"/>
    <w:link w:val="BodyTextFirstIndentChar"/>
    <w:qFormat/>
    <w:pPr>
      <w:ind w:firstLine="720"/>
    </w:pPr>
  </w:style>
  <w:style w:type="character" w:customStyle="1" w:styleId="BodyTextFirstIndentChar">
    <w:name w:val="Body Text First Indent Char"/>
    <w:basedOn w:val="BodyTextChar"/>
    <w:link w:val="BodyTextFirstIndent"/>
  </w:style>
  <w:style w:type="paragraph" w:styleId="BodyTextIndent">
    <w:name w:val="Body Text Indent"/>
    <w:basedOn w:val="Normal"/>
    <w:link w:val="BodyTextIndentChar"/>
    <w:qFormat/>
    <w:pPr>
      <w:spacing w:after="240"/>
      <w:ind w:left="1440"/>
    </w:pPr>
  </w:style>
  <w:style w:type="character" w:customStyle="1" w:styleId="BodyTextIndentChar">
    <w:name w:val="Body Text Indent Char"/>
    <w:basedOn w:val="DefaultParagraphFont"/>
    <w:link w:val="BodyTextIndent"/>
  </w:style>
  <w:style w:type="paragraph" w:styleId="BodyTextFirstIndent2">
    <w:name w:val="Body Text First Indent 2"/>
    <w:basedOn w:val="Normal"/>
    <w:link w:val="BodyTextFirstIndent2Char"/>
    <w:qFormat/>
    <w:rsid w:val="007D47D4"/>
    <w:pPr>
      <w:spacing w:after="120" w:line="480" w:lineRule="auto"/>
      <w:ind w:firstLine="720"/>
      <w:jc w:val="both"/>
    </w:pPr>
  </w:style>
  <w:style w:type="character" w:customStyle="1" w:styleId="BodyTextFirstIndent2Char">
    <w:name w:val="Body Text First Indent 2 Char"/>
    <w:basedOn w:val="BodyTextIndentChar"/>
    <w:link w:val="BodyTextFirstIndent2"/>
    <w:rsid w:val="007D47D4"/>
  </w:style>
  <w:style w:type="paragraph" w:styleId="BodyTextIndent2">
    <w:name w:val="Body Text Indent 2"/>
    <w:basedOn w:val="Normal"/>
    <w:link w:val="BodyTextIndent2Char"/>
    <w:qFormat/>
    <w:pPr>
      <w:spacing w:after="240" w:line="480" w:lineRule="auto"/>
      <w:ind w:left="1440"/>
    </w:pPr>
  </w:style>
  <w:style w:type="character" w:customStyle="1" w:styleId="BodyTextIndent2Char">
    <w:name w:val="Body Text Indent 2 Char"/>
    <w:basedOn w:val="DefaultParagraphFont"/>
    <w:link w:val="BodyTextIndent2"/>
  </w:style>
  <w:style w:type="paragraph" w:styleId="BodyTextIndent3">
    <w:name w:val="Body Text Indent 3"/>
    <w:basedOn w:val="Normal"/>
    <w:link w:val="BodyTextIndent3Char"/>
    <w:qFormat/>
    <w:pPr>
      <w:spacing w:after="360" w:line="480" w:lineRule="auto"/>
      <w:ind w:left="1440"/>
    </w:pPr>
    <w:rPr>
      <w:szCs w:val="16"/>
    </w:rPr>
  </w:style>
  <w:style w:type="character" w:customStyle="1" w:styleId="BodyTextIndent3Char">
    <w:name w:val="Body Text Indent 3 Char"/>
    <w:basedOn w:val="DefaultParagraphFont"/>
    <w:link w:val="BodyTextIndent3"/>
    <w:rPr>
      <w:szCs w:val="16"/>
    </w:rPr>
  </w:style>
  <w:style w:type="paragraph" w:styleId="Caption">
    <w:name w:val="caption"/>
    <w:basedOn w:val="Normal"/>
    <w:next w:val="Normal"/>
    <w:uiPriority w:val="98"/>
    <w:pPr>
      <w:spacing w:after="240"/>
      <w:jc w:val="center"/>
    </w:pPr>
    <w:rPr>
      <w:b/>
      <w:bCs/>
      <w:szCs w:val="18"/>
    </w:rPr>
  </w:style>
  <w:style w:type="paragraph" w:customStyle="1" w:styleId="TitleB">
    <w:name w:val="Title B"/>
    <w:basedOn w:val="Normal"/>
    <w:next w:val="BodyText"/>
    <w:qFormat/>
    <w:pPr>
      <w:keepNext/>
      <w:spacing w:after="240"/>
      <w:contextualSpacing/>
      <w:jc w:val="center"/>
    </w:pPr>
    <w:rPr>
      <w:b/>
    </w:rPr>
  </w:style>
  <w:style w:type="paragraph" w:styleId="ListBullet">
    <w:name w:val="List Bullet"/>
    <w:basedOn w:val="Normal"/>
    <w:qFormat/>
    <w:pPr>
      <w:numPr>
        <w:numId w:val="2"/>
      </w:numPr>
      <w:spacing w:after="240"/>
    </w:pPr>
  </w:style>
  <w:style w:type="paragraph" w:styleId="Title">
    <w:name w:val="Title"/>
    <w:basedOn w:val="Normal"/>
    <w:next w:val="Normal"/>
    <w:link w:val="TitleChar"/>
    <w:uiPriority w:val="10"/>
    <w:semiHidden/>
    <w:pPr>
      <w:pBdr>
        <w:bottom w:val="single" w:sz="8" w:space="4" w:color="4F81BD" w:themeColor="accent1"/>
      </w:pBdr>
      <w:spacing w:after="300"/>
      <w:contextualSpacing/>
    </w:pPr>
    <w:rPr>
      <w:rFonts w:asciiTheme="majorHAnsi" w:eastAsiaTheme="majorEastAsia" w:hAnsiTheme="majorHAnsi" w:cstheme="majorBidi"/>
      <w:spacing w:val="5"/>
      <w:kern w:val="28"/>
      <w:szCs w:val="52"/>
    </w:rPr>
  </w:style>
  <w:style w:type="character" w:customStyle="1" w:styleId="TitleChar">
    <w:name w:val="Title Char"/>
    <w:basedOn w:val="DefaultParagraphFont"/>
    <w:link w:val="Title"/>
    <w:uiPriority w:val="10"/>
    <w:semiHidden/>
    <w:rPr>
      <w:rFonts w:asciiTheme="majorHAnsi" w:eastAsiaTheme="majorEastAsia" w:hAnsiTheme="majorHAnsi" w:cstheme="majorBidi"/>
      <w:spacing w:val="5"/>
      <w:kern w:val="28"/>
      <w:szCs w:val="52"/>
    </w:rPr>
  </w:style>
  <w:style w:type="paragraph" w:styleId="ListBullet2">
    <w:name w:val="List Bullet 2"/>
    <w:basedOn w:val="Normal"/>
    <w:qFormat/>
    <w:pPr>
      <w:numPr>
        <w:numId w:val="3"/>
      </w:numPr>
      <w:spacing w:after="240"/>
    </w:pPr>
  </w:style>
  <w:style w:type="paragraph" w:styleId="ListBullet3">
    <w:name w:val="List Bullet 3"/>
    <w:basedOn w:val="Normal"/>
    <w:pPr>
      <w:numPr>
        <w:numId w:val="4"/>
      </w:numPr>
      <w:spacing w:after="240"/>
    </w:pPr>
  </w:style>
  <w:style w:type="paragraph" w:styleId="ListBullet4">
    <w:name w:val="List Bullet 4"/>
    <w:basedOn w:val="Normal"/>
    <w:pPr>
      <w:numPr>
        <w:numId w:val="5"/>
      </w:numPr>
      <w:spacing w:after="240"/>
    </w:pPr>
  </w:style>
  <w:style w:type="paragraph" w:styleId="ListBullet5">
    <w:name w:val="List Bullet 5"/>
    <w:basedOn w:val="Normal"/>
    <w:pPr>
      <w:numPr>
        <w:numId w:val="6"/>
      </w:numPr>
      <w:spacing w:after="24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TOCHeading">
    <w:name w:val="TOC Heading"/>
    <w:basedOn w:val="Normal"/>
    <w:next w:val="Normal"/>
    <w:uiPriority w:val="39"/>
    <w:semiHidden/>
    <w:unhideWhenUsed/>
    <w:qFormat/>
    <w:pPr>
      <w:spacing w:after="240"/>
    </w:pPr>
    <w:rPr>
      <w:rFonts w:cstheme="majorBidi"/>
      <w:b/>
    </w:rPr>
  </w:style>
  <w:style w:type="paragraph" w:styleId="Subtitle">
    <w:name w:val="Subtitle"/>
    <w:basedOn w:val="Normal"/>
    <w:next w:val="Normal"/>
    <w:link w:val="SubtitleChar"/>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Pr>
      <w:rFonts w:asciiTheme="majorHAnsi" w:eastAsiaTheme="majorEastAsia" w:hAnsiTheme="majorHAnsi" w:cstheme="majorBidi"/>
      <w:iCs/>
      <w:spacing w:val="15"/>
    </w:rPr>
  </w:style>
  <w:style w:type="paragraph" w:customStyle="1" w:styleId="TitleU">
    <w:name w:val="Title U"/>
    <w:basedOn w:val="Normal"/>
    <w:next w:val="BodyText"/>
    <w:qFormat/>
    <w:pPr>
      <w:keepNext/>
      <w:spacing w:after="240"/>
      <w:jc w:val="center"/>
    </w:pPr>
    <w:rPr>
      <w:u w:val="single"/>
    </w:rPr>
  </w:style>
  <w:style w:type="paragraph" w:styleId="BalloonText">
    <w:name w:val="Balloon Text"/>
    <w:basedOn w:val="Normal"/>
    <w:link w:val="BalloonTextChar"/>
    <w:uiPriority w:val="99"/>
    <w:semiHidden/>
    <w:unhideWhenUsed/>
    <w:rsid w:val="00F51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D46"/>
    <w:rPr>
      <w:rFonts w:ascii="Segoe UI" w:hAnsi="Segoe UI" w:cs="Segoe UI"/>
      <w:sz w:val="18"/>
      <w:szCs w:val="18"/>
    </w:rPr>
  </w:style>
  <w:style w:type="paragraph" w:styleId="Bibliography">
    <w:name w:val="Bibliography"/>
    <w:basedOn w:val="Normal"/>
    <w:next w:val="Normal"/>
    <w:uiPriority w:val="37"/>
    <w:semiHidden/>
    <w:unhideWhenUsed/>
    <w:rsid w:val="00F51D46"/>
  </w:style>
  <w:style w:type="paragraph" w:styleId="BodyText3">
    <w:name w:val="Body Text 3"/>
    <w:basedOn w:val="Normal"/>
    <w:link w:val="BodyText3Char"/>
    <w:uiPriority w:val="99"/>
    <w:semiHidden/>
    <w:unhideWhenUsed/>
    <w:rsid w:val="00F51D46"/>
    <w:pPr>
      <w:spacing w:after="120"/>
    </w:pPr>
    <w:rPr>
      <w:sz w:val="16"/>
      <w:szCs w:val="16"/>
    </w:rPr>
  </w:style>
  <w:style w:type="character" w:customStyle="1" w:styleId="BodyText3Char">
    <w:name w:val="Body Text 3 Char"/>
    <w:basedOn w:val="DefaultParagraphFont"/>
    <w:link w:val="BodyText3"/>
    <w:uiPriority w:val="99"/>
    <w:semiHidden/>
    <w:rsid w:val="00F51D46"/>
    <w:rPr>
      <w:sz w:val="16"/>
      <w:szCs w:val="16"/>
    </w:rPr>
  </w:style>
  <w:style w:type="character" w:styleId="BookTitle">
    <w:name w:val="Book Title"/>
    <w:basedOn w:val="DefaultParagraphFont"/>
    <w:uiPriority w:val="33"/>
    <w:rsid w:val="00F51D46"/>
    <w:rPr>
      <w:b/>
      <w:bCs/>
      <w:i/>
      <w:iCs/>
      <w:spacing w:val="5"/>
    </w:rPr>
  </w:style>
  <w:style w:type="paragraph" w:styleId="Closing">
    <w:name w:val="Closing"/>
    <w:basedOn w:val="Normal"/>
    <w:link w:val="ClosingChar"/>
    <w:uiPriority w:val="99"/>
    <w:semiHidden/>
    <w:unhideWhenUsed/>
    <w:rsid w:val="00F51D46"/>
    <w:pPr>
      <w:ind w:left="4320"/>
    </w:pPr>
  </w:style>
  <w:style w:type="character" w:customStyle="1" w:styleId="ClosingChar">
    <w:name w:val="Closing Char"/>
    <w:basedOn w:val="DefaultParagraphFont"/>
    <w:link w:val="Closing"/>
    <w:uiPriority w:val="99"/>
    <w:semiHidden/>
    <w:rsid w:val="00F51D46"/>
  </w:style>
  <w:style w:type="character" w:styleId="CommentReference">
    <w:name w:val="annotation reference"/>
    <w:basedOn w:val="DefaultParagraphFont"/>
    <w:uiPriority w:val="99"/>
    <w:semiHidden/>
    <w:unhideWhenUsed/>
    <w:rsid w:val="00F51D46"/>
    <w:rPr>
      <w:sz w:val="16"/>
      <w:szCs w:val="16"/>
    </w:rPr>
  </w:style>
  <w:style w:type="paragraph" w:styleId="CommentText">
    <w:name w:val="annotation text"/>
    <w:basedOn w:val="Normal"/>
    <w:link w:val="CommentTextChar"/>
    <w:uiPriority w:val="99"/>
    <w:semiHidden/>
    <w:unhideWhenUsed/>
    <w:rsid w:val="00F51D46"/>
    <w:rPr>
      <w:sz w:val="20"/>
      <w:szCs w:val="20"/>
    </w:rPr>
  </w:style>
  <w:style w:type="character" w:customStyle="1" w:styleId="CommentTextChar">
    <w:name w:val="Comment Text Char"/>
    <w:basedOn w:val="DefaultParagraphFont"/>
    <w:link w:val="CommentText"/>
    <w:uiPriority w:val="99"/>
    <w:semiHidden/>
    <w:rsid w:val="00F51D46"/>
    <w:rPr>
      <w:sz w:val="20"/>
      <w:szCs w:val="20"/>
    </w:rPr>
  </w:style>
  <w:style w:type="paragraph" w:styleId="CommentSubject">
    <w:name w:val="annotation subject"/>
    <w:basedOn w:val="CommentText"/>
    <w:next w:val="CommentText"/>
    <w:link w:val="CommentSubjectChar"/>
    <w:uiPriority w:val="99"/>
    <w:semiHidden/>
    <w:unhideWhenUsed/>
    <w:rsid w:val="00F51D46"/>
    <w:rPr>
      <w:b/>
      <w:bCs/>
    </w:rPr>
  </w:style>
  <w:style w:type="character" w:customStyle="1" w:styleId="CommentSubjectChar">
    <w:name w:val="Comment Subject Char"/>
    <w:basedOn w:val="CommentTextChar"/>
    <w:link w:val="CommentSubject"/>
    <w:uiPriority w:val="99"/>
    <w:semiHidden/>
    <w:rsid w:val="00F51D46"/>
    <w:rPr>
      <w:b/>
      <w:bCs/>
      <w:sz w:val="20"/>
      <w:szCs w:val="20"/>
    </w:rPr>
  </w:style>
  <w:style w:type="paragraph" w:styleId="Date">
    <w:name w:val="Date"/>
    <w:basedOn w:val="Normal"/>
    <w:next w:val="Normal"/>
    <w:link w:val="DateChar"/>
    <w:uiPriority w:val="99"/>
    <w:semiHidden/>
    <w:unhideWhenUsed/>
    <w:rsid w:val="00F51D46"/>
  </w:style>
  <w:style w:type="character" w:customStyle="1" w:styleId="DateChar">
    <w:name w:val="Date Char"/>
    <w:basedOn w:val="DefaultParagraphFont"/>
    <w:link w:val="Date"/>
    <w:uiPriority w:val="99"/>
    <w:semiHidden/>
    <w:rsid w:val="00F51D46"/>
  </w:style>
  <w:style w:type="paragraph" w:styleId="DocumentMap">
    <w:name w:val="Document Map"/>
    <w:basedOn w:val="Normal"/>
    <w:link w:val="DocumentMapChar"/>
    <w:uiPriority w:val="99"/>
    <w:semiHidden/>
    <w:unhideWhenUsed/>
    <w:rsid w:val="00F51D4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51D46"/>
    <w:rPr>
      <w:rFonts w:ascii="Segoe UI" w:hAnsi="Segoe UI" w:cs="Segoe UI"/>
      <w:sz w:val="16"/>
      <w:szCs w:val="16"/>
    </w:rPr>
  </w:style>
  <w:style w:type="paragraph" w:styleId="E-mailSignature">
    <w:name w:val="E-mail Signature"/>
    <w:basedOn w:val="Normal"/>
    <w:link w:val="E-mailSignatureChar"/>
    <w:uiPriority w:val="99"/>
    <w:semiHidden/>
    <w:unhideWhenUsed/>
    <w:rsid w:val="00F51D46"/>
  </w:style>
  <w:style w:type="character" w:customStyle="1" w:styleId="E-mailSignatureChar">
    <w:name w:val="E-mail Signature Char"/>
    <w:basedOn w:val="DefaultParagraphFont"/>
    <w:link w:val="E-mailSignature"/>
    <w:uiPriority w:val="99"/>
    <w:semiHidden/>
    <w:rsid w:val="00F51D46"/>
  </w:style>
  <w:style w:type="character" w:styleId="Emphasis">
    <w:name w:val="Emphasis"/>
    <w:basedOn w:val="DefaultParagraphFont"/>
    <w:uiPriority w:val="20"/>
    <w:rsid w:val="00F51D46"/>
    <w:rPr>
      <w:i/>
      <w:iCs/>
    </w:rPr>
  </w:style>
  <w:style w:type="character" w:styleId="EndnoteReference">
    <w:name w:val="endnote reference"/>
    <w:basedOn w:val="DefaultParagraphFont"/>
    <w:uiPriority w:val="99"/>
    <w:semiHidden/>
    <w:unhideWhenUsed/>
    <w:rsid w:val="00F51D46"/>
    <w:rPr>
      <w:vertAlign w:val="superscript"/>
    </w:rPr>
  </w:style>
  <w:style w:type="paragraph" w:styleId="EndnoteText">
    <w:name w:val="endnote text"/>
    <w:basedOn w:val="Normal"/>
    <w:link w:val="EndnoteTextChar"/>
    <w:uiPriority w:val="99"/>
    <w:semiHidden/>
    <w:unhideWhenUsed/>
    <w:rsid w:val="00F51D46"/>
    <w:rPr>
      <w:sz w:val="20"/>
      <w:szCs w:val="20"/>
    </w:rPr>
  </w:style>
  <w:style w:type="character" w:customStyle="1" w:styleId="EndnoteTextChar">
    <w:name w:val="Endnote Text Char"/>
    <w:basedOn w:val="DefaultParagraphFont"/>
    <w:link w:val="EndnoteText"/>
    <w:uiPriority w:val="99"/>
    <w:semiHidden/>
    <w:rsid w:val="00F51D46"/>
    <w:rPr>
      <w:sz w:val="20"/>
      <w:szCs w:val="20"/>
    </w:rPr>
  </w:style>
  <w:style w:type="paragraph" w:styleId="EnvelopeAddress">
    <w:name w:val="envelope address"/>
    <w:basedOn w:val="Normal"/>
    <w:uiPriority w:val="99"/>
    <w:semiHidden/>
    <w:unhideWhenUsed/>
    <w:rsid w:val="00F51D4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51D46"/>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F51D46"/>
    <w:rPr>
      <w:color w:val="800080" w:themeColor="followedHyperlink"/>
      <w:u w:val="single"/>
    </w:rPr>
  </w:style>
  <w:style w:type="character" w:styleId="FootnoteReference">
    <w:name w:val="footnote reference"/>
    <w:basedOn w:val="DefaultParagraphFont"/>
    <w:uiPriority w:val="99"/>
    <w:semiHidden/>
    <w:unhideWhenUsed/>
    <w:rsid w:val="00F51D46"/>
    <w:rPr>
      <w:vertAlign w:val="superscript"/>
    </w:rPr>
  </w:style>
  <w:style w:type="paragraph" w:styleId="FootnoteText">
    <w:name w:val="footnote text"/>
    <w:basedOn w:val="Normal"/>
    <w:link w:val="FootnoteTextChar"/>
    <w:uiPriority w:val="99"/>
    <w:semiHidden/>
    <w:unhideWhenUsed/>
    <w:rsid w:val="00F51D46"/>
    <w:rPr>
      <w:sz w:val="20"/>
      <w:szCs w:val="20"/>
    </w:rPr>
  </w:style>
  <w:style w:type="character" w:customStyle="1" w:styleId="FootnoteTextChar">
    <w:name w:val="Footnote Text Char"/>
    <w:basedOn w:val="DefaultParagraphFont"/>
    <w:link w:val="FootnoteText"/>
    <w:uiPriority w:val="99"/>
    <w:semiHidden/>
    <w:rsid w:val="00F51D46"/>
    <w:rPr>
      <w:sz w:val="20"/>
      <w:szCs w:val="20"/>
    </w:rPr>
  </w:style>
  <w:style w:type="character" w:styleId="HTMLAcronym">
    <w:name w:val="HTML Acronym"/>
    <w:basedOn w:val="DefaultParagraphFont"/>
    <w:uiPriority w:val="99"/>
    <w:semiHidden/>
    <w:unhideWhenUsed/>
    <w:rsid w:val="00F51D46"/>
  </w:style>
  <w:style w:type="paragraph" w:styleId="HTMLAddress">
    <w:name w:val="HTML Address"/>
    <w:basedOn w:val="Normal"/>
    <w:link w:val="HTMLAddressChar"/>
    <w:uiPriority w:val="99"/>
    <w:semiHidden/>
    <w:unhideWhenUsed/>
    <w:rsid w:val="00F51D46"/>
    <w:rPr>
      <w:i/>
      <w:iCs/>
    </w:rPr>
  </w:style>
  <w:style w:type="character" w:customStyle="1" w:styleId="HTMLAddressChar">
    <w:name w:val="HTML Address Char"/>
    <w:basedOn w:val="DefaultParagraphFont"/>
    <w:link w:val="HTMLAddress"/>
    <w:uiPriority w:val="99"/>
    <w:semiHidden/>
    <w:rsid w:val="00F51D46"/>
    <w:rPr>
      <w:i/>
      <w:iCs/>
    </w:rPr>
  </w:style>
  <w:style w:type="character" w:styleId="HTMLCite">
    <w:name w:val="HTML Cite"/>
    <w:basedOn w:val="DefaultParagraphFont"/>
    <w:uiPriority w:val="99"/>
    <w:semiHidden/>
    <w:unhideWhenUsed/>
    <w:rsid w:val="00F51D46"/>
    <w:rPr>
      <w:i/>
      <w:iCs/>
    </w:rPr>
  </w:style>
  <w:style w:type="character" w:styleId="HTMLCode">
    <w:name w:val="HTML Code"/>
    <w:basedOn w:val="DefaultParagraphFont"/>
    <w:uiPriority w:val="99"/>
    <w:semiHidden/>
    <w:unhideWhenUsed/>
    <w:rsid w:val="00F51D46"/>
    <w:rPr>
      <w:rFonts w:ascii="Consolas" w:hAnsi="Consolas"/>
      <w:sz w:val="20"/>
      <w:szCs w:val="20"/>
    </w:rPr>
  </w:style>
  <w:style w:type="character" w:styleId="HTMLDefinition">
    <w:name w:val="HTML Definition"/>
    <w:basedOn w:val="DefaultParagraphFont"/>
    <w:uiPriority w:val="99"/>
    <w:semiHidden/>
    <w:unhideWhenUsed/>
    <w:rsid w:val="00F51D46"/>
    <w:rPr>
      <w:i/>
      <w:iCs/>
    </w:rPr>
  </w:style>
  <w:style w:type="character" w:styleId="HTMLKeyboard">
    <w:name w:val="HTML Keyboard"/>
    <w:basedOn w:val="DefaultParagraphFont"/>
    <w:uiPriority w:val="99"/>
    <w:semiHidden/>
    <w:unhideWhenUsed/>
    <w:rsid w:val="00F51D46"/>
    <w:rPr>
      <w:rFonts w:ascii="Consolas" w:hAnsi="Consolas"/>
      <w:sz w:val="20"/>
      <w:szCs w:val="20"/>
    </w:rPr>
  </w:style>
  <w:style w:type="paragraph" w:styleId="HTMLPreformatted">
    <w:name w:val="HTML Preformatted"/>
    <w:basedOn w:val="Normal"/>
    <w:link w:val="HTMLPreformattedChar"/>
    <w:uiPriority w:val="99"/>
    <w:semiHidden/>
    <w:unhideWhenUsed/>
    <w:rsid w:val="00F51D4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1D46"/>
    <w:rPr>
      <w:rFonts w:ascii="Consolas" w:hAnsi="Consolas"/>
      <w:sz w:val="20"/>
      <w:szCs w:val="20"/>
    </w:rPr>
  </w:style>
  <w:style w:type="character" w:styleId="HTMLSample">
    <w:name w:val="HTML Sample"/>
    <w:basedOn w:val="DefaultParagraphFont"/>
    <w:uiPriority w:val="99"/>
    <w:semiHidden/>
    <w:unhideWhenUsed/>
    <w:rsid w:val="00F51D46"/>
    <w:rPr>
      <w:rFonts w:ascii="Consolas" w:hAnsi="Consolas"/>
      <w:sz w:val="24"/>
      <w:szCs w:val="24"/>
    </w:rPr>
  </w:style>
  <w:style w:type="character" w:styleId="HTMLTypewriter">
    <w:name w:val="HTML Typewriter"/>
    <w:basedOn w:val="DefaultParagraphFont"/>
    <w:uiPriority w:val="99"/>
    <w:semiHidden/>
    <w:unhideWhenUsed/>
    <w:rsid w:val="00F51D46"/>
    <w:rPr>
      <w:rFonts w:ascii="Consolas" w:hAnsi="Consolas"/>
      <w:sz w:val="20"/>
      <w:szCs w:val="20"/>
    </w:rPr>
  </w:style>
  <w:style w:type="character" w:styleId="HTMLVariable">
    <w:name w:val="HTML Variable"/>
    <w:basedOn w:val="DefaultParagraphFont"/>
    <w:uiPriority w:val="99"/>
    <w:semiHidden/>
    <w:unhideWhenUsed/>
    <w:rsid w:val="00F51D46"/>
    <w:rPr>
      <w:i/>
      <w:iCs/>
    </w:rPr>
  </w:style>
  <w:style w:type="character" w:styleId="Hyperlink">
    <w:name w:val="Hyperlink"/>
    <w:basedOn w:val="DefaultParagraphFont"/>
    <w:uiPriority w:val="99"/>
    <w:unhideWhenUsed/>
    <w:rsid w:val="00F51D46"/>
    <w:rPr>
      <w:color w:val="0000FF" w:themeColor="hyperlink"/>
      <w:u w:val="single"/>
    </w:rPr>
  </w:style>
  <w:style w:type="paragraph" w:styleId="Index1">
    <w:name w:val="index 1"/>
    <w:basedOn w:val="Normal"/>
    <w:next w:val="Normal"/>
    <w:autoRedefine/>
    <w:uiPriority w:val="99"/>
    <w:semiHidden/>
    <w:unhideWhenUsed/>
    <w:rsid w:val="00F51D46"/>
    <w:pPr>
      <w:ind w:left="240" w:hanging="240"/>
    </w:pPr>
  </w:style>
  <w:style w:type="paragraph" w:styleId="Index2">
    <w:name w:val="index 2"/>
    <w:basedOn w:val="Normal"/>
    <w:next w:val="Normal"/>
    <w:autoRedefine/>
    <w:uiPriority w:val="99"/>
    <w:semiHidden/>
    <w:unhideWhenUsed/>
    <w:rsid w:val="00F51D46"/>
    <w:pPr>
      <w:ind w:left="480" w:hanging="240"/>
    </w:pPr>
  </w:style>
  <w:style w:type="paragraph" w:styleId="Index3">
    <w:name w:val="index 3"/>
    <w:basedOn w:val="Normal"/>
    <w:next w:val="Normal"/>
    <w:autoRedefine/>
    <w:uiPriority w:val="99"/>
    <w:semiHidden/>
    <w:unhideWhenUsed/>
    <w:rsid w:val="00F51D46"/>
    <w:pPr>
      <w:ind w:left="720" w:hanging="240"/>
    </w:pPr>
  </w:style>
  <w:style w:type="paragraph" w:styleId="Index4">
    <w:name w:val="index 4"/>
    <w:basedOn w:val="Normal"/>
    <w:next w:val="Normal"/>
    <w:autoRedefine/>
    <w:uiPriority w:val="99"/>
    <w:semiHidden/>
    <w:unhideWhenUsed/>
    <w:rsid w:val="00F51D46"/>
    <w:pPr>
      <w:ind w:left="960" w:hanging="240"/>
    </w:pPr>
  </w:style>
  <w:style w:type="paragraph" w:styleId="Index5">
    <w:name w:val="index 5"/>
    <w:basedOn w:val="Normal"/>
    <w:next w:val="Normal"/>
    <w:autoRedefine/>
    <w:uiPriority w:val="99"/>
    <w:semiHidden/>
    <w:unhideWhenUsed/>
    <w:rsid w:val="00F51D46"/>
    <w:pPr>
      <w:ind w:left="1200" w:hanging="240"/>
    </w:pPr>
  </w:style>
  <w:style w:type="paragraph" w:styleId="Index6">
    <w:name w:val="index 6"/>
    <w:basedOn w:val="Normal"/>
    <w:next w:val="Normal"/>
    <w:autoRedefine/>
    <w:uiPriority w:val="99"/>
    <w:semiHidden/>
    <w:unhideWhenUsed/>
    <w:rsid w:val="00F51D46"/>
    <w:pPr>
      <w:ind w:left="1440" w:hanging="240"/>
    </w:pPr>
  </w:style>
  <w:style w:type="paragraph" w:styleId="Index7">
    <w:name w:val="index 7"/>
    <w:basedOn w:val="Normal"/>
    <w:next w:val="Normal"/>
    <w:autoRedefine/>
    <w:uiPriority w:val="99"/>
    <w:semiHidden/>
    <w:unhideWhenUsed/>
    <w:rsid w:val="00F51D46"/>
    <w:pPr>
      <w:ind w:left="1680" w:hanging="240"/>
    </w:pPr>
  </w:style>
  <w:style w:type="paragraph" w:styleId="Index8">
    <w:name w:val="index 8"/>
    <w:basedOn w:val="Normal"/>
    <w:next w:val="Normal"/>
    <w:autoRedefine/>
    <w:uiPriority w:val="99"/>
    <w:semiHidden/>
    <w:unhideWhenUsed/>
    <w:rsid w:val="00F51D46"/>
    <w:pPr>
      <w:ind w:left="1920" w:hanging="240"/>
    </w:pPr>
  </w:style>
  <w:style w:type="paragraph" w:styleId="Index9">
    <w:name w:val="index 9"/>
    <w:basedOn w:val="Normal"/>
    <w:next w:val="Normal"/>
    <w:autoRedefine/>
    <w:uiPriority w:val="99"/>
    <w:semiHidden/>
    <w:unhideWhenUsed/>
    <w:rsid w:val="00F51D46"/>
    <w:pPr>
      <w:ind w:left="2160" w:hanging="240"/>
    </w:pPr>
  </w:style>
  <w:style w:type="paragraph" w:styleId="IndexHeading">
    <w:name w:val="index heading"/>
    <w:basedOn w:val="Normal"/>
    <w:next w:val="Index1"/>
    <w:uiPriority w:val="99"/>
    <w:semiHidden/>
    <w:unhideWhenUsed/>
    <w:rsid w:val="00F51D46"/>
    <w:rPr>
      <w:rFonts w:asciiTheme="majorHAnsi" w:eastAsiaTheme="majorEastAsia" w:hAnsiTheme="majorHAnsi" w:cstheme="majorBidi"/>
      <w:b/>
      <w:bCs/>
    </w:rPr>
  </w:style>
  <w:style w:type="character" w:styleId="IntenseEmphasis">
    <w:name w:val="Intense Emphasis"/>
    <w:basedOn w:val="DefaultParagraphFont"/>
    <w:uiPriority w:val="21"/>
    <w:rsid w:val="00F51D46"/>
    <w:rPr>
      <w:i/>
      <w:iCs/>
      <w:color w:val="4F81BD" w:themeColor="accent1"/>
    </w:rPr>
  </w:style>
  <w:style w:type="paragraph" w:styleId="IntenseQuote">
    <w:name w:val="Intense Quote"/>
    <w:basedOn w:val="Normal"/>
    <w:next w:val="Normal"/>
    <w:link w:val="IntenseQuoteChar"/>
    <w:uiPriority w:val="30"/>
    <w:rsid w:val="00F51D4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51D46"/>
    <w:rPr>
      <w:i/>
      <w:iCs/>
      <w:color w:val="4F81BD" w:themeColor="accent1"/>
    </w:rPr>
  </w:style>
  <w:style w:type="character" w:styleId="IntenseReference">
    <w:name w:val="Intense Reference"/>
    <w:basedOn w:val="DefaultParagraphFont"/>
    <w:uiPriority w:val="32"/>
    <w:rsid w:val="00F51D46"/>
    <w:rPr>
      <w:b/>
      <w:bCs/>
      <w:smallCaps/>
      <w:color w:val="4F81BD" w:themeColor="accent1"/>
      <w:spacing w:val="5"/>
    </w:rPr>
  </w:style>
  <w:style w:type="character" w:styleId="LineNumber">
    <w:name w:val="line number"/>
    <w:basedOn w:val="DefaultParagraphFont"/>
    <w:uiPriority w:val="99"/>
    <w:semiHidden/>
    <w:unhideWhenUsed/>
    <w:rsid w:val="00F51D46"/>
  </w:style>
  <w:style w:type="paragraph" w:styleId="MacroText">
    <w:name w:val="macro"/>
    <w:link w:val="MacroTextChar"/>
    <w:uiPriority w:val="99"/>
    <w:semiHidden/>
    <w:unhideWhenUsed/>
    <w:rsid w:val="00F51D46"/>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F51D46"/>
    <w:rPr>
      <w:rFonts w:ascii="Consolas" w:hAnsi="Consolas"/>
      <w:sz w:val="20"/>
      <w:szCs w:val="20"/>
    </w:rPr>
  </w:style>
  <w:style w:type="paragraph" w:styleId="MessageHeader">
    <w:name w:val="Message Header"/>
    <w:basedOn w:val="Normal"/>
    <w:link w:val="MessageHeaderChar"/>
    <w:uiPriority w:val="99"/>
    <w:semiHidden/>
    <w:unhideWhenUsed/>
    <w:rsid w:val="00F51D4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51D46"/>
    <w:rPr>
      <w:rFonts w:asciiTheme="majorHAnsi" w:eastAsiaTheme="majorEastAsia" w:hAnsiTheme="majorHAnsi" w:cstheme="majorBidi"/>
      <w:shd w:val="pct20" w:color="auto" w:fill="auto"/>
    </w:rPr>
  </w:style>
  <w:style w:type="paragraph" w:styleId="NoSpacing">
    <w:name w:val="No Spacing"/>
    <w:uiPriority w:val="1"/>
    <w:semiHidden/>
    <w:unhideWhenUsed/>
    <w:rsid w:val="00F51D46"/>
  </w:style>
  <w:style w:type="paragraph" w:styleId="NormalWeb">
    <w:name w:val="Normal (Web)"/>
    <w:basedOn w:val="Normal"/>
    <w:uiPriority w:val="99"/>
    <w:semiHidden/>
    <w:unhideWhenUsed/>
    <w:rsid w:val="00F51D46"/>
    <w:rPr>
      <w:rFonts w:cs="Times New Roman"/>
    </w:rPr>
  </w:style>
  <w:style w:type="paragraph" w:styleId="NormalIndent">
    <w:name w:val="Normal Indent"/>
    <w:basedOn w:val="Normal"/>
    <w:uiPriority w:val="99"/>
    <w:semiHidden/>
    <w:unhideWhenUsed/>
    <w:rsid w:val="00F51D46"/>
    <w:pPr>
      <w:ind w:left="720"/>
    </w:pPr>
  </w:style>
  <w:style w:type="paragraph" w:styleId="NoteHeading">
    <w:name w:val="Note Heading"/>
    <w:basedOn w:val="Normal"/>
    <w:next w:val="Normal"/>
    <w:link w:val="NoteHeadingChar"/>
    <w:uiPriority w:val="99"/>
    <w:semiHidden/>
    <w:unhideWhenUsed/>
    <w:rsid w:val="00F51D46"/>
  </w:style>
  <w:style w:type="character" w:customStyle="1" w:styleId="NoteHeadingChar">
    <w:name w:val="Note Heading Char"/>
    <w:basedOn w:val="DefaultParagraphFont"/>
    <w:link w:val="NoteHeading"/>
    <w:uiPriority w:val="99"/>
    <w:semiHidden/>
    <w:rsid w:val="00F51D46"/>
  </w:style>
  <w:style w:type="character" w:styleId="PageNumber">
    <w:name w:val="page number"/>
    <w:basedOn w:val="DefaultParagraphFont"/>
    <w:uiPriority w:val="99"/>
    <w:semiHidden/>
    <w:unhideWhenUsed/>
    <w:rsid w:val="00F51D46"/>
  </w:style>
  <w:style w:type="character" w:styleId="PlaceholderText">
    <w:name w:val="Placeholder Text"/>
    <w:basedOn w:val="DefaultParagraphFont"/>
    <w:uiPriority w:val="99"/>
    <w:semiHidden/>
    <w:rsid w:val="00F51D46"/>
    <w:rPr>
      <w:color w:val="808080"/>
    </w:rPr>
  </w:style>
  <w:style w:type="paragraph" w:styleId="PlainText">
    <w:name w:val="Plain Text"/>
    <w:basedOn w:val="Normal"/>
    <w:link w:val="PlainTextChar"/>
    <w:uiPriority w:val="99"/>
    <w:semiHidden/>
    <w:unhideWhenUsed/>
    <w:rsid w:val="00F51D46"/>
    <w:rPr>
      <w:rFonts w:ascii="Consolas" w:hAnsi="Consolas"/>
      <w:sz w:val="21"/>
      <w:szCs w:val="21"/>
    </w:rPr>
  </w:style>
  <w:style w:type="character" w:customStyle="1" w:styleId="PlainTextChar">
    <w:name w:val="Plain Text Char"/>
    <w:basedOn w:val="DefaultParagraphFont"/>
    <w:link w:val="PlainText"/>
    <w:uiPriority w:val="99"/>
    <w:semiHidden/>
    <w:rsid w:val="00F51D46"/>
    <w:rPr>
      <w:rFonts w:ascii="Consolas" w:hAnsi="Consolas"/>
      <w:sz w:val="21"/>
      <w:szCs w:val="21"/>
    </w:rPr>
  </w:style>
  <w:style w:type="paragraph" w:styleId="Quote">
    <w:name w:val="Quote"/>
    <w:basedOn w:val="Normal"/>
    <w:next w:val="Normal"/>
    <w:link w:val="QuoteChar"/>
    <w:uiPriority w:val="29"/>
    <w:qFormat/>
    <w:rsid w:val="00F51D4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51D46"/>
    <w:rPr>
      <w:i/>
      <w:iCs/>
      <w:color w:val="404040" w:themeColor="text1" w:themeTint="BF"/>
    </w:rPr>
  </w:style>
  <w:style w:type="paragraph" w:styleId="Salutation">
    <w:name w:val="Salutation"/>
    <w:basedOn w:val="Normal"/>
    <w:next w:val="Normal"/>
    <w:link w:val="SalutationChar"/>
    <w:uiPriority w:val="99"/>
    <w:semiHidden/>
    <w:unhideWhenUsed/>
    <w:rsid w:val="00F51D46"/>
  </w:style>
  <w:style w:type="character" w:customStyle="1" w:styleId="SalutationChar">
    <w:name w:val="Salutation Char"/>
    <w:basedOn w:val="DefaultParagraphFont"/>
    <w:link w:val="Salutation"/>
    <w:uiPriority w:val="99"/>
    <w:semiHidden/>
    <w:rsid w:val="00F51D46"/>
  </w:style>
  <w:style w:type="paragraph" w:styleId="Signature">
    <w:name w:val="Signature"/>
    <w:basedOn w:val="Normal"/>
    <w:link w:val="SignatureChar"/>
    <w:uiPriority w:val="99"/>
    <w:unhideWhenUsed/>
    <w:rsid w:val="00F51D46"/>
    <w:pPr>
      <w:ind w:left="4320"/>
    </w:pPr>
  </w:style>
  <w:style w:type="character" w:customStyle="1" w:styleId="SignatureChar">
    <w:name w:val="Signature Char"/>
    <w:basedOn w:val="DefaultParagraphFont"/>
    <w:link w:val="Signature"/>
    <w:uiPriority w:val="99"/>
    <w:rsid w:val="00F51D46"/>
  </w:style>
  <w:style w:type="character" w:styleId="Strong">
    <w:name w:val="Strong"/>
    <w:basedOn w:val="DefaultParagraphFont"/>
    <w:uiPriority w:val="22"/>
    <w:rsid w:val="00F51D46"/>
    <w:rPr>
      <w:b/>
      <w:bCs/>
    </w:rPr>
  </w:style>
  <w:style w:type="character" w:styleId="SubtleEmphasis">
    <w:name w:val="Subtle Emphasis"/>
    <w:basedOn w:val="DefaultParagraphFont"/>
    <w:uiPriority w:val="19"/>
    <w:rsid w:val="00F51D46"/>
    <w:rPr>
      <w:i/>
      <w:iCs/>
      <w:color w:val="404040" w:themeColor="text1" w:themeTint="BF"/>
    </w:rPr>
  </w:style>
  <w:style w:type="character" w:styleId="SubtleReference">
    <w:name w:val="Subtle Reference"/>
    <w:basedOn w:val="DefaultParagraphFont"/>
    <w:uiPriority w:val="31"/>
    <w:rsid w:val="00F51D46"/>
    <w:rPr>
      <w:smallCaps/>
      <w:color w:val="5A5A5A" w:themeColor="text1" w:themeTint="A5"/>
    </w:rPr>
  </w:style>
  <w:style w:type="paragraph" w:styleId="TableofAuthorities">
    <w:name w:val="table of authorities"/>
    <w:basedOn w:val="Normal"/>
    <w:next w:val="Normal"/>
    <w:uiPriority w:val="99"/>
    <w:semiHidden/>
    <w:unhideWhenUsed/>
    <w:rsid w:val="00F51D46"/>
    <w:pPr>
      <w:ind w:left="240" w:hanging="240"/>
    </w:pPr>
  </w:style>
  <w:style w:type="paragraph" w:styleId="TableofFigures">
    <w:name w:val="table of figures"/>
    <w:basedOn w:val="Normal"/>
    <w:next w:val="Normal"/>
    <w:uiPriority w:val="99"/>
    <w:semiHidden/>
    <w:unhideWhenUsed/>
    <w:rsid w:val="00F51D46"/>
  </w:style>
  <w:style w:type="paragraph" w:styleId="TOAHeading">
    <w:name w:val="toa heading"/>
    <w:basedOn w:val="Normal"/>
    <w:next w:val="Normal"/>
    <w:uiPriority w:val="99"/>
    <w:semiHidden/>
    <w:unhideWhenUsed/>
    <w:rsid w:val="00F51D4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51D46"/>
    <w:pPr>
      <w:spacing w:after="100"/>
    </w:pPr>
  </w:style>
  <w:style w:type="paragraph" w:styleId="TOC2">
    <w:name w:val="toc 2"/>
    <w:basedOn w:val="Normal"/>
    <w:next w:val="Normal"/>
    <w:autoRedefine/>
    <w:uiPriority w:val="39"/>
    <w:semiHidden/>
    <w:unhideWhenUsed/>
    <w:rsid w:val="00F51D46"/>
    <w:pPr>
      <w:spacing w:after="100"/>
      <w:ind w:left="240"/>
    </w:pPr>
  </w:style>
  <w:style w:type="paragraph" w:styleId="TOC3">
    <w:name w:val="toc 3"/>
    <w:basedOn w:val="Normal"/>
    <w:next w:val="Normal"/>
    <w:autoRedefine/>
    <w:uiPriority w:val="39"/>
    <w:semiHidden/>
    <w:unhideWhenUsed/>
    <w:rsid w:val="00F51D46"/>
    <w:pPr>
      <w:spacing w:after="100"/>
      <w:ind w:left="480"/>
    </w:pPr>
  </w:style>
  <w:style w:type="paragraph" w:styleId="TOC4">
    <w:name w:val="toc 4"/>
    <w:basedOn w:val="Normal"/>
    <w:next w:val="Normal"/>
    <w:autoRedefine/>
    <w:uiPriority w:val="39"/>
    <w:semiHidden/>
    <w:unhideWhenUsed/>
    <w:rsid w:val="00F51D46"/>
    <w:pPr>
      <w:spacing w:after="100"/>
      <w:ind w:left="720"/>
    </w:pPr>
  </w:style>
  <w:style w:type="paragraph" w:styleId="TOC5">
    <w:name w:val="toc 5"/>
    <w:basedOn w:val="Normal"/>
    <w:next w:val="Normal"/>
    <w:autoRedefine/>
    <w:uiPriority w:val="39"/>
    <w:semiHidden/>
    <w:unhideWhenUsed/>
    <w:rsid w:val="00F51D46"/>
    <w:pPr>
      <w:spacing w:after="100"/>
      <w:ind w:left="960"/>
    </w:pPr>
  </w:style>
  <w:style w:type="paragraph" w:styleId="TOC6">
    <w:name w:val="toc 6"/>
    <w:basedOn w:val="Normal"/>
    <w:next w:val="Normal"/>
    <w:autoRedefine/>
    <w:uiPriority w:val="39"/>
    <w:semiHidden/>
    <w:unhideWhenUsed/>
    <w:rsid w:val="00F51D46"/>
    <w:pPr>
      <w:spacing w:after="100"/>
      <w:ind w:left="1200"/>
    </w:pPr>
  </w:style>
  <w:style w:type="paragraph" w:styleId="TOC7">
    <w:name w:val="toc 7"/>
    <w:basedOn w:val="Normal"/>
    <w:next w:val="Normal"/>
    <w:autoRedefine/>
    <w:uiPriority w:val="39"/>
    <w:semiHidden/>
    <w:unhideWhenUsed/>
    <w:rsid w:val="00F51D46"/>
    <w:pPr>
      <w:spacing w:after="100"/>
      <w:ind w:left="1440"/>
    </w:pPr>
  </w:style>
  <w:style w:type="paragraph" w:styleId="TOC8">
    <w:name w:val="toc 8"/>
    <w:basedOn w:val="Normal"/>
    <w:next w:val="Normal"/>
    <w:autoRedefine/>
    <w:uiPriority w:val="39"/>
    <w:semiHidden/>
    <w:unhideWhenUsed/>
    <w:rsid w:val="00F51D46"/>
    <w:pPr>
      <w:spacing w:after="100"/>
      <w:ind w:left="1680"/>
    </w:pPr>
  </w:style>
  <w:style w:type="paragraph" w:styleId="TOC9">
    <w:name w:val="toc 9"/>
    <w:basedOn w:val="Normal"/>
    <w:next w:val="Normal"/>
    <w:autoRedefine/>
    <w:uiPriority w:val="39"/>
    <w:semiHidden/>
    <w:unhideWhenUsed/>
    <w:rsid w:val="00F51D46"/>
    <w:pPr>
      <w:spacing w:after="100"/>
      <w:ind w:left="1920"/>
    </w:pPr>
  </w:style>
  <w:style w:type="paragraph" w:customStyle="1" w:styleId="BodyTextAA">
    <w:name w:val="Body Text AA"/>
    <w:basedOn w:val="BodyText"/>
    <w:uiPriority w:val="97"/>
    <w:qFormat/>
    <w:rsid w:val="006915FD"/>
    <w:pPr>
      <w:spacing w:after="120" w:line="480" w:lineRule="auto"/>
      <w:ind w:firstLine="3600"/>
      <w:jc w:val="both"/>
    </w:pPr>
  </w:style>
  <w:style w:type="table" w:styleId="TableGrid">
    <w:name w:val="Table Grid"/>
    <w:basedOn w:val="TableNormal"/>
    <w:uiPriority w:val="59"/>
    <w:rsid w:val="0089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C24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wartz@nyb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CC7B3-A73B-48DF-880A-4A6DAC2A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11169</Words>
  <Characters>63664</Characters>
  <Application>Microsoft Office Word</Application>
  <DocSecurity>4</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DelFranco, Ruthie</dc:creator>
  <cp:lastModifiedBy>DelFranco, Ruthie</cp:lastModifiedBy>
  <cp:revision>2</cp:revision>
  <dcterms:created xsi:type="dcterms:W3CDTF">2021-11-22T21:08:00Z</dcterms:created>
  <dcterms:modified xsi:type="dcterms:W3CDTF">2021-11-22T21:08:00Z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KL3 3353885.5</vt:lpwstr>
  </property>
  <property fmtid="{D5CDD505-2E9C-101B-9397-08002B2CF9AE}" pid="3" name="DocumentType">
    <vt:lpwstr>pgBlank</vt:lpwstr>
  </property>
</Properties>
</file>