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BAA5"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2AC7C08F" w14:textId="77777777" w:rsidTr="6C2AFBF1">
        <w:trPr>
          <w:jc w:val="center"/>
        </w:trPr>
        <w:tc>
          <w:tcPr>
            <w:tcW w:w="5760" w:type="dxa"/>
            <w:tcBorders>
              <w:bottom w:val="single" w:sz="4" w:space="0" w:color="000000" w:themeColor="text1"/>
            </w:tcBorders>
          </w:tcPr>
          <w:p w14:paraId="73750DCD"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31CD2253" wp14:editId="25AA96A8">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6C9F64B6" w14:textId="77777777" w:rsidR="00567D6C" w:rsidRDefault="00263651">
            <w:pPr>
              <w:rPr>
                <w:b/>
                <w:smallCaps/>
                <w:sz w:val="22"/>
                <w:szCs w:val="22"/>
              </w:rPr>
            </w:pPr>
            <w:r>
              <w:rPr>
                <w:b/>
                <w:smallCaps/>
                <w:sz w:val="22"/>
                <w:szCs w:val="22"/>
              </w:rPr>
              <w:t>The Council of the City of New York</w:t>
            </w:r>
          </w:p>
          <w:p w14:paraId="39E7820B" w14:textId="77777777" w:rsidR="00567D6C" w:rsidRDefault="00263651">
            <w:pPr>
              <w:rPr>
                <w:b/>
                <w:smallCaps/>
                <w:sz w:val="22"/>
                <w:szCs w:val="22"/>
              </w:rPr>
            </w:pPr>
            <w:r>
              <w:rPr>
                <w:b/>
                <w:smallCaps/>
                <w:sz w:val="22"/>
                <w:szCs w:val="22"/>
              </w:rPr>
              <w:t>Finance Division</w:t>
            </w:r>
          </w:p>
          <w:p w14:paraId="0174B771" w14:textId="77777777"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14:paraId="75AE1C8D" w14:textId="77777777" w:rsidR="00567D6C" w:rsidRDefault="00263651">
            <w:pPr>
              <w:spacing w:before="120"/>
              <w:rPr>
                <w:sz w:val="22"/>
                <w:szCs w:val="22"/>
              </w:rPr>
            </w:pPr>
            <w:r>
              <w:rPr>
                <w:b/>
                <w:smallCaps/>
                <w:sz w:val="22"/>
                <w:szCs w:val="22"/>
              </w:rPr>
              <w:t>Fiscal Impact Statement</w:t>
            </w:r>
          </w:p>
          <w:p w14:paraId="338A3766" w14:textId="77777777"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031563">
              <w:rPr>
                <w:b/>
                <w:bCs/>
                <w:sz w:val="22"/>
                <w:szCs w:val="22"/>
              </w:rPr>
              <w:t>2</w:t>
            </w:r>
            <w:r w:rsidR="00880C5C">
              <w:rPr>
                <w:b/>
                <w:bCs/>
                <w:sz w:val="22"/>
                <w:szCs w:val="22"/>
              </w:rPr>
              <w:t>42</w:t>
            </w:r>
            <w:r w:rsidR="00FB7101">
              <w:rPr>
                <w:b/>
                <w:bCs/>
                <w:sz w:val="22"/>
                <w:szCs w:val="22"/>
              </w:rPr>
              <w:t>2</w:t>
            </w:r>
            <w:r w:rsidR="00D067C8">
              <w:rPr>
                <w:b/>
                <w:bCs/>
                <w:sz w:val="22"/>
                <w:szCs w:val="22"/>
              </w:rPr>
              <w:t>-A</w:t>
            </w:r>
          </w:p>
          <w:p w14:paraId="587C11E7" w14:textId="77777777" w:rsidR="00567D6C" w:rsidRDefault="00263651" w:rsidP="00DD5EC7">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00DD5EC7" w:rsidRPr="004D6B27">
              <w:rPr>
                <w:b/>
                <w:sz w:val="22"/>
                <w:szCs w:val="22"/>
              </w:rPr>
              <w:t>T</w:t>
            </w:r>
            <w:r w:rsidR="003E2EDD" w:rsidRPr="004D6B27">
              <w:rPr>
                <w:b/>
                <w:sz w:val="22"/>
                <w:szCs w:val="22"/>
              </w:rPr>
              <w:t>ransportation</w:t>
            </w:r>
          </w:p>
        </w:tc>
      </w:tr>
      <w:tr w:rsidR="00567D6C" w14:paraId="3F3CEAE5" w14:textId="77777777" w:rsidTr="6C2AFBF1">
        <w:trPr>
          <w:jc w:val="center"/>
        </w:trPr>
        <w:tc>
          <w:tcPr>
            <w:tcW w:w="5760" w:type="dxa"/>
            <w:tcBorders>
              <w:top w:val="single" w:sz="4" w:space="0" w:color="000000" w:themeColor="text1"/>
            </w:tcBorders>
          </w:tcPr>
          <w:p w14:paraId="4C32E82B" w14:textId="77777777" w:rsidR="00107082" w:rsidRDefault="00263651" w:rsidP="00107082">
            <w:pPr>
              <w:pStyle w:val="Body"/>
              <w:shd w:val="clear" w:color="auto" w:fill="FFFFFF"/>
              <w:jc w:val="both"/>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w:t>
            </w:r>
            <w:r w:rsidR="00FB7101">
              <w:t xml:space="preserve">relation to </w:t>
            </w:r>
            <w:r w:rsidR="00FB7101" w:rsidRPr="00FB7101">
              <w:t>parking meters, and to repeal section 19-167 of such code, relating to suspending the activation of parking meters on Sundays; section 19-167.1 of such code, relating to parking at broken or missing meters or muni-meters; section 19-167.2 of such code, relating to transfer of muni-meter time; section 19-167.3 of such code, relating to deactivating muni-meters; section 19-167.4 of such code, relating to new muni-meter installation; section 19-175.3 of such code, relating to notification of changes relating to parking meters; section 19-214 of such code, relating to failure to display a muni-meter receipt; and section 19-215 of such code, relating to cancellation of certain tickets</w:t>
            </w:r>
          </w:p>
          <w:p w14:paraId="580198A1" w14:textId="77777777" w:rsidR="00EC3A83" w:rsidRDefault="00EC3A83"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50493E9D" w14:textId="3F616111" w:rsidR="00134E88" w:rsidRPr="00134E88" w:rsidRDefault="00263651" w:rsidP="004A724D">
            <w:pPr>
              <w:jc w:val="both"/>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D151CE">
              <w:rPr>
                <w:sz w:val="22"/>
                <w:szCs w:val="22"/>
              </w:rPr>
              <w:t>Council Members R</w:t>
            </w:r>
            <w:r w:rsidR="00FB7101">
              <w:rPr>
                <w:sz w:val="22"/>
                <w:szCs w:val="22"/>
              </w:rPr>
              <w:t xml:space="preserve">odriguez, Yeger, Holden, </w:t>
            </w:r>
            <w:r w:rsidR="00333009">
              <w:rPr>
                <w:sz w:val="22"/>
                <w:szCs w:val="22"/>
              </w:rPr>
              <w:t xml:space="preserve">D. </w:t>
            </w:r>
            <w:r w:rsidR="00FB7101">
              <w:rPr>
                <w:sz w:val="22"/>
                <w:szCs w:val="22"/>
              </w:rPr>
              <w:t>Diaz and Kallos (by request of the Mayor)</w:t>
            </w:r>
          </w:p>
          <w:p w14:paraId="24F3FCFB" w14:textId="77777777" w:rsidR="00107082" w:rsidRDefault="00107082" w:rsidP="56A63D9C">
            <w:pPr>
              <w:widowControl w:val="0"/>
              <w:rPr>
                <w:color w:val="000000" w:themeColor="text1"/>
                <w:sz w:val="22"/>
                <w:szCs w:val="22"/>
              </w:rPr>
            </w:pPr>
          </w:p>
        </w:tc>
      </w:tr>
    </w:tbl>
    <w:p w14:paraId="5CB0196D" w14:textId="794D7089" w:rsidR="00FB7101" w:rsidRPr="00FB7101" w:rsidRDefault="00263651" w:rsidP="004A7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96069">
        <w:rPr>
          <w:b/>
          <w:bCs/>
          <w:smallCaps/>
          <w:sz w:val="22"/>
          <w:szCs w:val="22"/>
        </w:rPr>
        <w:t>Summary of Legislation:</w:t>
      </w:r>
      <w:r w:rsidRPr="00C96069">
        <w:rPr>
          <w:sz w:val="22"/>
          <w:szCs w:val="22"/>
        </w:rPr>
        <w:t xml:space="preserve">  Proposed Intro. No. </w:t>
      </w:r>
      <w:r w:rsidR="00BB4798">
        <w:rPr>
          <w:sz w:val="22"/>
          <w:szCs w:val="22"/>
        </w:rPr>
        <w:t>2</w:t>
      </w:r>
      <w:r w:rsidR="00D151CE">
        <w:rPr>
          <w:sz w:val="22"/>
          <w:szCs w:val="22"/>
        </w:rPr>
        <w:t>2</w:t>
      </w:r>
      <w:r w:rsidR="00FB7101">
        <w:rPr>
          <w:sz w:val="22"/>
          <w:szCs w:val="22"/>
        </w:rPr>
        <w:t>42</w:t>
      </w:r>
      <w:r w:rsidR="00D067C8">
        <w:rPr>
          <w:sz w:val="22"/>
          <w:szCs w:val="22"/>
        </w:rPr>
        <w:t>-</w:t>
      </w:r>
      <w:r w:rsidR="00D067C8" w:rsidRPr="00DB2241">
        <w:rPr>
          <w:sz w:val="22"/>
          <w:szCs w:val="22"/>
        </w:rPr>
        <w:t>A</w:t>
      </w:r>
      <w:r w:rsidRPr="00DB2241">
        <w:rPr>
          <w:sz w:val="22"/>
          <w:szCs w:val="22"/>
        </w:rPr>
        <w:t xml:space="preserve"> </w:t>
      </w:r>
      <w:r w:rsidR="009B2589" w:rsidRPr="00DB2241">
        <w:rPr>
          <w:sz w:val="22"/>
          <w:szCs w:val="22"/>
        </w:rPr>
        <w:t xml:space="preserve">would </w:t>
      </w:r>
      <w:r w:rsidR="00FB7101" w:rsidRPr="00FB7101">
        <w:rPr>
          <w:sz w:val="22"/>
          <w:szCs w:val="22"/>
        </w:rPr>
        <w:t>authorize the use of pay-by-plate parking meters in addition to pay-and-display parking meters.  Pay-by-plate parking meters would require a person to enter the vehicle’s license plate to register payment for parking, and would be capable of tracking payment by the vehicle’s license plate, rather than by paper receipt.  Before the Department of Transportation (DOT) makes changes to the parking meter rates or replaces a pay-and-display parking meter with a pay-by-plate parking meter, DOT would provide 30-days written notice to the Council Member and Community Board in whose district such change would occur and post such change on the DOT’s website. Additionally, parking time could only be used on the blockface, or street section, for which it was purchased and could not be transferred between blockfaces.</w:t>
      </w:r>
      <w:r w:rsidR="003E2EDD">
        <w:rPr>
          <w:sz w:val="22"/>
          <w:szCs w:val="22"/>
        </w:rPr>
        <w:t xml:space="preserve"> Lastly, t</w:t>
      </w:r>
      <w:r w:rsidR="00FB7101" w:rsidRPr="00FB7101">
        <w:rPr>
          <w:sz w:val="22"/>
          <w:szCs w:val="22"/>
        </w:rPr>
        <w:t>his bill would consolidate existing sections of the Administrative Code related to parking meters into one section.</w:t>
      </w:r>
    </w:p>
    <w:p w14:paraId="6ACC4BC7" w14:textId="77777777" w:rsidR="00D151CE" w:rsidRPr="00D151CE" w:rsidRDefault="00D151CE" w:rsidP="00D1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151CE">
        <w:rPr>
          <w:sz w:val="22"/>
          <w:szCs w:val="22"/>
        </w:rPr>
        <w:t xml:space="preserve"> </w:t>
      </w:r>
    </w:p>
    <w:p w14:paraId="5033B072" w14:textId="77777777" w:rsidR="00C74068" w:rsidRDefault="00263651" w:rsidP="00053C7C">
      <w:pPr>
        <w:spacing w:line="259" w:lineRule="auto"/>
        <w:jc w:val="both"/>
        <w:rPr>
          <w:color w:val="000000" w:themeColor="text1"/>
          <w:sz w:val="22"/>
          <w:szCs w:val="22"/>
        </w:rPr>
      </w:pPr>
      <w:r w:rsidRPr="56A63D9C">
        <w:rPr>
          <w:b/>
          <w:bCs/>
          <w:smallCaps/>
          <w:color w:val="000000" w:themeColor="text1"/>
          <w:sz w:val="22"/>
          <w:szCs w:val="22"/>
        </w:rPr>
        <w:t>Effective Date:</w:t>
      </w:r>
      <w:r w:rsidRPr="56A63D9C">
        <w:rPr>
          <w:color w:val="000000" w:themeColor="text1"/>
          <w:sz w:val="22"/>
          <w:szCs w:val="22"/>
        </w:rPr>
        <w:t xml:space="preserve"> </w:t>
      </w:r>
      <w:r w:rsidR="00C74068" w:rsidRPr="00C74068">
        <w:rPr>
          <w:color w:val="000000" w:themeColor="text1"/>
          <w:sz w:val="22"/>
          <w:szCs w:val="22"/>
        </w:rPr>
        <w:t xml:space="preserve">This local law would take effect </w:t>
      </w:r>
      <w:r w:rsidR="00FB7101">
        <w:rPr>
          <w:color w:val="000000" w:themeColor="text1"/>
          <w:sz w:val="22"/>
          <w:szCs w:val="22"/>
        </w:rPr>
        <w:t>60 days after it becomes law.</w:t>
      </w:r>
    </w:p>
    <w:p w14:paraId="6A04ED56" w14:textId="77777777" w:rsidR="00C74068" w:rsidRDefault="00C74068" w:rsidP="0077411A">
      <w:pPr>
        <w:spacing w:line="259" w:lineRule="auto"/>
        <w:rPr>
          <w:color w:val="000000" w:themeColor="text1"/>
          <w:sz w:val="22"/>
          <w:szCs w:val="22"/>
        </w:rPr>
      </w:pPr>
    </w:p>
    <w:p w14:paraId="5A11F9F8" w14:textId="77777777"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BB4798">
        <w:rPr>
          <w:smallCaps/>
          <w:sz w:val="22"/>
          <w:szCs w:val="22"/>
        </w:rPr>
        <w:t>3</w:t>
      </w:r>
    </w:p>
    <w:p w14:paraId="7EAF975A"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184BDD4D"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14E45FE" w14:textId="77777777" w:rsidR="003A3D21" w:rsidRDefault="003A3D21" w:rsidP="009D584E">
            <w:pPr>
              <w:spacing w:line="201" w:lineRule="auto"/>
              <w:jc w:val="center"/>
              <w:rPr>
                <w:sz w:val="20"/>
                <w:szCs w:val="20"/>
              </w:rPr>
            </w:pPr>
          </w:p>
          <w:p w14:paraId="22DFE323"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2198298" w14:textId="77777777" w:rsidR="003A3D21" w:rsidRDefault="003A3D21" w:rsidP="009D584E">
            <w:pPr>
              <w:jc w:val="center"/>
              <w:rPr>
                <w:b/>
                <w:bCs/>
                <w:sz w:val="20"/>
                <w:szCs w:val="20"/>
              </w:rPr>
            </w:pPr>
            <w:r w:rsidRPr="6C2AFBF1">
              <w:rPr>
                <w:b/>
                <w:bCs/>
                <w:sz w:val="20"/>
                <w:szCs w:val="20"/>
              </w:rPr>
              <w:t>Effective FY2</w:t>
            </w:r>
            <w:r w:rsidR="00BB4798">
              <w:rPr>
                <w:b/>
                <w:bCs/>
                <w:sz w:val="20"/>
                <w:szCs w:val="20"/>
              </w:rPr>
              <w:t>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27B3C2A2" w14:textId="77777777" w:rsidR="003A3D21" w:rsidRDefault="003A3D21" w:rsidP="009D584E">
            <w:pPr>
              <w:jc w:val="center"/>
              <w:rPr>
                <w:b/>
                <w:bCs/>
                <w:sz w:val="20"/>
                <w:szCs w:val="20"/>
              </w:rPr>
            </w:pPr>
            <w:r w:rsidRPr="6C2AFBF1">
              <w:rPr>
                <w:b/>
                <w:bCs/>
                <w:sz w:val="20"/>
                <w:szCs w:val="20"/>
              </w:rPr>
              <w:t>FY Succeeding Effective FY2</w:t>
            </w:r>
            <w:r w:rsidR="00BB4798">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363E8A49" w14:textId="77777777" w:rsidR="003A3D21" w:rsidRPr="6C2AFBF1" w:rsidRDefault="003A3D21" w:rsidP="009D584E">
            <w:pPr>
              <w:jc w:val="center"/>
              <w:rPr>
                <w:b/>
                <w:bCs/>
                <w:sz w:val="20"/>
                <w:szCs w:val="20"/>
              </w:rPr>
            </w:pPr>
            <w:r w:rsidRPr="6C2AFBF1">
              <w:rPr>
                <w:b/>
                <w:bCs/>
                <w:sz w:val="20"/>
                <w:szCs w:val="20"/>
              </w:rPr>
              <w:t>Full Fiscal Impact FY2</w:t>
            </w:r>
            <w:r w:rsidR="00BB4798">
              <w:rPr>
                <w:b/>
                <w:bCs/>
                <w:sz w:val="20"/>
                <w:szCs w:val="20"/>
              </w:rPr>
              <w:t>3</w:t>
            </w:r>
          </w:p>
        </w:tc>
      </w:tr>
      <w:tr w:rsidR="003A3D21" w14:paraId="4776CDFB"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1759117"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064BE917"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2939C0A5"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27A030A4" w14:textId="77777777" w:rsidR="003A3D21" w:rsidRDefault="003A3D21" w:rsidP="009D584E">
            <w:pPr>
              <w:jc w:val="center"/>
              <w:rPr>
                <w:sz w:val="20"/>
                <w:szCs w:val="20"/>
              </w:rPr>
            </w:pPr>
            <w:r>
              <w:rPr>
                <w:sz w:val="20"/>
                <w:szCs w:val="20"/>
              </w:rPr>
              <w:t>$0</w:t>
            </w:r>
          </w:p>
        </w:tc>
      </w:tr>
      <w:tr w:rsidR="003A3D21" w14:paraId="3871AE6A"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3C8FE2F"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0CC2F69"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74439CEB"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60E7D20A"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r w:rsidR="003A3D21" w14:paraId="2073BA43"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7C3CD7BE"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452D9FEA" w14:textId="77777777" w:rsidR="003A3D21" w:rsidRDefault="003A3D21" w:rsidP="009D584E">
            <w:pPr>
              <w:jc w:val="center"/>
              <w:rPr>
                <w:sz w:val="20"/>
                <w:szCs w:val="20"/>
              </w:rPr>
            </w:pPr>
            <w:r w:rsidRPr="6C2AFBF1">
              <w:rPr>
                <w:sz w:val="20"/>
                <w:szCs w:val="20"/>
              </w:rPr>
              <w:t>$</w:t>
            </w:r>
            <w:r w:rsidR="00431ED5">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25CB2A5" w14:textId="77777777" w:rsidR="003A3D21" w:rsidRDefault="003A3D21" w:rsidP="009D584E">
            <w:pPr>
              <w:jc w:val="center"/>
              <w:rPr>
                <w:sz w:val="20"/>
                <w:szCs w:val="20"/>
              </w:rPr>
            </w:pPr>
            <w:r w:rsidRPr="440A625D">
              <w:rPr>
                <w:sz w:val="20"/>
                <w:szCs w:val="20"/>
              </w:rPr>
              <w:t>$</w:t>
            </w:r>
            <w:r w:rsidR="00484F9E">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3E273A" w14:textId="77777777" w:rsidR="003A3D21" w:rsidRPr="440A625D" w:rsidRDefault="003A3D21" w:rsidP="009D584E">
            <w:pPr>
              <w:jc w:val="center"/>
              <w:rPr>
                <w:sz w:val="20"/>
                <w:szCs w:val="20"/>
              </w:rPr>
            </w:pPr>
            <w:r w:rsidRPr="6C2AFBF1">
              <w:rPr>
                <w:sz w:val="20"/>
                <w:szCs w:val="20"/>
              </w:rPr>
              <w:t>$</w:t>
            </w:r>
            <w:r w:rsidR="00484F9E">
              <w:rPr>
                <w:sz w:val="20"/>
                <w:szCs w:val="20"/>
              </w:rPr>
              <w:t>0</w:t>
            </w:r>
          </w:p>
        </w:tc>
      </w:tr>
    </w:tbl>
    <w:p w14:paraId="12BD4CD2" w14:textId="77777777"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is estimated that there would be no impact on revenues resulting from the enactment of this</w:t>
      </w:r>
      <w:r w:rsidR="00FE78DA">
        <w:rPr>
          <w:sz w:val="22"/>
          <w:szCs w:val="22"/>
        </w:rPr>
        <w:t xml:space="preserve"> </w:t>
      </w:r>
      <w:r w:rsidR="008A2D2F" w:rsidRPr="008A2D2F">
        <w:rPr>
          <w:sz w:val="22"/>
          <w:szCs w:val="22"/>
        </w:rPr>
        <w:t>legislation</w:t>
      </w:r>
      <w:r w:rsidR="00FE78DA">
        <w:rPr>
          <w:sz w:val="22"/>
          <w:szCs w:val="22"/>
        </w:rPr>
        <w:t>.</w:t>
      </w:r>
    </w:p>
    <w:p w14:paraId="0338DBC6" w14:textId="77777777" w:rsidR="00567D6C" w:rsidRDefault="00567D6C">
      <w:pPr>
        <w:rPr>
          <w:b/>
          <w:smallCaps/>
          <w:sz w:val="22"/>
          <w:szCs w:val="22"/>
        </w:rPr>
      </w:pPr>
    </w:p>
    <w:p w14:paraId="3753F959" w14:textId="77777777" w:rsidR="00DA445E" w:rsidRDefault="00263651" w:rsidP="440A625D">
      <w:pPr>
        <w:rPr>
          <w:sz w:val="22"/>
          <w:szCs w:val="22"/>
        </w:rPr>
      </w:pPr>
      <w:r w:rsidRPr="440A625D">
        <w:rPr>
          <w:b/>
          <w:bCs/>
          <w:smallCaps/>
          <w:sz w:val="22"/>
          <w:szCs w:val="22"/>
        </w:rPr>
        <w:t>Impact on Expenditures:</w:t>
      </w:r>
      <w:r w:rsidRPr="440A625D">
        <w:rPr>
          <w:sz w:val="22"/>
          <w:szCs w:val="22"/>
        </w:rPr>
        <w:t xml:space="preserve"> </w:t>
      </w:r>
      <w:r w:rsidR="00484F9E" w:rsidRPr="37699244">
        <w:rPr>
          <w:sz w:val="22"/>
          <w:szCs w:val="22"/>
        </w:rPr>
        <w:t xml:space="preserve">It </w:t>
      </w:r>
      <w:r w:rsidR="00FE78DA" w:rsidRPr="00FE78DA">
        <w:rPr>
          <w:sz w:val="22"/>
          <w:szCs w:val="22"/>
        </w:rPr>
        <w:t>is estimated that there would be no impact on expenditures</w:t>
      </w:r>
      <w:r w:rsidR="00D2467F">
        <w:rPr>
          <w:sz w:val="22"/>
          <w:szCs w:val="22"/>
        </w:rPr>
        <w:t xml:space="preserve"> </w:t>
      </w:r>
      <w:r w:rsidR="00636AFF">
        <w:rPr>
          <w:sz w:val="22"/>
          <w:szCs w:val="22"/>
        </w:rPr>
        <w:t xml:space="preserve">resulting </w:t>
      </w:r>
      <w:r w:rsidR="00B05E59">
        <w:rPr>
          <w:sz w:val="22"/>
          <w:szCs w:val="22"/>
        </w:rPr>
        <w:t>from the enactment of this legislation</w:t>
      </w:r>
      <w:r w:rsidR="009F53FE">
        <w:rPr>
          <w:sz w:val="22"/>
          <w:szCs w:val="22"/>
        </w:rPr>
        <w:t xml:space="preserve"> because the relevant agencies would utilize existing resources.</w:t>
      </w:r>
    </w:p>
    <w:p w14:paraId="2B918A93"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6B4D55">
        <w:rPr>
          <w:sz w:val="22"/>
          <w:szCs w:val="22"/>
        </w:rPr>
        <w:t>N/A</w:t>
      </w:r>
    </w:p>
    <w:p w14:paraId="097DFF93" w14:textId="77777777"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14:paraId="41C25988" w14:textId="77777777"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color w:val="000000"/>
          <w:sz w:val="22"/>
          <w:szCs w:val="22"/>
        </w:rPr>
        <w:t>Mayor’s Office of Legislative Affairs</w:t>
      </w:r>
      <w:r>
        <w:rPr>
          <w:rFonts w:ascii="Calibri" w:eastAsia="Calibri" w:hAnsi="Calibri" w:cs="Calibri"/>
          <w:color w:val="000000"/>
          <w:sz w:val="22"/>
          <w:szCs w:val="22"/>
        </w:rPr>
        <w:t xml:space="preserve"> </w:t>
      </w:r>
      <w:r w:rsidR="00E4342E">
        <w:rPr>
          <w:rFonts w:eastAsia="Calibri"/>
          <w:color w:val="000000"/>
          <w:sz w:val="22"/>
          <w:szCs w:val="22"/>
        </w:rPr>
        <w:tab/>
      </w:r>
      <w:r w:rsidR="00263651" w:rsidRPr="005B205E">
        <w:rPr>
          <w:rFonts w:eastAsia="Calibri"/>
          <w:color w:val="000000"/>
          <w:sz w:val="22"/>
          <w:szCs w:val="22"/>
        </w:rPr>
        <w:t xml:space="preserve"> </w:t>
      </w:r>
    </w:p>
    <w:p w14:paraId="57F199E9" w14:textId="77777777" w:rsidR="00567D6C" w:rsidRDefault="00263651">
      <w:pPr>
        <w:spacing w:before="240"/>
        <w:rPr>
          <w:smallCaps/>
          <w:sz w:val="22"/>
          <w:szCs w:val="22"/>
        </w:rPr>
      </w:pPr>
      <w:r>
        <w:rPr>
          <w:b/>
          <w:smallCaps/>
          <w:sz w:val="22"/>
          <w:szCs w:val="22"/>
        </w:rPr>
        <w:lastRenderedPageBreak/>
        <w:t xml:space="preserve">Estimate Prepared by:    </w:t>
      </w:r>
      <w:r>
        <w:rPr>
          <w:b/>
          <w:smallCaps/>
          <w:sz w:val="22"/>
          <w:szCs w:val="22"/>
        </w:rPr>
        <w:tab/>
      </w:r>
      <w:r>
        <w:rPr>
          <w:sz w:val="22"/>
          <w:szCs w:val="22"/>
        </w:rPr>
        <w:t>John Basile, Senior Financial Analyst</w:t>
      </w:r>
    </w:p>
    <w:p w14:paraId="6AAA61E0" w14:textId="77777777" w:rsidR="00CA15DE" w:rsidRDefault="00CA15DE">
      <w:pPr>
        <w:rPr>
          <w:b/>
          <w:smallCaps/>
          <w:sz w:val="22"/>
          <w:szCs w:val="22"/>
        </w:rPr>
      </w:pPr>
    </w:p>
    <w:p w14:paraId="2579AD3C" w14:textId="77777777" w:rsidR="00567D6C" w:rsidRDefault="00263651">
      <w:pPr>
        <w:rPr>
          <w:sz w:val="22"/>
          <w:szCs w:val="22"/>
        </w:rPr>
      </w:pPr>
      <w:r>
        <w:rPr>
          <w:b/>
          <w:smallCaps/>
          <w:sz w:val="22"/>
          <w:szCs w:val="22"/>
        </w:rPr>
        <w:t>Estimate Reviewed by:</w:t>
      </w:r>
      <w:r>
        <w:rPr>
          <w:b/>
          <w:smallCaps/>
          <w:sz w:val="22"/>
          <w:szCs w:val="22"/>
        </w:rPr>
        <w:tab/>
      </w:r>
      <w:r w:rsidR="00FE78DA">
        <w:rPr>
          <w:sz w:val="22"/>
          <w:szCs w:val="22"/>
        </w:rPr>
        <w:t>Chima Obichere</w:t>
      </w:r>
      <w:r>
        <w:rPr>
          <w:sz w:val="22"/>
          <w:szCs w:val="22"/>
        </w:rPr>
        <w:t xml:space="preserve">, </w:t>
      </w:r>
      <w:r w:rsidR="00FE78DA">
        <w:rPr>
          <w:sz w:val="22"/>
          <w:szCs w:val="22"/>
        </w:rPr>
        <w:t>Unit Head</w:t>
      </w:r>
    </w:p>
    <w:p w14:paraId="47F7AEFD" w14:textId="77777777" w:rsidR="00567D6C" w:rsidRDefault="00263651">
      <w:pPr>
        <w:rPr>
          <w:sz w:val="22"/>
          <w:szCs w:val="22"/>
        </w:rPr>
      </w:pPr>
      <w:r>
        <w:rPr>
          <w:sz w:val="22"/>
          <w:szCs w:val="22"/>
        </w:rPr>
        <w:tab/>
      </w:r>
      <w:r>
        <w:rPr>
          <w:sz w:val="22"/>
          <w:szCs w:val="22"/>
        </w:rPr>
        <w:tab/>
      </w:r>
      <w:r>
        <w:rPr>
          <w:sz w:val="22"/>
          <w:szCs w:val="22"/>
        </w:rPr>
        <w:tab/>
      </w:r>
      <w:r>
        <w:rPr>
          <w:sz w:val="22"/>
          <w:szCs w:val="22"/>
        </w:rPr>
        <w:tab/>
      </w:r>
      <w:r w:rsidR="00CA15DE">
        <w:rPr>
          <w:sz w:val="22"/>
          <w:szCs w:val="22"/>
        </w:rPr>
        <w:t>Noah Brick</w:t>
      </w:r>
      <w:r w:rsidRPr="008705D7">
        <w:rPr>
          <w:sz w:val="22"/>
          <w:szCs w:val="22"/>
        </w:rPr>
        <w:t>, Assistant Counsel</w:t>
      </w:r>
      <w:r>
        <w:t xml:space="preserve"> </w:t>
      </w:r>
    </w:p>
    <w:p w14:paraId="0400F1BC" w14:textId="64A0C8AA" w:rsidR="00DA445E" w:rsidRDefault="00263651">
      <w:pPr>
        <w:spacing w:before="240" w:after="240"/>
        <w:jc w:val="both"/>
        <w:rPr>
          <w:sz w:val="22"/>
          <w:szCs w:val="22"/>
        </w:rPr>
      </w:pPr>
      <w:r w:rsidRPr="3743CED7">
        <w:rPr>
          <w:b/>
          <w:bCs/>
          <w:smallCaps/>
          <w:sz w:val="22"/>
          <w:szCs w:val="22"/>
        </w:rPr>
        <w:t>Legislative History:</w:t>
      </w:r>
      <w:r w:rsidR="00270E87">
        <w:rPr>
          <w:sz w:val="22"/>
          <w:szCs w:val="22"/>
        </w:rPr>
        <w:t xml:space="preserve"> </w:t>
      </w:r>
      <w:r w:rsidR="001825DF" w:rsidRPr="3743CED7">
        <w:rPr>
          <w:color w:val="000000" w:themeColor="text1"/>
          <w:sz w:val="22"/>
          <w:szCs w:val="22"/>
        </w:rPr>
        <w:t xml:space="preserve">This legislation was first introduced to the Council as Intro. No. </w:t>
      </w:r>
      <w:r w:rsidR="009F53FE">
        <w:rPr>
          <w:color w:val="000000" w:themeColor="text1"/>
          <w:sz w:val="22"/>
          <w:szCs w:val="22"/>
        </w:rPr>
        <w:t>2</w:t>
      </w:r>
      <w:r w:rsidR="00880C5C">
        <w:rPr>
          <w:color w:val="000000" w:themeColor="text1"/>
          <w:sz w:val="22"/>
          <w:szCs w:val="22"/>
        </w:rPr>
        <w:t>422</w:t>
      </w:r>
      <w:r w:rsidR="001825DF" w:rsidRPr="3743CED7">
        <w:rPr>
          <w:color w:val="000000" w:themeColor="text1"/>
          <w:sz w:val="22"/>
          <w:szCs w:val="22"/>
        </w:rPr>
        <w:t xml:space="preserve"> on</w:t>
      </w:r>
      <w:r w:rsidR="001825DF">
        <w:rPr>
          <w:color w:val="000000" w:themeColor="text1"/>
          <w:sz w:val="22"/>
          <w:szCs w:val="22"/>
        </w:rPr>
        <w:t xml:space="preserve"> </w:t>
      </w:r>
      <w:r w:rsidR="00880C5C">
        <w:rPr>
          <w:color w:val="000000" w:themeColor="text1"/>
          <w:sz w:val="22"/>
          <w:szCs w:val="22"/>
        </w:rPr>
        <w:t>October</w:t>
      </w:r>
      <w:r w:rsidR="00D067C8">
        <w:rPr>
          <w:color w:val="000000" w:themeColor="text1"/>
          <w:sz w:val="22"/>
          <w:szCs w:val="22"/>
        </w:rPr>
        <w:t xml:space="preserve"> </w:t>
      </w:r>
      <w:r w:rsidR="001825DF">
        <w:rPr>
          <w:color w:val="000000" w:themeColor="text1"/>
          <w:sz w:val="22"/>
          <w:szCs w:val="22"/>
        </w:rPr>
        <w:t xml:space="preserve"> </w:t>
      </w:r>
      <w:r w:rsidR="00880C5C">
        <w:rPr>
          <w:color w:val="000000" w:themeColor="text1"/>
          <w:sz w:val="22"/>
          <w:szCs w:val="22"/>
        </w:rPr>
        <w:t>7</w:t>
      </w:r>
      <w:r w:rsidR="001825DF" w:rsidRPr="3743CED7">
        <w:rPr>
          <w:color w:val="000000" w:themeColor="text1"/>
          <w:sz w:val="22"/>
          <w:szCs w:val="22"/>
        </w:rPr>
        <w:t>, 20</w:t>
      </w:r>
      <w:r w:rsidR="009F53FE">
        <w:rPr>
          <w:color w:val="000000" w:themeColor="text1"/>
          <w:sz w:val="22"/>
          <w:szCs w:val="22"/>
        </w:rPr>
        <w:t>21</w:t>
      </w:r>
      <w:r w:rsidR="001825DF" w:rsidRPr="3743CED7">
        <w:rPr>
          <w:color w:val="000000" w:themeColor="text1"/>
          <w:sz w:val="22"/>
          <w:szCs w:val="22"/>
        </w:rPr>
        <w:t xml:space="preserve"> and referred to the Committee on </w:t>
      </w:r>
      <w:r w:rsidR="009F53FE">
        <w:rPr>
          <w:color w:val="000000" w:themeColor="text1"/>
          <w:sz w:val="22"/>
          <w:szCs w:val="22"/>
        </w:rPr>
        <w:t>Transportation (Committee)</w:t>
      </w:r>
      <w:r w:rsidR="00E22B0A">
        <w:rPr>
          <w:color w:val="000000" w:themeColor="text1"/>
          <w:sz w:val="22"/>
          <w:szCs w:val="22"/>
        </w:rPr>
        <w:t>.</w:t>
      </w:r>
      <w:r w:rsidR="001825DF" w:rsidRPr="3743CED7">
        <w:rPr>
          <w:color w:val="000000" w:themeColor="text1"/>
          <w:sz w:val="22"/>
          <w:szCs w:val="22"/>
        </w:rPr>
        <w:t xml:space="preserve">  A </w:t>
      </w:r>
      <w:r w:rsidR="00B82C6C">
        <w:rPr>
          <w:color w:val="000000" w:themeColor="text1"/>
          <w:sz w:val="22"/>
          <w:szCs w:val="22"/>
        </w:rPr>
        <w:t xml:space="preserve">joint </w:t>
      </w:r>
      <w:r w:rsidR="001825DF" w:rsidRPr="3743CED7">
        <w:rPr>
          <w:color w:val="000000" w:themeColor="text1"/>
          <w:sz w:val="22"/>
          <w:szCs w:val="22"/>
        </w:rPr>
        <w:t>hearing was held</w:t>
      </w:r>
      <w:r w:rsidR="00B82C6C">
        <w:rPr>
          <w:color w:val="000000" w:themeColor="text1"/>
          <w:sz w:val="22"/>
          <w:szCs w:val="22"/>
        </w:rPr>
        <w:t xml:space="preserve"> </w:t>
      </w:r>
      <w:r w:rsidR="001825DF" w:rsidRPr="3743CED7">
        <w:rPr>
          <w:color w:val="000000" w:themeColor="text1"/>
          <w:sz w:val="22"/>
          <w:szCs w:val="22"/>
        </w:rPr>
        <w:t>by the Committee</w:t>
      </w:r>
      <w:r w:rsidR="00880C5C">
        <w:rPr>
          <w:color w:val="000000" w:themeColor="text1"/>
          <w:sz w:val="22"/>
          <w:szCs w:val="22"/>
        </w:rPr>
        <w:t xml:space="preserve"> and </w:t>
      </w:r>
      <w:r w:rsidR="00D62330">
        <w:rPr>
          <w:color w:val="000000" w:themeColor="text1"/>
          <w:sz w:val="22"/>
          <w:szCs w:val="22"/>
        </w:rPr>
        <w:t xml:space="preserve">the Committee on </w:t>
      </w:r>
      <w:r w:rsidR="00880C5C">
        <w:rPr>
          <w:color w:val="000000" w:themeColor="text1"/>
          <w:sz w:val="22"/>
          <w:szCs w:val="22"/>
        </w:rPr>
        <w:t>Oversight and Investigation</w:t>
      </w:r>
      <w:r w:rsidR="00D62330">
        <w:rPr>
          <w:color w:val="000000" w:themeColor="text1"/>
          <w:sz w:val="22"/>
          <w:szCs w:val="22"/>
        </w:rPr>
        <w:t>s</w:t>
      </w:r>
      <w:r w:rsidR="001825DF" w:rsidRPr="3743CED7">
        <w:rPr>
          <w:color w:val="000000" w:themeColor="text1"/>
          <w:sz w:val="22"/>
          <w:szCs w:val="22"/>
        </w:rPr>
        <w:t xml:space="preserve"> on </w:t>
      </w:r>
      <w:r w:rsidR="00880C5C">
        <w:rPr>
          <w:color w:val="000000" w:themeColor="text1"/>
          <w:sz w:val="22"/>
          <w:szCs w:val="22"/>
        </w:rPr>
        <w:t>October</w:t>
      </w:r>
      <w:r w:rsidR="00D067C8">
        <w:rPr>
          <w:color w:val="000000" w:themeColor="text1"/>
          <w:sz w:val="22"/>
          <w:szCs w:val="22"/>
        </w:rPr>
        <w:t xml:space="preserve"> </w:t>
      </w:r>
      <w:r w:rsidR="00880C5C">
        <w:rPr>
          <w:color w:val="000000" w:themeColor="text1"/>
          <w:sz w:val="22"/>
          <w:szCs w:val="22"/>
        </w:rPr>
        <w:t>26</w:t>
      </w:r>
      <w:r w:rsidR="00D067C8">
        <w:rPr>
          <w:color w:val="000000" w:themeColor="text1"/>
          <w:sz w:val="22"/>
          <w:szCs w:val="22"/>
        </w:rPr>
        <w:t xml:space="preserve">, 2021 </w:t>
      </w:r>
      <w:r w:rsidR="001825DF" w:rsidRPr="3743CED7">
        <w:rPr>
          <w:color w:val="000000" w:themeColor="text1"/>
          <w:sz w:val="22"/>
          <w:szCs w:val="22"/>
        </w:rPr>
        <w:t xml:space="preserve">and the bill was laid over.  The legislation was subsequently amended and the amended version, Proposed Intro. No. </w:t>
      </w:r>
      <w:r w:rsidR="009F53FE">
        <w:rPr>
          <w:color w:val="000000" w:themeColor="text1"/>
          <w:sz w:val="22"/>
          <w:szCs w:val="22"/>
        </w:rPr>
        <w:t>2</w:t>
      </w:r>
      <w:r w:rsidR="00880C5C">
        <w:rPr>
          <w:color w:val="000000" w:themeColor="text1"/>
          <w:sz w:val="22"/>
          <w:szCs w:val="22"/>
        </w:rPr>
        <w:t>422</w:t>
      </w:r>
      <w:r w:rsidR="001825DF">
        <w:rPr>
          <w:color w:val="000000" w:themeColor="text1"/>
          <w:sz w:val="22"/>
          <w:szCs w:val="22"/>
        </w:rPr>
        <w:t>-</w:t>
      </w:r>
      <w:r w:rsidR="001825DF" w:rsidRPr="3743CED7">
        <w:rPr>
          <w:color w:val="000000" w:themeColor="text1"/>
          <w:sz w:val="22"/>
          <w:szCs w:val="22"/>
        </w:rPr>
        <w:t xml:space="preserve">A, will be considered by the Committee on </w:t>
      </w:r>
      <w:r w:rsidR="001825DF">
        <w:rPr>
          <w:color w:val="000000" w:themeColor="text1"/>
          <w:sz w:val="22"/>
          <w:szCs w:val="22"/>
        </w:rPr>
        <w:t>November</w:t>
      </w:r>
      <w:r w:rsidR="001825DF" w:rsidRPr="3743CED7">
        <w:rPr>
          <w:color w:val="000000" w:themeColor="text1"/>
          <w:sz w:val="22"/>
          <w:szCs w:val="22"/>
        </w:rPr>
        <w:t xml:space="preserve"> </w:t>
      </w:r>
      <w:r w:rsidR="00D067C8">
        <w:rPr>
          <w:color w:val="000000" w:themeColor="text1"/>
          <w:sz w:val="22"/>
          <w:szCs w:val="22"/>
        </w:rPr>
        <w:t>22</w:t>
      </w:r>
      <w:r w:rsidR="001825DF" w:rsidRPr="3743CED7">
        <w:rPr>
          <w:color w:val="000000" w:themeColor="text1"/>
          <w:sz w:val="22"/>
          <w:szCs w:val="22"/>
        </w:rPr>
        <w:t>, 202</w:t>
      </w:r>
      <w:r w:rsidR="001825DF">
        <w:rPr>
          <w:color w:val="000000" w:themeColor="text1"/>
          <w:sz w:val="22"/>
          <w:szCs w:val="22"/>
        </w:rPr>
        <w:t>1</w:t>
      </w:r>
      <w:r w:rsidR="001825DF" w:rsidRPr="3743CED7">
        <w:rPr>
          <w:color w:val="000000" w:themeColor="text1"/>
          <w:sz w:val="22"/>
          <w:szCs w:val="22"/>
        </w:rPr>
        <w:t xml:space="preserve">. Upon a successful vote by the Committee, Proposed Intro. No. </w:t>
      </w:r>
      <w:r w:rsidR="005717C7">
        <w:rPr>
          <w:color w:val="000000" w:themeColor="text1"/>
          <w:sz w:val="22"/>
          <w:szCs w:val="22"/>
        </w:rPr>
        <w:t>2</w:t>
      </w:r>
      <w:r w:rsidR="005F1094">
        <w:rPr>
          <w:color w:val="000000" w:themeColor="text1"/>
          <w:sz w:val="22"/>
          <w:szCs w:val="22"/>
        </w:rPr>
        <w:t>422</w:t>
      </w:r>
      <w:r w:rsidR="001825DF" w:rsidRPr="3743CED7">
        <w:rPr>
          <w:color w:val="000000" w:themeColor="text1"/>
          <w:sz w:val="22"/>
          <w:szCs w:val="22"/>
        </w:rPr>
        <w:t xml:space="preserve">-A will be submitted to the full Council for a vote on </w:t>
      </w:r>
      <w:r w:rsidR="001825DF">
        <w:rPr>
          <w:color w:val="000000" w:themeColor="text1"/>
          <w:sz w:val="22"/>
          <w:szCs w:val="22"/>
        </w:rPr>
        <w:t xml:space="preserve">November </w:t>
      </w:r>
      <w:r w:rsidR="00D067C8">
        <w:rPr>
          <w:color w:val="000000" w:themeColor="text1"/>
          <w:sz w:val="22"/>
          <w:szCs w:val="22"/>
        </w:rPr>
        <w:t>23</w:t>
      </w:r>
      <w:r w:rsidR="001825DF">
        <w:rPr>
          <w:color w:val="000000" w:themeColor="text1"/>
          <w:sz w:val="22"/>
          <w:szCs w:val="22"/>
        </w:rPr>
        <w:t xml:space="preserve">, </w:t>
      </w:r>
      <w:r w:rsidR="001825DF" w:rsidRPr="3743CED7">
        <w:rPr>
          <w:color w:val="000000" w:themeColor="text1"/>
          <w:sz w:val="22"/>
          <w:szCs w:val="22"/>
        </w:rPr>
        <w:t>202</w:t>
      </w:r>
      <w:r w:rsidR="001825DF">
        <w:rPr>
          <w:color w:val="000000" w:themeColor="text1"/>
          <w:sz w:val="22"/>
          <w:szCs w:val="22"/>
        </w:rPr>
        <w:t>1</w:t>
      </w:r>
      <w:r w:rsidR="001825DF" w:rsidRPr="3743CED7">
        <w:rPr>
          <w:color w:val="000000" w:themeColor="text1"/>
          <w:sz w:val="22"/>
          <w:szCs w:val="22"/>
        </w:rPr>
        <w:t>.</w:t>
      </w:r>
    </w:p>
    <w:p w14:paraId="33467A43" w14:textId="77777777" w:rsidR="000C7596" w:rsidRDefault="00263651">
      <w:pPr>
        <w:spacing w:before="120"/>
        <w:rPr>
          <w:sz w:val="22"/>
          <w:szCs w:val="22"/>
        </w:rPr>
      </w:pPr>
      <w:r w:rsidRPr="440A625D">
        <w:rPr>
          <w:b/>
          <w:bCs/>
          <w:smallCaps/>
          <w:sz w:val="22"/>
          <w:szCs w:val="22"/>
        </w:rPr>
        <w:t xml:space="preserve">Date Prepared: </w:t>
      </w:r>
      <w:r w:rsidR="001825DF">
        <w:rPr>
          <w:sz w:val="22"/>
          <w:szCs w:val="22"/>
        </w:rPr>
        <w:t>November</w:t>
      </w:r>
      <w:r w:rsidR="009F431F">
        <w:rPr>
          <w:sz w:val="22"/>
          <w:szCs w:val="22"/>
        </w:rPr>
        <w:t xml:space="preserve"> </w:t>
      </w:r>
      <w:r w:rsidR="00D067C8">
        <w:rPr>
          <w:sz w:val="22"/>
          <w:szCs w:val="22"/>
        </w:rPr>
        <w:t>18</w:t>
      </w:r>
      <w:r w:rsidR="009F431F">
        <w:rPr>
          <w:sz w:val="22"/>
          <w:szCs w:val="22"/>
        </w:rPr>
        <w:t>, 2021</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F404" w14:textId="77777777" w:rsidR="0026373D" w:rsidRDefault="0026373D">
      <w:r>
        <w:separator/>
      </w:r>
    </w:p>
  </w:endnote>
  <w:endnote w:type="continuationSeparator" w:id="0">
    <w:p w14:paraId="49505A66" w14:textId="77777777" w:rsidR="0026373D" w:rsidRDefault="0026373D">
      <w:r>
        <w:continuationSeparator/>
      </w:r>
    </w:p>
  </w:endnote>
  <w:endnote w:type="continuationNotice" w:id="1">
    <w:p w14:paraId="2A8BE066" w14:textId="77777777" w:rsidR="0026373D" w:rsidRDefault="00263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17F7" w14:textId="77777777"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9F53FE">
      <w:rPr>
        <w:rFonts w:ascii="Cambria" w:eastAsia="Cambria" w:hAnsi="Cambria" w:cs="Cambria"/>
        <w:color w:val="000000" w:themeColor="text1"/>
      </w:rPr>
      <w:t>22</w:t>
    </w:r>
    <w:r w:rsidR="00FB7101">
      <w:rPr>
        <w:rFonts w:ascii="Cambria" w:eastAsia="Cambria" w:hAnsi="Cambria" w:cs="Cambria"/>
        <w:color w:val="000000" w:themeColor="text1"/>
      </w:rPr>
      <w:t>42</w:t>
    </w:r>
    <w:r w:rsidR="001825DF">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7F35F" w14:textId="77777777" w:rsidR="0026373D" w:rsidRDefault="0026373D">
      <w:r>
        <w:separator/>
      </w:r>
    </w:p>
  </w:footnote>
  <w:footnote w:type="continuationSeparator" w:id="0">
    <w:p w14:paraId="4C86BF5E" w14:textId="77777777" w:rsidR="0026373D" w:rsidRDefault="0026373D">
      <w:r>
        <w:continuationSeparator/>
      </w:r>
    </w:p>
  </w:footnote>
  <w:footnote w:type="continuationNotice" w:id="1">
    <w:p w14:paraId="0801E608" w14:textId="77777777" w:rsidR="0026373D" w:rsidRDefault="002637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02828"/>
    <w:rsid w:val="00010B49"/>
    <w:rsid w:val="00031563"/>
    <w:rsid w:val="0004550D"/>
    <w:rsid w:val="00053C7C"/>
    <w:rsid w:val="00062710"/>
    <w:rsid w:val="0006311F"/>
    <w:rsid w:val="00074581"/>
    <w:rsid w:val="000766A7"/>
    <w:rsid w:val="00084F1C"/>
    <w:rsid w:val="000A5E0C"/>
    <w:rsid w:val="000C7596"/>
    <w:rsid w:val="000D0CBF"/>
    <w:rsid w:val="001004F4"/>
    <w:rsid w:val="00107082"/>
    <w:rsid w:val="0011755C"/>
    <w:rsid w:val="00117F02"/>
    <w:rsid w:val="00134E88"/>
    <w:rsid w:val="001462D6"/>
    <w:rsid w:val="00150AD5"/>
    <w:rsid w:val="0016015A"/>
    <w:rsid w:val="00167E51"/>
    <w:rsid w:val="001825DF"/>
    <w:rsid w:val="001979EB"/>
    <w:rsid w:val="001B333F"/>
    <w:rsid w:val="001B4FA0"/>
    <w:rsid w:val="001B7BF5"/>
    <w:rsid w:val="001C3BDD"/>
    <w:rsid w:val="001C783D"/>
    <w:rsid w:val="001D63B1"/>
    <w:rsid w:val="001D716D"/>
    <w:rsid w:val="0020280D"/>
    <w:rsid w:val="002034AC"/>
    <w:rsid w:val="00225854"/>
    <w:rsid w:val="00230B79"/>
    <w:rsid w:val="002314BE"/>
    <w:rsid w:val="00240C91"/>
    <w:rsid w:val="00257631"/>
    <w:rsid w:val="00263651"/>
    <w:rsid w:val="0026373D"/>
    <w:rsid w:val="00270E87"/>
    <w:rsid w:val="002A222A"/>
    <w:rsid w:val="002B0379"/>
    <w:rsid w:val="002C5CC4"/>
    <w:rsid w:val="002F6735"/>
    <w:rsid w:val="0031609D"/>
    <w:rsid w:val="00316681"/>
    <w:rsid w:val="00316816"/>
    <w:rsid w:val="003206BC"/>
    <w:rsid w:val="00333009"/>
    <w:rsid w:val="00343F65"/>
    <w:rsid w:val="003468E2"/>
    <w:rsid w:val="00351419"/>
    <w:rsid w:val="003742B1"/>
    <w:rsid w:val="00375E26"/>
    <w:rsid w:val="00396140"/>
    <w:rsid w:val="003A09F8"/>
    <w:rsid w:val="003A3D21"/>
    <w:rsid w:val="003B46E7"/>
    <w:rsid w:val="003C3AA5"/>
    <w:rsid w:val="003D57AA"/>
    <w:rsid w:val="003E2EDD"/>
    <w:rsid w:val="00400E8F"/>
    <w:rsid w:val="00410075"/>
    <w:rsid w:val="00424A38"/>
    <w:rsid w:val="00431ED5"/>
    <w:rsid w:val="0043368C"/>
    <w:rsid w:val="00442F83"/>
    <w:rsid w:val="00451DDA"/>
    <w:rsid w:val="00457364"/>
    <w:rsid w:val="004633AE"/>
    <w:rsid w:val="00484D83"/>
    <w:rsid w:val="00484E71"/>
    <w:rsid w:val="00484F9E"/>
    <w:rsid w:val="0048746F"/>
    <w:rsid w:val="004924D3"/>
    <w:rsid w:val="004A3694"/>
    <w:rsid w:val="004A5D6A"/>
    <w:rsid w:val="004A724D"/>
    <w:rsid w:val="004C7BC3"/>
    <w:rsid w:val="004D08CA"/>
    <w:rsid w:val="004D12F7"/>
    <w:rsid w:val="004D2344"/>
    <w:rsid w:val="004D6B27"/>
    <w:rsid w:val="004D7B78"/>
    <w:rsid w:val="004E5DB2"/>
    <w:rsid w:val="004F345D"/>
    <w:rsid w:val="004F6270"/>
    <w:rsid w:val="00521C69"/>
    <w:rsid w:val="005324DF"/>
    <w:rsid w:val="005326A3"/>
    <w:rsid w:val="00533BD2"/>
    <w:rsid w:val="005379D3"/>
    <w:rsid w:val="00555309"/>
    <w:rsid w:val="00567D6C"/>
    <w:rsid w:val="005717C7"/>
    <w:rsid w:val="00576A7E"/>
    <w:rsid w:val="00580E5B"/>
    <w:rsid w:val="00587665"/>
    <w:rsid w:val="005A3566"/>
    <w:rsid w:val="005B205E"/>
    <w:rsid w:val="005D3C94"/>
    <w:rsid w:val="005E5BCF"/>
    <w:rsid w:val="005E6A0A"/>
    <w:rsid w:val="005F1094"/>
    <w:rsid w:val="005F2F92"/>
    <w:rsid w:val="00610EDE"/>
    <w:rsid w:val="00623E08"/>
    <w:rsid w:val="00636AFF"/>
    <w:rsid w:val="00644758"/>
    <w:rsid w:val="0064704E"/>
    <w:rsid w:val="00666061"/>
    <w:rsid w:val="00670678"/>
    <w:rsid w:val="00694C06"/>
    <w:rsid w:val="006B4D55"/>
    <w:rsid w:val="006D5BFC"/>
    <w:rsid w:val="006F28DB"/>
    <w:rsid w:val="00712A3F"/>
    <w:rsid w:val="00725362"/>
    <w:rsid w:val="007327BB"/>
    <w:rsid w:val="00734566"/>
    <w:rsid w:val="00742005"/>
    <w:rsid w:val="00751AF1"/>
    <w:rsid w:val="0075316A"/>
    <w:rsid w:val="00763454"/>
    <w:rsid w:val="00772603"/>
    <w:rsid w:val="0077411A"/>
    <w:rsid w:val="007C461B"/>
    <w:rsid w:val="007C5F2B"/>
    <w:rsid w:val="007C751B"/>
    <w:rsid w:val="007D02ED"/>
    <w:rsid w:val="007D216F"/>
    <w:rsid w:val="007F2786"/>
    <w:rsid w:val="008162D6"/>
    <w:rsid w:val="00830134"/>
    <w:rsid w:val="0083596F"/>
    <w:rsid w:val="00844903"/>
    <w:rsid w:val="008705D7"/>
    <w:rsid w:val="0087076D"/>
    <w:rsid w:val="00870E1C"/>
    <w:rsid w:val="00872EF0"/>
    <w:rsid w:val="00880C5C"/>
    <w:rsid w:val="008925AF"/>
    <w:rsid w:val="008930E8"/>
    <w:rsid w:val="008A2D2F"/>
    <w:rsid w:val="008B0107"/>
    <w:rsid w:val="008D08BF"/>
    <w:rsid w:val="008F2B73"/>
    <w:rsid w:val="008F6BB1"/>
    <w:rsid w:val="008F6EE4"/>
    <w:rsid w:val="008F7888"/>
    <w:rsid w:val="009126C0"/>
    <w:rsid w:val="00920A7B"/>
    <w:rsid w:val="00942A1D"/>
    <w:rsid w:val="00946BBF"/>
    <w:rsid w:val="0095779C"/>
    <w:rsid w:val="00967B78"/>
    <w:rsid w:val="00974453"/>
    <w:rsid w:val="00985339"/>
    <w:rsid w:val="00986791"/>
    <w:rsid w:val="009A04DF"/>
    <w:rsid w:val="009A7D08"/>
    <w:rsid w:val="009B2589"/>
    <w:rsid w:val="009D2045"/>
    <w:rsid w:val="009D584E"/>
    <w:rsid w:val="009E0A22"/>
    <w:rsid w:val="009F0696"/>
    <w:rsid w:val="009F1FF5"/>
    <w:rsid w:val="009F431F"/>
    <w:rsid w:val="009F53FE"/>
    <w:rsid w:val="00A009C3"/>
    <w:rsid w:val="00A103F8"/>
    <w:rsid w:val="00A11D0F"/>
    <w:rsid w:val="00A24772"/>
    <w:rsid w:val="00A26C55"/>
    <w:rsid w:val="00A50EB3"/>
    <w:rsid w:val="00A61305"/>
    <w:rsid w:val="00A70F67"/>
    <w:rsid w:val="00A85D43"/>
    <w:rsid w:val="00A909F4"/>
    <w:rsid w:val="00A97B87"/>
    <w:rsid w:val="00AB5134"/>
    <w:rsid w:val="00AD3CBC"/>
    <w:rsid w:val="00AD5802"/>
    <w:rsid w:val="00AE058A"/>
    <w:rsid w:val="00B05E59"/>
    <w:rsid w:val="00B108AE"/>
    <w:rsid w:val="00B11DE9"/>
    <w:rsid w:val="00B50028"/>
    <w:rsid w:val="00B56D68"/>
    <w:rsid w:val="00B57C7B"/>
    <w:rsid w:val="00B81594"/>
    <w:rsid w:val="00B826BC"/>
    <w:rsid w:val="00B82C6C"/>
    <w:rsid w:val="00B86A2D"/>
    <w:rsid w:val="00B90D33"/>
    <w:rsid w:val="00B95A17"/>
    <w:rsid w:val="00BB3623"/>
    <w:rsid w:val="00BB4798"/>
    <w:rsid w:val="00BC277B"/>
    <w:rsid w:val="00BD475B"/>
    <w:rsid w:val="00BE0223"/>
    <w:rsid w:val="00BE1816"/>
    <w:rsid w:val="00BE2233"/>
    <w:rsid w:val="00C01ADB"/>
    <w:rsid w:val="00C075D4"/>
    <w:rsid w:val="00C37451"/>
    <w:rsid w:val="00C54BC5"/>
    <w:rsid w:val="00C606D8"/>
    <w:rsid w:val="00C628F2"/>
    <w:rsid w:val="00C6436A"/>
    <w:rsid w:val="00C74068"/>
    <w:rsid w:val="00C83A5F"/>
    <w:rsid w:val="00C83B49"/>
    <w:rsid w:val="00C96069"/>
    <w:rsid w:val="00CA15DE"/>
    <w:rsid w:val="00CD1E73"/>
    <w:rsid w:val="00CD688D"/>
    <w:rsid w:val="00CF47E6"/>
    <w:rsid w:val="00CF5703"/>
    <w:rsid w:val="00CF600E"/>
    <w:rsid w:val="00CF7837"/>
    <w:rsid w:val="00CF7C0C"/>
    <w:rsid w:val="00D026EA"/>
    <w:rsid w:val="00D067C8"/>
    <w:rsid w:val="00D11597"/>
    <w:rsid w:val="00D13056"/>
    <w:rsid w:val="00D151CE"/>
    <w:rsid w:val="00D232B6"/>
    <w:rsid w:val="00D2467F"/>
    <w:rsid w:val="00D56D03"/>
    <w:rsid w:val="00D62330"/>
    <w:rsid w:val="00D721C5"/>
    <w:rsid w:val="00D80F0C"/>
    <w:rsid w:val="00D8561C"/>
    <w:rsid w:val="00D87F99"/>
    <w:rsid w:val="00D946AE"/>
    <w:rsid w:val="00DA445E"/>
    <w:rsid w:val="00DA5C8A"/>
    <w:rsid w:val="00DB2241"/>
    <w:rsid w:val="00DC21D2"/>
    <w:rsid w:val="00DD5EC7"/>
    <w:rsid w:val="00DD66B6"/>
    <w:rsid w:val="00DE1452"/>
    <w:rsid w:val="00DE246D"/>
    <w:rsid w:val="00DF024B"/>
    <w:rsid w:val="00DF2507"/>
    <w:rsid w:val="00DF2580"/>
    <w:rsid w:val="00DF6EC4"/>
    <w:rsid w:val="00E045B0"/>
    <w:rsid w:val="00E1219E"/>
    <w:rsid w:val="00E1454A"/>
    <w:rsid w:val="00E166E8"/>
    <w:rsid w:val="00E22B0A"/>
    <w:rsid w:val="00E4342E"/>
    <w:rsid w:val="00E75F08"/>
    <w:rsid w:val="00E80D0C"/>
    <w:rsid w:val="00E832AD"/>
    <w:rsid w:val="00E922FA"/>
    <w:rsid w:val="00E93E27"/>
    <w:rsid w:val="00E9489C"/>
    <w:rsid w:val="00EA1403"/>
    <w:rsid w:val="00EA2B23"/>
    <w:rsid w:val="00EC3A83"/>
    <w:rsid w:val="00ED3059"/>
    <w:rsid w:val="00EF2B06"/>
    <w:rsid w:val="00EF4F89"/>
    <w:rsid w:val="00F07DDA"/>
    <w:rsid w:val="00F14B29"/>
    <w:rsid w:val="00F729A0"/>
    <w:rsid w:val="00F77EA5"/>
    <w:rsid w:val="00F80C02"/>
    <w:rsid w:val="00F861FD"/>
    <w:rsid w:val="00F91DB5"/>
    <w:rsid w:val="00F92022"/>
    <w:rsid w:val="00F93C88"/>
    <w:rsid w:val="00FB7101"/>
    <w:rsid w:val="00FE718C"/>
    <w:rsid w:val="00FE78DA"/>
    <w:rsid w:val="00FF42B7"/>
    <w:rsid w:val="00FF7444"/>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D61E"/>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2.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93AD2-F7ED-4E61-89C0-07EA23559282}">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b1dfc10c-283f-4e27-9002-c334f7ba68af"/>
    <ds:schemaRef ds:uri="cb2d9fee-ee6e-4bc5-8e56-469bc74d2806"/>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939AC3-B575-4F59-96EA-714D15A7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2021-11-22T14:23:00Z</dcterms:created>
  <dcterms:modified xsi:type="dcterms:W3CDTF">2021-11-22T14:23:00Z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