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670"/>
        <w:gridCol w:w="5130"/>
      </w:tblGrid>
      <w:tr w:rsidR="00543C5A" w14:paraId="500346F2" w14:textId="77777777" w:rsidTr="40786D51">
        <w:trPr>
          <w:jc w:val="center"/>
        </w:trPr>
        <w:tc>
          <w:tcPr>
            <w:tcW w:w="5670" w:type="dxa"/>
            <w:tcBorders>
              <w:bottom w:val="single" w:sz="6" w:space="0" w:color="auto"/>
            </w:tcBorders>
          </w:tcPr>
          <w:p w14:paraId="3F2976BA" w14:textId="77777777" w:rsidR="00543C5A" w:rsidRDefault="377AB60D" w:rsidP="009B2301">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68E302C5" wp14:editId="128B1A99">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1396" t="-970" r="-1396" b="-970"/>
                          <a:stretch>
                            <a:fillRect/>
                          </a:stretch>
                        </pic:blipFill>
                        <pic:spPr>
                          <a:xfrm>
                            <a:off x="0" y="0"/>
                            <a:ext cx="1360805" cy="1371600"/>
                          </a:xfrm>
                          <a:prstGeom prst="rect">
                            <a:avLst/>
                          </a:prstGeom>
                        </pic:spPr>
                      </pic:pic>
                    </a:graphicData>
                  </a:graphic>
                </wp:inline>
              </w:drawing>
            </w:r>
          </w:p>
          <w:p w14:paraId="34BC96D0" w14:textId="77777777" w:rsidR="00543C5A" w:rsidRDefault="00543C5A" w:rsidP="009B2301"/>
        </w:tc>
        <w:tc>
          <w:tcPr>
            <w:tcW w:w="5130" w:type="dxa"/>
            <w:tcBorders>
              <w:bottom w:val="single" w:sz="6" w:space="0" w:color="auto"/>
            </w:tcBorders>
          </w:tcPr>
          <w:p w14:paraId="41F269DA" w14:textId="77777777" w:rsidR="00543C5A" w:rsidRDefault="00543C5A" w:rsidP="009B2301">
            <w:pPr>
              <w:rPr>
                <w:b/>
                <w:bCs/>
                <w:smallCaps/>
              </w:rPr>
            </w:pPr>
            <w:r>
              <w:rPr>
                <w:b/>
                <w:bCs/>
                <w:smallCaps/>
              </w:rPr>
              <w:t>The Council of the City of New York</w:t>
            </w:r>
          </w:p>
          <w:p w14:paraId="0BD3A432" w14:textId="77777777" w:rsidR="00543C5A" w:rsidRDefault="00543C5A" w:rsidP="009B2301">
            <w:pPr>
              <w:rPr>
                <w:b/>
                <w:bCs/>
                <w:smallCaps/>
              </w:rPr>
            </w:pPr>
            <w:r>
              <w:rPr>
                <w:b/>
                <w:bCs/>
                <w:smallCaps/>
              </w:rPr>
              <w:t>Finance Division</w:t>
            </w:r>
          </w:p>
          <w:p w14:paraId="514EB707" w14:textId="1072A42E" w:rsidR="00543C5A" w:rsidRPr="00701942" w:rsidRDefault="00543C5A" w:rsidP="009B2301">
            <w:pPr>
              <w:spacing w:before="120"/>
              <w:rPr>
                <w:bCs/>
                <w:smallCaps/>
              </w:rPr>
            </w:pPr>
            <w:r w:rsidRPr="00701942">
              <w:rPr>
                <w:bCs/>
                <w:smallCaps/>
              </w:rPr>
              <w:t xml:space="preserve">Latonia </w:t>
            </w:r>
            <w:r w:rsidR="00882DE8" w:rsidRPr="00701942">
              <w:rPr>
                <w:bCs/>
                <w:smallCaps/>
              </w:rPr>
              <w:t>McKinney</w:t>
            </w:r>
            <w:r w:rsidRPr="00701942">
              <w:rPr>
                <w:bCs/>
                <w:smallCaps/>
              </w:rPr>
              <w:t>, Director</w:t>
            </w:r>
          </w:p>
          <w:p w14:paraId="53D06F78" w14:textId="77777777" w:rsidR="00543C5A" w:rsidRPr="0034071D" w:rsidRDefault="00543C5A" w:rsidP="009B2301">
            <w:pPr>
              <w:spacing w:before="120"/>
            </w:pPr>
            <w:r w:rsidRPr="0034071D">
              <w:rPr>
                <w:b/>
                <w:bCs/>
                <w:smallCaps/>
              </w:rPr>
              <w:t>Fiscal Impact Statement</w:t>
            </w:r>
          </w:p>
          <w:p w14:paraId="7E5125F5" w14:textId="77777777" w:rsidR="00543C5A" w:rsidRPr="0034071D" w:rsidRDefault="00543C5A" w:rsidP="009B2301">
            <w:pPr>
              <w:rPr>
                <w:b/>
                <w:bCs/>
                <w:sz w:val="16"/>
                <w:szCs w:val="16"/>
              </w:rPr>
            </w:pPr>
          </w:p>
          <w:p w14:paraId="0A2A2044" w14:textId="64217194" w:rsidR="00543C5A" w:rsidRPr="004926C0" w:rsidRDefault="793FC11B" w:rsidP="009B2301">
            <w:pPr>
              <w:rPr>
                <w:color w:val="FF0000"/>
                <w:sz w:val="16"/>
                <w:szCs w:val="16"/>
              </w:rPr>
            </w:pPr>
            <w:r w:rsidRPr="30A40E54">
              <w:rPr>
                <w:b/>
                <w:bCs/>
                <w:smallCaps/>
              </w:rPr>
              <w:t xml:space="preserve">Proposed </w:t>
            </w:r>
            <w:r w:rsidR="377AB60D" w:rsidRPr="30A40E54">
              <w:rPr>
                <w:b/>
                <w:bCs/>
                <w:smallCaps/>
              </w:rPr>
              <w:t xml:space="preserve">Int. </w:t>
            </w:r>
            <w:r w:rsidR="683DD578" w:rsidRPr="4CA952E9">
              <w:rPr>
                <w:b/>
                <w:bCs/>
                <w:smallCaps/>
              </w:rPr>
              <w:t xml:space="preserve">No. </w:t>
            </w:r>
            <w:r w:rsidR="377AB60D" w:rsidRPr="30A40E54">
              <w:rPr>
                <w:smallCaps/>
              </w:rPr>
              <w:t>903-A</w:t>
            </w:r>
          </w:p>
          <w:p w14:paraId="0D2498B6" w14:textId="77777777" w:rsidR="00543C5A" w:rsidRPr="00497449" w:rsidRDefault="00543C5A" w:rsidP="009B2301">
            <w:pPr>
              <w:spacing w:before="120"/>
            </w:pPr>
            <w:r w:rsidRPr="0034071D">
              <w:rPr>
                <w:b/>
                <w:bCs/>
                <w:smallCaps/>
              </w:rPr>
              <w:t>Committee</w:t>
            </w:r>
            <w:r w:rsidRPr="0034071D">
              <w:rPr>
                <w:b/>
                <w:bCs/>
              </w:rPr>
              <w:t>:</w:t>
            </w:r>
            <w:r>
              <w:rPr>
                <w:b/>
                <w:bCs/>
              </w:rPr>
              <w:t xml:space="preserve"> </w:t>
            </w:r>
            <w:r>
              <w:rPr>
                <w:bCs/>
              </w:rPr>
              <w:t>Criminal Justice</w:t>
            </w:r>
          </w:p>
        </w:tc>
      </w:tr>
      <w:tr w:rsidR="00543C5A" w14:paraId="3729097A" w14:textId="77777777" w:rsidTr="40786D51">
        <w:trPr>
          <w:trHeight w:val="858"/>
          <w:jc w:val="center"/>
        </w:trPr>
        <w:tc>
          <w:tcPr>
            <w:tcW w:w="5670" w:type="dxa"/>
            <w:tcBorders>
              <w:top w:val="single" w:sz="6" w:space="0" w:color="auto"/>
            </w:tcBorders>
          </w:tcPr>
          <w:p w14:paraId="11393D5C" w14:textId="77777777" w:rsidR="00543C5A" w:rsidRDefault="00543C5A" w:rsidP="00543C5A">
            <w:pPr>
              <w:pStyle w:val="BodyText"/>
            </w:pPr>
            <w:r w:rsidRPr="00326FF1">
              <w:rPr>
                <w:b/>
                <w:bCs/>
                <w:smallCaps/>
              </w:rPr>
              <w:t>Title:</w:t>
            </w:r>
            <w:r>
              <w:rPr>
                <w:b/>
                <w:bCs/>
                <w:smallCaps/>
              </w:rPr>
              <w:t xml:space="preserve"> </w:t>
            </w:r>
            <w:r>
              <w:t>To amend the administrative code of the city of New York, in relation to funds remaining in commissary accounts when incarcerated individuals are released from custody</w:t>
            </w:r>
          </w:p>
          <w:p w14:paraId="5BF3B7F4" w14:textId="77777777" w:rsidR="00543C5A" w:rsidRPr="00351CE4" w:rsidRDefault="00543C5A" w:rsidP="009B2301">
            <w:pPr>
              <w:pStyle w:val="BodyText"/>
              <w:rPr>
                <w:color w:val="000000"/>
              </w:rPr>
            </w:pPr>
          </w:p>
        </w:tc>
        <w:tc>
          <w:tcPr>
            <w:tcW w:w="5130" w:type="dxa"/>
            <w:tcBorders>
              <w:top w:val="single" w:sz="6" w:space="0" w:color="auto"/>
            </w:tcBorders>
          </w:tcPr>
          <w:p w14:paraId="2FE4FB0F" w14:textId="4CB5FE7C" w:rsidR="00543C5A" w:rsidRDefault="00543C5A" w:rsidP="00543C5A">
            <w:r w:rsidRPr="00326FF1">
              <w:rPr>
                <w:b/>
                <w:bCs/>
              </w:rPr>
              <w:t>Sponsor</w:t>
            </w:r>
            <w:r>
              <w:rPr>
                <w:b/>
                <w:bCs/>
              </w:rPr>
              <w:t>s</w:t>
            </w:r>
            <w:r w:rsidRPr="00326FF1">
              <w:rPr>
                <w:b/>
                <w:bCs/>
              </w:rPr>
              <w:t>:</w:t>
            </w:r>
            <w:r>
              <w:rPr>
                <w:b/>
                <w:bCs/>
              </w:rPr>
              <w:t xml:space="preserve"> </w:t>
            </w:r>
            <w:r>
              <w:t>By Council Members Adams, Miller, Holden, Ampry-Samuel, Powers, Rose, Rivera, Rosenthal, Louis</w:t>
            </w:r>
            <w:r w:rsidR="24389F4D">
              <w:t>,</w:t>
            </w:r>
            <w:r>
              <w:t xml:space="preserve"> Yeger </w:t>
            </w:r>
            <w:r w:rsidR="6C0C8BB0">
              <w:t>and Brooks-Powers</w:t>
            </w:r>
            <w:r w:rsidR="377AB60D">
              <w:t xml:space="preserve"> </w:t>
            </w:r>
            <w:r>
              <w:t>(by request of the Queens Borough President)</w:t>
            </w:r>
          </w:p>
          <w:p w14:paraId="1AF4A9F6" w14:textId="77777777" w:rsidR="00543C5A" w:rsidRPr="00F42D14" w:rsidRDefault="00543C5A" w:rsidP="009B2301">
            <w:pPr>
              <w:shd w:val="clear" w:color="auto" w:fill="FFFFFF"/>
              <w:autoSpaceDE w:val="0"/>
              <w:autoSpaceDN w:val="0"/>
              <w:adjustRightInd w:val="0"/>
              <w:rPr>
                <w:bCs/>
              </w:rPr>
            </w:pPr>
          </w:p>
        </w:tc>
      </w:tr>
      <w:tr w:rsidR="00543C5A" w14:paraId="534B56B8" w14:textId="77777777" w:rsidTr="40786D51">
        <w:trPr>
          <w:cantSplit/>
          <w:trHeight w:val="981"/>
          <w:jc w:val="center"/>
        </w:trPr>
        <w:tc>
          <w:tcPr>
            <w:tcW w:w="10800" w:type="dxa"/>
            <w:gridSpan w:val="2"/>
          </w:tcPr>
          <w:p w14:paraId="62B66AD2" w14:textId="721A40B4" w:rsidR="00543C5A" w:rsidRDefault="00543C5A" w:rsidP="00543C5A">
            <w:r w:rsidRPr="3236CDD2">
              <w:rPr>
                <w:b/>
                <w:bCs/>
                <w:smallCaps/>
              </w:rPr>
              <w:t xml:space="preserve">Summary of Legislation: </w:t>
            </w:r>
            <w:r>
              <w:t xml:space="preserve"> </w:t>
            </w:r>
            <w:r w:rsidR="46219DDC">
              <w:t xml:space="preserve">Proposed Int. No. </w:t>
            </w:r>
            <w:r w:rsidR="357D8839">
              <w:t xml:space="preserve">903-A </w:t>
            </w:r>
            <w:r>
              <w:t>would require the Department of Correction</w:t>
            </w:r>
            <w:r w:rsidR="00115514">
              <w:t xml:space="preserve"> </w:t>
            </w:r>
            <w:r w:rsidR="0E7BC741">
              <w:t>(DOC)</w:t>
            </w:r>
            <w:r>
              <w:t xml:space="preserve"> to </w:t>
            </w:r>
            <w:r w:rsidR="002E1440">
              <w:t>explain</w:t>
            </w:r>
            <w:r w:rsidR="7FD4C575">
              <w:t xml:space="preserve"> where and how to claim unspent </w:t>
            </w:r>
            <w:r w:rsidR="00105FA9">
              <w:t>commissary</w:t>
            </w:r>
            <w:r w:rsidR="7FD4C575">
              <w:t xml:space="preserve"> funds to </w:t>
            </w:r>
            <w:r>
              <w:t xml:space="preserve">people being released </w:t>
            </w:r>
            <w:r w:rsidR="41D6F54D">
              <w:t>from custody</w:t>
            </w:r>
            <w:r>
              <w:t xml:space="preserve"> </w:t>
            </w:r>
            <w:r w:rsidR="00ED1D8D">
              <w:t xml:space="preserve">during the discharge process. DOC would be required to return up to </w:t>
            </w:r>
            <w:r>
              <w:t>$200 in commissary funds in cash upon request</w:t>
            </w:r>
            <w:r w:rsidR="008F6F63">
              <w:t xml:space="preserve"> and </w:t>
            </w:r>
            <w:r w:rsidR="00A06A77">
              <w:t>return any commissary balance greater than $200 by check</w:t>
            </w:r>
            <w:r>
              <w:t xml:space="preserve">. The bill would also require the Department to make reasonable efforts to return unused commissary funds to formerly incarcerated individuals and to establish a plan for raising awareness regarding obtaining commissary funds. </w:t>
            </w:r>
            <w:r w:rsidR="00A4193F">
              <w:t>N</w:t>
            </w:r>
            <w:r w:rsidR="00085973">
              <w:t xml:space="preserve">o later than </w:t>
            </w:r>
            <w:r w:rsidR="009342C0">
              <w:t>May 31, 2023</w:t>
            </w:r>
            <w:r w:rsidR="002A1A3D">
              <w:t>, and annually thereafter</w:t>
            </w:r>
            <w:r w:rsidR="00210F14">
              <w:t>,</w:t>
            </w:r>
            <w:r w:rsidR="002A1A3D">
              <w:t xml:space="preserve"> </w:t>
            </w:r>
            <w:r w:rsidR="7D31E12F">
              <w:t xml:space="preserve">DOC </w:t>
            </w:r>
            <w:r w:rsidR="00A4193F">
              <w:t xml:space="preserve">would be required to </w:t>
            </w:r>
            <w:r w:rsidR="00471AB7">
              <w:t>provide</w:t>
            </w:r>
            <w:r>
              <w:t xml:space="preserve"> </w:t>
            </w:r>
            <w:r w:rsidR="0060198B">
              <w:t xml:space="preserve">to the Council </w:t>
            </w:r>
            <w:r w:rsidR="004C6A7F">
              <w:t xml:space="preserve">and </w:t>
            </w:r>
            <w:r w:rsidR="00816DA2">
              <w:t>post</w:t>
            </w:r>
            <w:r w:rsidR="00090083">
              <w:t xml:space="preserve"> permanently on its website </w:t>
            </w:r>
            <w:r w:rsidR="00471AB7">
              <w:t xml:space="preserve">a report </w:t>
            </w:r>
            <w:r>
              <w:t xml:space="preserve">on the outstanding commissary funds and </w:t>
            </w:r>
            <w:r w:rsidR="002A1A3D">
              <w:t>it</w:t>
            </w:r>
            <w:r w:rsidR="00B0095C">
              <w:t>s</w:t>
            </w:r>
            <w:r w:rsidR="002A1A3D">
              <w:t xml:space="preserve"> </w:t>
            </w:r>
            <w:r>
              <w:t>attempt to return such funds.</w:t>
            </w:r>
            <w:r w:rsidR="00425B93">
              <w:t xml:space="preserve"> </w:t>
            </w:r>
          </w:p>
          <w:p w14:paraId="0B2CDDF2" w14:textId="77777777" w:rsidR="00543C5A" w:rsidRPr="00884C6E" w:rsidRDefault="00543C5A" w:rsidP="009B2301">
            <w:pPr>
              <w:pStyle w:val="NoSpacing"/>
              <w:rPr>
                <w:bCs/>
              </w:rPr>
            </w:pPr>
          </w:p>
        </w:tc>
      </w:tr>
      <w:tr w:rsidR="00543C5A" w14:paraId="270732CF" w14:textId="77777777" w:rsidTr="40786D51">
        <w:trPr>
          <w:cantSplit/>
          <w:trHeight w:val="324"/>
          <w:jc w:val="center"/>
        </w:trPr>
        <w:tc>
          <w:tcPr>
            <w:tcW w:w="10800" w:type="dxa"/>
            <w:gridSpan w:val="2"/>
          </w:tcPr>
          <w:p w14:paraId="72319AE1" w14:textId="1AABC7F8" w:rsidR="005611BC" w:rsidRDefault="00543C5A" w:rsidP="005611BC">
            <w:pPr>
              <w:rPr>
                <w:color w:val="000000"/>
                <w:shd w:val="clear" w:color="auto" w:fill="FFFFFF"/>
              </w:rPr>
            </w:pPr>
            <w:r w:rsidRPr="00326FF1">
              <w:rPr>
                <w:b/>
                <w:bCs/>
                <w:smallCaps/>
              </w:rPr>
              <w:t xml:space="preserve">Effective Date: </w:t>
            </w:r>
            <w:r w:rsidRPr="00A17757">
              <w:t xml:space="preserve">This local </w:t>
            </w:r>
            <w:r>
              <w:t xml:space="preserve">law would take </w:t>
            </w:r>
            <w:r w:rsidR="005611BC">
              <w:t>effect</w:t>
            </w:r>
            <w:r w:rsidR="00D25DFE">
              <w:t xml:space="preserve"> </w:t>
            </w:r>
            <w:r w:rsidR="005611BC">
              <w:rPr>
                <w:color w:val="000000"/>
                <w:shd w:val="clear" w:color="auto" w:fill="FFFFFF"/>
              </w:rPr>
              <w:t>180 days after becoming law.</w:t>
            </w:r>
          </w:p>
          <w:p w14:paraId="0C4AA777" w14:textId="2E1EE485" w:rsidR="00543C5A" w:rsidRPr="00F42D14" w:rsidRDefault="00543C5A" w:rsidP="009B2301">
            <w:pPr>
              <w:shd w:val="clear" w:color="auto" w:fill="FFFFFF"/>
              <w:spacing w:after="120"/>
            </w:pPr>
          </w:p>
        </w:tc>
      </w:tr>
      <w:tr w:rsidR="00543C5A" w14:paraId="3D66D04D" w14:textId="77777777" w:rsidTr="40786D51">
        <w:trPr>
          <w:cantSplit/>
          <w:trHeight w:val="576"/>
          <w:jc w:val="center"/>
        </w:trPr>
        <w:tc>
          <w:tcPr>
            <w:tcW w:w="10800" w:type="dxa"/>
            <w:gridSpan w:val="2"/>
            <w:tcBorders>
              <w:bottom w:val="single" w:sz="6" w:space="0" w:color="auto"/>
            </w:tcBorders>
          </w:tcPr>
          <w:p w14:paraId="5A34F9FA" w14:textId="77777777" w:rsidR="00543C5A" w:rsidRPr="00326FF1" w:rsidRDefault="00543C5A" w:rsidP="009B2301">
            <w:pPr>
              <w:rPr>
                <w:bCs/>
              </w:rPr>
            </w:pPr>
            <w:r w:rsidRPr="00326FF1">
              <w:rPr>
                <w:b/>
                <w:bCs/>
                <w:smallCaps/>
              </w:rPr>
              <w:t xml:space="preserve">Fiscal Year In Which Full Fiscal Impact Anticipated: </w:t>
            </w:r>
            <w:r w:rsidRPr="002C5622">
              <w:t>F</w:t>
            </w:r>
            <w:r>
              <w:t>iscal 2023</w:t>
            </w:r>
          </w:p>
        </w:tc>
      </w:tr>
      <w:tr w:rsidR="00543C5A" w14:paraId="3DD123BF" w14:textId="77777777" w:rsidTr="40786D51">
        <w:trPr>
          <w:cantSplit/>
          <w:trHeight w:val="1839"/>
          <w:jc w:val="center"/>
        </w:trPr>
        <w:tc>
          <w:tcPr>
            <w:tcW w:w="10800" w:type="dxa"/>
            <w:gridSpan w:val="2"/>
            <w:tcBorders>
              <w:top w:val="single" w:sz="6" w:space="0" w:color="auto"/>
            </w:tcBorders>
          </w:tcPr>
          <w:p w14:paraId="2C51E3B4" w14:textId="77777777" w:rsidR="00543C5A" w:rsidRDefault="00543C5A" w:rsidP="009B2301">
            <w:pPr>
              <w:rPr>
                <w:b/>
                <w:bCs/>
                <w:smallCaps/>
              </w:rPr>
            </w:pPr>
            <w:r>
              <w:rPr>
                <w:b/>
                <w:bCs/>
                <w:smallCaps/>
              </w:rPr>
              <w:t xml:space="preserve">Fiscal Impact Statement: </w:t>
            </w:r>
          </w:p>
          <w:p w14:paraId="5C99400A" w14:textId="77777777" w:rsidR="00543C5A" w:rsidRPr="00F42D14" w:rsidRDefault="00543C5A" w:rsidP="009B2301">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543C5A" w14:paraId="4BA36A02" w14:textId="77777777" w:rsidTr="009B2301">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7E3A9CB1" w14:textId="77777777" w:rsidR="00543C5A" w:rsidRPr="00542556" w:rsidRDefault="00543C5A" w:rsidP="009B2301">
                  <w:pPr>
                    <w:jc w:val="center"/>
                    <w:rPr>
                      <w:sz w:val="18"/>
                      <w:szCs w:val="18"/>
                    </w:rPr>
                  </w:pPr>
                </w:p>
                <w:p w14:paraId="299A2312" w14:textId="77777777" w:rsidR="00543C5A" w:rsidRPr="00542556" w:rsidRDefault="00543C5A" w:rsidP="009B2301">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19402B41" w14:textId="77777777" w:rsidR="00543C5A" w:rsidRPr="00542556" w:rsidRDefault="00543C5A" w:rsidP="009B2301">
                  <w:pPr>
                    <w:jc w:val="center"/>
                    <w:rPr>
                      <w:b/>
                      <w:bCs/>
                      <w:sz w:val="18"/>
                      <w:szCs w:val="18"/>
                    </w:rPr>
                  </w:pPr>
                  <w:r w:rsidRPr="00542556">
                    <w:rPr>
                      <w:b/>
                      <w:bCs/>
                      <w:sz w:val="18"/>
                      <w:szCs w:val="18"/>
                    </w:rPr>
                    <w:t>Effective FY</w:t>
                  </w:r>
                  <w:r>
                    <w:rPr>
                      <w:b/>
                      <w:bCs/>
                      <w:sz w:val="18"/>
                      <w:szCs w:val="18"/>
                    </w:rPr>
                    <w:t>22</w:t>
                  </w:r>
                </w:p>
              </w:tc>
              <w:tc>
                <w:tcPr>
                  <w:tcW w:w="2083" w:type="dxa"/>
                  <w:tcBorders>
                    <w:top w:val="double" w:sz="7" w:space="0" w:color="000000"/>
                    <w:left w:val="single" w:sz="7" w:space="0" w:color="000000"/>
                    <w:bottom w:val="single" w:sz="6" w:space="0" w:color="FFFFFF"/>
                    <w:right w:val="single" w:sz="6" w:space="0" w:color="FFFFFF"/>
                  </w:tcBorders>
                </w:tcPr>
                <w:p w14:paraId="4DC81B8D" w14:textId="77777777" w:rsidR="00543C5A" w:rsidRPr="00542556" w:rsidRDefault="00543C5A" w:rsidP="009B2301">
                  <w:pPr>
                    <w:jc w:val="center"/>
                    <w:rPr>
                      <w:b/>
                      <w:bCs/>
                      <w:sz w:val="18"/>
                      <w:szCs w:val="18"/>
                    </w:rPr>
                  </w:pPr>
                  <w:r w:rsidRPr="00542556">
                    <w:rPr>
                      <w:b/>
                      <w:bCs/>
                      <w:sz w:val="18"/>
                      <w:szCs w:val="18"/>
                    </w:rPr>
                    <w:t>FY Succeeding</w:t>
                  </w:r>
                </w:p>
                <w:p w14:paraId="10D5E03E" w14:textId="37B326FE" w:rsidR="00543C5A" w:rsidRPr="00542556" w:rsidRDefault="00543C5A" w:rsidP="009B2301">
                  <w:pPr>
                    <w:jc w:val="center"/>
                    <w:rPr>
                      <w:b/>
                      <w:bCs/>
                      <w:sz w:val="18"/>
                      <w:szCs w:val="18"/>
                    </w:rPr>
                  </w:pPr>
                  <w:r w:rsidRPr="00542556">
                    <w:rPr>
                      <w:b/>
                      <w:bCs/>
                      <w:sz w:val="18"/>
                      <w:szCs w:val="18"/>
                    </w:rPr>
                    <w:t xml:space="preserve">Effective </w:t>
                  </w:r>
                  <w:r w:rsidR="00210F14" w:rsidRPr="00542556">
                    <w:rPr>
                      <w:b/>
                      <w:bCs/>
                      <w:sz w:val="18"/>
                      <w:szCs w:val="18"/>
                    </w:rPr>
                    <w:t>FY</w:t>
                  </w:r>
                  <w:r w:rsidR="00210F14">
                    <w:rPr>
                      <w:b/>
                      <w:bCs/>
                      <w:sz w:val="18"/>
                      <w:szCs w:val="18"/>
                    </w:rPr>
                    <w:t>23</w:t>
                  </w:r>
                </w:p>
              </w:tc>
              <w:tc>
                <w:tcPr>
                  <w:tcW w:w="1754" w:type="dxa"/>
                  <w:tcBorders>
                    <w:top w:val="double" w:sz="7" w:space="0" w:color="000000"/>
                    <w:left w:val="single" w:sz="7" w:space="0" w:color="000000"/>
                    <w:bottom w:val="single" w:sz="6" w:space="0" w:color="FFFFFF"/>
                    <w:right w:val="double" w:sz="7" w:space="0" w:color="000000"/>
                  </w:tcBorders>
                </w:tcPr>
                <w:p w14:paraId="78087333" w14:textId="77777777" w:rsidR="00543C5A" w:rsidRPr="00542556" w:rsidRDefault="00543C5A" w:rsidP="009B2301">
                  <w:pPr>
                    <w:jc w:val="center"/>
                    <w:rPr>
                      <w:b/>
                      <w:bCs/>
                      <w:sz w:val="18"/>
                      <w:szCs w:val="18"/>
                    </w:rPr>
                  </w:pPr>
                  <w:r w:rsidRPr="00542556">
                    <w:rPr>
                      <w:b/>
                      <w:bCs/>
                      <w:sz w:val="18"/>
                      <w:szCs w:val="18"/>
                    </w:rPr>
                    <w:t>Full Fiscal</w:t>
                  </w:r>
                </w:p>
                <w:p w14:paraId="77387312" w14:textId="77777777" w:rsidR="00543C5A" w:rsidRPr="00542556" w:rsidRDefault="00543C5A" w:rsidP="009B2301">
                  <w:pPr>
                    <w:pStyle w:val="Heading1"/>
                    <w:rPr>
                      <w:sz w:val="18"/>
                      <w:szCs w:val="18"/>
                    </w:rPr>
                  </w:pPr>
                  <w:r w:rsidRPr="00542556">
                    <w:rPr>
                      <w:sz w:val="18"/>
                      <w:szCs w:val="18"/>
                    </w:rPr>
                    <w:t>Impact FY</w:t>
                  </w:r>
                  <w:r>
                    <w:rPr>
                      <w:sz w:val="18"/>
                      <w:szCs w:val="18"/>
                    </w:rPr>
                    <w:t>23</w:t>
                  </w:r>
                </w:p>
              </w:tc>
            </w:tr>
            <w:tr w:rsidR="00543C5A" w14:paraId="110006CB" w14:textId="77777777" w:rsidTr="009B2301">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57269AED" w14:textId="77777777" w:rsidR="00543C5A" w:rsidRPr="00542556" w:rsidRDefault="00543C5A" w:rsidP="009B2301">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7F126BE2" w14:textId="77777777" w:rsidR="00543C5A" w:rsidRPr="00530628" w:rsidRDefault="00543C5A" w:rsidP="009B2301">
                  <w:pPr>
                    <w:jc w:val="center"/>
                    <w:rPr>
                      <w:sz w:val="18"/>
                      <w:szCs w:val="18"/>
                    </w:rPr>
                  </w:pPr>
                  <w:r w:rsidRPr="00530628">
                    <w:rPr>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00C1ABA0" w14:textId="77777777" w:rsidR="00543C5A" w:rsidRPr="00B52720" w:rsidRDefault="00543C5A" w:rsidP="009B2301">
                  <w:pPr>
                    <w:jc w:val="center"/>
                  </w:pPr>
                  <w:r w:rsidRPr="00530628">
                    <w:rPr>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20E1C99B" w14:textId="77777777" w:rsidR="00543C5A" w:rsidRPr="00B52720" w:rsidRDefault="00543C5A" w:rsidP="009B2301">
                  <w:pPr>
                    <w:jc w:val="center"/>
                  </w:pPr>
                  <w:r w:rsidRPr="00530628">
                    <w:rPr>
                      <w:sz w:val="18"/>
                      <w:szCs w:val="18"/>
                    </w:rPr>
                    <w:t>$0</w:t>
                  </w:r>
                </w:p>
              </w:tc>
            </w:tr>
            <w:tr w:rsidR="00543C5A" w14:paraId="632F0B4D" w14:textId="77777777" w:rsidTr="009B2301">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491163AA" w14:textId="77777777" w:rsidR="00543C5A" w:rsidRPr="00542556" w:rsidRDefault="00543C5A" w:rsidP="009B2301">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3B293EA5" w14:textId="77777777" w:rsidR="00543C5A" w:rsidRPr="00B52720" w:rsidRDefault="00543C5A" w:rsidP="009B2301">
                  <w:pPr>
                    <w:jc w:val="center"/>
                  </w:pPr>
                  <w:r w:rsidRPr="00530628">
                    <w:rPr>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385525D8" w14:textId="77777777" w:rsidR="00543C5A" w:rsidRPr="00B52720" w:rsidRDefault="00543C5A" w:rsidP="009B2301">
                  <w:pPr>
                    <w:jc w:val="center"/>
                  </w:pPr>
                  <w:r w:rsidRPr="00530628">
                    <w:rPr>
                      <w:sz w:val="18"/>
                      <w:szCs w:val="18"/>
                    </w:rPr>
                    <w:t>$</w:t>
                  </w:r>
                  <w:r>
                    <w:rPr>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3599AA82" w14:textId="77777777" w:rsidR="00543C5A" w:rsidRPr="00B52720" w:rsidRDefault="00543C5A" w:rsidP="009B2301">
                  <w:pPr>
                    <w:jc w:val="center"/>
                  </w:pPr>
                  <w:r w:rsidRPr="00530628">
                    <w:rPr>
                      <w:sz w:val="18"/>
                      <w:szCs w:val="18"/>
                    </w:rPr>
                    <w:t>$</w:t>
                  </w:r>
                  <w:r>
                    <w:rPr>
                      <w:sz w:val="18"/>
                      <w:szCs w:val="18"/>
                    </w:rPr>
                    <w:t>0</w:t>
                  </w:r>
                </w:p>
              </w:tc>
            </w:tr>
            <w:tr w:rsidR="00543C5A" w14:paraId="5CBBC36E" w14:textId="77777777" w:rsidTr="009B2301">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1ED16D27" w14:textId="77777777" w:rsidR="00543C5A" w:rsidRPr="00542556" w:rsidRDefault="00543C5A" w:rsidP="009B2301">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63554563" w14:textId="77777777" w:rsidR="00543C5A" w:rsidRPr="00B52720" w:rsidRDefault="00543C5A" w:rsidP="009B2301">
                  <w:pPr>
                    <w:jc w:val="center"/>
                  </w:pPr>
                  <w:r w:rsidRPr="00530628">
                    <w:rPr>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5953C719" w14:textId="77777777" w:rsidR="00543C5A" w:rsidRPr="00B52720" w:rsidRDefault="00543C5A" w:rsidP="009B2301">
                  <w:pPr>
                    <w:jc w:val="center"/>
                  </w:pPr>
                  <w:r w:rsidRPr="00530628">
                    <w:rPr>
                      <w:sz w:val="18"/>
                      <w:szCs w:val="18"/>
                    </w:rPr>
                    <w:t>$</w:t>
                  </w:r>
                  <w:r>
                    <w:rPr>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7E09E5A4" w14:textId="77777777" w:rsidR="00543C5A" w:rsidRPr="00B52720" w:rsidRDefault="00543C5A" w:rsidP="009B2301">
                  <w:pPr>
                    <w:jc w:val="center"/>
                  </w:pPr>
                  <w:r w:rsidRPr="00530628">
                    <w:rPr>
                      <w:sz w:val="18"/>
                      <w:szCs w:val="18"/>
                    </w:rPr>
                    <w:t>$</w:t>
                  </w:r>
                  <w:r>
                    <w:rPr>
                      <w:sz w:val="18"/>
                      <w:szCs w:val="18"/>
                    </w:rPr>
                    <w:t>0</w:t>
                  </w:r>
                </w:p>
              </w:tc>
            </w:tr>
          </w:tbl>
          <w:p w14:paraId="2A4540BC" w14:textId="77777777" w:rsidR="00543C5A" w:rsidRDefault="00543C5A" w:rsidP="009B2301"/>
        </w:tc>
      </w:tr>
      <w:tr w:rsidR="00543C5A" w:rsidRPr="00840B00" w14:paraId="2AC9998B" w14:textId="77777777" w:rsidTr="40786D51">
        <w:trPr>
          <w:trHeight w:val="990"/>
          <w:jc w:val="center"/>
        </w:trPr>
        <w:tc>
          <w:tcPr>
            <w:tcW w:w="10800" w:type="dxa"/>
            <w:gridSpan w:val="2"/>
            <w:vAlign w:val="center"/>
          </w:tcPr>
          <w:p w14:paraId="1B5519C0" w14:textId="79750F48" w:rsidR="00543C5A" w:rsidRPr="00F42D14" w:rsidRDefault="00543C5A" w:rsidP="009B2301">
            <w:pPr>
              <w:spacing w:after="120"/>
            </w:pPr>
            <w:r w:rsidRPr="40786D51">
              <w:rPr>
                <w:b/>
                <w:bCs/>
                <w:smallCaps/>
              </w:rPr>
              <w:t>Impact on Revenues</w:t>
            </w:r>
            <w:r w:rsidRPr="40786D51">
              <w:rPr>
                <w:b/>
                <w:bCs/>
              </w:rPr>
              <w:t>:</w:t>
            </w:r>
            <w:r w:rsidR="092CF232" w:rsidRPr="40786D51">
              <w:rPr>
                <w:b/>
                <w:bCs/>
              </w:rPr>
              <w:t xml:space="preserve"> </w:t>
            </w:r>
            <w:r w:rsidR="59873D43">
              <w:t xml:space="preserve">It is estimated that there will be no impact on revenue because unused commissary </w:t>
            </w:r>
            <w:r w:rsidR="2B485D4F">
              <w:t xml:space="preserve">deposits are not recognized by the revenue budget and </w:t>
            </w:r>
            <w:r w:rsidR="0630FE18">
              <w:t xml:space="preserve">are </w:t>
            </w:r>
            <w:r w:rsidR="2B485D4F">
              <w:t>instead held</w:t>
            </w:r>
            <w:r w:rsidR="445A65C4">
              <w:t xml:space="preserve"> in</w:t>
            </w:r>
            <w:r w:rsidR="2B485D4F">
              <w:t xml:space="preserve"> </w:t>
            </w:r>
            <w:r w:rsidR="59873D43">
              <w:t>an off-budget account</w:t>
            </w:r>
            <w:r w:rsidR="31AEF3B3">
              <w:t xml:space="preserve">. </w:t>
            </w:r>
          </w:p>
        </w:tc>
      </w:tr>
      <w:tr w:rsidR="00543C5A" w:rsidRPr="00EC30EE" w14:paraId="06E47FE8" w14:textId="77777777" w:rsidTr="40786D51">
        <w:trPr>
          <w:trHeight w:val="330"/>
          <w:jc w:val="center"/>
        </w:trPr>
        <w:tc>
          <w:tcPr>
            <w:tcW w:w="10800" w:type="dxa"/>
            <w:gridSpan w:val="2"/>
          </w:tcPr>
          <w:p w14:paraId="13142538" w14:textId="0AB662CF" w:rsidR="00543C5A" w:rsidRPr="00EC30EE" w:rsidRDefault="00543C5A" w:rsidP="009B2301">
            <w:pPr>
              <w:spacing w:after="120"/>
            </w:pPr>
            <w:r w:rsidRPr="40786D51">
              <w:rPr>
                <w:b/>
                <w:bCs/>
                <w:smallCaps/>
              </w:rPr>
              <w:t>Impact on Expenditures</w:t>
            </w:r>
            <w:r w:rsidRPr="40786D51">
              <w:rPr>
                <w:b/>
                <w:bCs/>
              </w:rPr>
              <w:t>:</w:t>
            </w:r>
            <w:r>
              <w:t xml:space="preserve"> It is estimated that there</w:t>
            </w:r>
            <w:r w:rsidR="05FCF0BB">
              <w:t xml:space="preserve"> </w:t>
            </w:r>
            <w:r>
              <w:t xml:space="preserve">would be no impact </w:t>
            </w:r>
            <w:r w:rsidR="0008672F">
              <w:t xml:space="preserve">on expenditures </w:t>
            </w:r>
            <w:r>
              <w:t xml:space="preserve">as a result of this legislation because </w:t>
            </w:r>
            <w:r w:rsidR="0008672F">
              <w:t xml:space="preserve">DOC </w:t>
            </w:r>
            <w:r>
              <w:t xml:space="preserve">can utilize existing resources to provide these services. </w:t>
            </w:r>
          </w:p>
        </w:tc>
      </w:tr>
      <w:tr w:rsidR="00543C5A" w:rsidRPr="00EC30EE" w14:paraId="6439CAC4" w14:textId="77777777" w:rsidTr="40786D51">
        <w:trPr>
          <w:jc w:val="center"/>
        </w:trPr>
        <w:tc>
          <w:tcPr>
            <w:tcW w:w="10800" w:type="dxa"/>
            <w:gridSpan w:val="2"/>
          </w:tcPr>
          <w:p w14:paraId="070BA15B" w14:textId="0BAEBEB2" w:rsidR="00543C5A" w:rsidRPr="00EC30EE" w:rsidRDefault="00543C5A" w:rsidP="009B2301">
            <w:pPr>
              <w:spacing w:after="120"/>
            </w:pPr>
            <w:r w:rsidRPr="00EC30EE">
              <w:rPr>
                <w:b/>
                <w:bCs/>
                <w:smallCaps/>
              </w:rPr>
              <w:t>Source of Funds To Cover Estimated Costs</w:t>
            </w:r>
            <w:r w:rsidRPr="00EC30EE">
              <w:rPr>
                <w:b/>
                <w:bCs/>
              </w:rPr>
              <w:t>:</w:t>
            </w:r>
            <w:r>
              <w:rPr>
                <w:b/>
                <w:bCs/>
              </w:rPr>
              <w:t xml:space="preserve"> </w:t>
            </w:r>
            <w:r>
              <w:rPr>
                <w:bCs/>
              </w:rPr>
              <w:t xml:space="preserve">N/A </w:t>
            </w:r>
          </w:p>
        </w:tc>
      </w:tr>
      <w:tr w:rsidR="00543C5A" w:rsidRPr="00EC30EE" w14:paraId="3DC3B260" w14:textId="77777777" w:rsidTr="40786D51">
        <w:trPr>
          <w:trHeight w:val="603"/>
          <w:jc w:val="center"/>
        </w:trPr>
        <w:tc>
          <w:tcPr>
            <w:tcW w:w="10800" w:type="dxa"/>
            <w:gridSpan w:val="2"/>
          </w:tcPr>
          <w:p w14:paraId="1824AF93" w14:textId="77777777" w:rsidR="00543C5A" w:rsidRDefault="00543C5A" w:rsidP="009B2301">
            <w:r w:rsidRPr="00EC30EE">
              <w:rPr>
                <w:b/>
                <w:bCs/>
                <w:smallCaps/>
              </w:rPr>
              <w:t>Source of Information</w:t>
            </w:r>
            <w:r>
              <w:rPr>
                <w:b/>
                <w:bCs/>
              </w:rPr>
              <w:t xml:space="preserve">: </w:t>
            </w:r>
            <w:r>
              <w:t>City Council Finance Division</w:t>
            </w:r>
          </w:p>
          <w:p w14:paraId="5270633B" w14:textId="77777777" w:rsidR="00543C5A" w:rsidRPr="005E024B" w:rsidRDefault="00543C5A" w:rsidP="009B2301">
            <w:pPr>
              <w:rPr>
                <w:bCs/>
              </w:rPr>
            </w:pPr>
            <w:r>
              <w:t xml:space="preserve">                                              Department of Correction </w:t>
            </w:r>
          </w:p>
          <w:p w14:paraId="3C9BBD8E" w14:textId="77777777" w:rsidR="00543C5A" w:rsidRPr="005E024B" w:rsidRDefault="00543C5A" w:rsidP="009B2301">
            <w:pPr>
              <w:rPr>
                <w:bCs/>
              </w:rPr>
            </w:pPr>
          </w:p>
        </w:tc>
      </w:tr>
    </w:tbl>
    <w:p w14:paraId="179ED2C9" w14:textId="77777777" w:rsidR="00543C5A" w:rsidRDefault="00543C5A" w:rsidP="00543C5A">
      <w:r>
        <w:br w:type="page"/>
      </w:r>
    </w:p>
    <w:tbl>
      <w:tblPr>
        <w:tblW w:w="0" w:type="auto"/>
        <w:jc w:val="center"/>
        <w:tblLook w:val="0000" w:firstRow="0" w:lastRow="0" w:firstColumn="0" w:lastColumn="0" w:noHBand="0" w:noVBand="0"/>
      </w:tblPr>
      <w:tblGrid>
        <w:gridCol w:w="10800"/>
      </w:tblGrid>
      <w:tr w:rsidR="00543C5A" w:rsidRPr="00EC30EE" w14:paraId="6DB2979C" w14:textId="77777777" w:rsidTr="009B2301">
        <w:trPr>
          <w:jc w:val="center"/>
        </w:trPr>
        <w:tc>
          <w:tcPr>
            <w:tcW w:w="10800" w:type="dxa"/>
          </w:tcPr>
          <w:p w14:paraId="43092E8E" w14:textId="77777777" w:rsidR="00543C5A" w:rsidRDefault="00543C5A" w:rsidP="009B2301">
            <w:r w:rsidRPr="0034071D">
              <w:rPr>
                <w:b/>
                <w:bCs/>
                <w:smallCaps/>
              </w:rPr>
              <w:lastRenderedPageBreak/>
              <w:t>Estimate Prepared by</w:t>
            </w:r>
            <w:r w:rsidRPr="0034071D">
              <w:rPr>
                <w:smallCaps/>
              </w:rPr>
              <w:t>:</w:t>
            </w:r>
            <w:r>
              <w:t xml:space="preserve"> Jack Storey, Financial Analyst</w:t>
            </w:r>
          </w:p>
          <w:p w14:paraId="524BC6A4" w14:textId="77777777" w:rsidR="00543C5A" w:rsidRPr="0034071D" w:rsidRDefault="00543C5A" w:rsidP="009B2301">
            <w:r>
              <w:t xml:space="preserve">                                           </w:t>
            </w:r>
            <w:r w:rsidRPr="0034071D">
              <w:t xml:space="preserve">                            </w:t>
            </w:r>
          </w:p>
          <w:p w14:paraId="40105F3D" w14:textId="77777777" w:rsidR="00543C5A" w:rsidRPr="001449B0" w:rsidRDefault="00543C5A" w:rsidP="009B2301">
            <w:r w:rsidRPr="0034071D">
              <w:rPr>
                <w:b/>
                <w:smallCaps/>
              </w:rPr>
              <w:t>Estimate Reviewed by:</w:t>
            </w:r>
            <w:r>
              <w:t xml:space="preserve"> </w:t>
            </w:r>
            <w:r w:rsidRPr="001449B0">
              <w:t>Regina Poreda Ryan, Deputy Director</w:t>
            </w:r>
          </w:p>
          <w:p w14:paraId="4F2282F2" w14:textId="77777777" w:rsidR="00543C5A" w:rsidRPr="001449B0" w:rsidRDefault="00543C5A" w:rsidP="009B2301">
            <w:r w:rsidRPr="001449B0">
              <w:tab/>
            </w:r>
            <w:r w:rsidRPr="001449B0">
              <w:tab/>
            </w:r>
            <w:r w:rsidRPr="001449B0">
              <w:tab/>
              <w:t xml:space="preserve">        Eisha Wright, Unit Head</w:t>
            </w:r>
          </w:p>
          <w:p w14:paraId="7A066B4E" w14:textId="53FD3E2C" w:rsidR="00543C5A" w:rsidRPr="001449B0" w:rsidRDefault="00543C5A" w:rsidP="009B2301">
            <w:r w:rsidRPr="001449B0">
              <w:tab/>
            </w:r>
            <w:r>
              <w:t xml:space="preserve">                                </w:t>
            </w:r>
            <w:r w:rsidR="0008672F" w:rsidRPr="00CB7FE7">
              <w:t>Noah Brick</w:t>
            </w:r>
            <w:r w:rsidRPr="00CB7FE7">
              <w:t xml:space="preserve">, </w:t>
            </w:r>
            <w:r w:rsidR="0008672F" w:rsidRPr="00CB7FE7">
              <w:t xml:space="preserve">Assistant </w:t>
            </w:r>
            <w:r w:rsidRPr="00CB7FE7">
              <w:t>Counsel</w:t>
            </w:r>
          </w:p>
          <w:p w14:paraId="634F9707" w14:textId="77777777" w:rsidR="00543C5A" w:rsidRDefault="00543C5A" w:rsidP="009B2301">
            <w:pPr>
              <w:tabs>
                <w:tab w:val="left" w:pos="2640"/>
              </w:tabs>
            </w:pPr>
            <w:r>
              <w:tab/>
            </w:r>
          </w:p>
          <w:p w14:paraId="69BF5F29" w14:textId="6D1462A9" w:rsidR="00543C5A" w:rsidRPr="0034071D" w:rsidRDefault="00543C5A" w:rsidP="009B2301">
            <w:r w:rsidRPr="0034071D">
              <w:rPr>
                <w:b/>
                <w:bCs/>
                <w:smallCaps/>
              </w:rPr>
              <w:t>Legislative History</w:t>
            </w:r>
            <w:r w:rsidRPr="0034071D">
              <w:rPr>
                <w:b/>
                <w:bCs/>
              </w:rPr>
              <w:t>:</w:t>
            </w:r>
            <w:r w:rsidRPr="0034071D">
              <w:t xml:space="preserve">  This legislation was </w:t>
            </w:r>
            <w:r>
              <w:t xml:space="preserve">introduced to the Council on May 9, 2018, as Intro. No. 903 </w:t>
            </w:r>
            <w:r w:rsidRPr="0034071D">
              <w:t xml:space="preserve">and </w:t>
            </w:r>
            <w:r>
              <w:t>was referred to the Committee on Criminal Justice (Committee). A hearing was held by the Committee</w:t>
            </w:r>
            <w:r w:rsidR="003C7C59">
              <w:t>,</w:t>
            </w:r>
            <w:r>
              <w:t xml:space="preserve"> jointly with the Committee on Justice System and the Committee on Mental Health, Disabilities and Addiction on June 17, 2019, and the bill was laid over. The legislation was subsequently amended and the amended legislation, Proposed Int. No. 903-A will be considered by the Committee </w:t>
            </w:r>
            <w:r w:rsidRPr="00441823">
              <w:t>at a hearing</w:t>
            </w:r>
            <w:r>
              <w:t xml:space="preserve"> on November 22, 2021. Upon</w:t>
            </w:r>
            <w:r w:rsidR="00915909">
              <w:t xml:space="preserve"> a</w:t>
            </w:r>
            <w:r>
              <w:t xml:space="preserve"> successful vote by the Committee, Proposed Int. No. 903-A will be submitted to the full </w:t>
            </w:r>
            <w:r w:rsidRPr="00441823">
              <w:t>C</w:t>
            </w:r>
            <w:r>
              <w:t>ouncil for a vote on November 23, 2021.</w:t>
            </w:r>
          </w:p>
        </w:tc>
      </w:tr>
      <w:tr w:rsidR="00543C5A" w:rsidRPr="00EC30EE" w14:paraId="0058FDB6" w14:textId="77777777" w:rsidTr="009B2301">
        <w:trPr>
          <w:jc w:val="center"/>
        </w:trPr>
        <w:tc>
          <w:tcPr>
            <w:tcW w:w="10800" w:type="dxa"/>
          </w:tcPr>
          <w:p w14:paraId="776F3534" w14:textId="77777777" w:rsidR="00543C5A" w:rsidRPr="0034071D" w:rsidRDefault="00543C5A" w:rsidP="009B2301">
            <w:pPr>
              <w:rPr>
                <w:b/>
                <w:bCs/>
                <w:smallCaps/>
              </w:rPr>
            </w:pPr>
          </w:p>
        </w:tc>
      </w:tr>
    </w:tbl>
    <w:p w14:paraId="762F8969" w14:textId="77777777" w:rsidR="00543C5A" w:rsidRPr="00351CE4" w:rsidRDefault="00543C5A" w:rsidP="00543C5A">
      <w:pPr>
        <w:rPr>
          <w:bCs/>
          <w:smallCaps/>
        </w:rPr>
      </w:pPr>
      <w:r w:rsidRPr="00EC30EE">
        <w:rPr>
          <w:b/>
          <w:bCs/>
          <w:smallCaps/>
        </w:rPr>
        <w:t xml:space="preserve">  </w:t>
      </w:r>
      <w:r>
        <w:rPr>
          <w:b/>
          <w:bCs/>
          <w:smallCaps/>
        </w:rPr>
        <w:t xml:space="preserve">Date Prepared: </w:t>
      </w:r>
      <w:r>
        <w:t>November 17, 2021</w:t>
      </w:r>
    </w:p>
    <w:p w14:paraId="18B786D2" w14:textId="77777777" w:rsidR="00543C5A" w:rsidRDefault="00543C5A" w:rsidP="00543C5A"/>
    <w:p w14:paraId="53BBDB90" w14:textId="77777777" w:rsidR="00B822AC" w:rsidRDefault="00B822AC"/>
    <w:sectPr w:rsidR="00B822AC" w:rsidSect="009B2301">
      <w:headerReference w:type="even" r:id="rId11"/>
      <w:headerReference w:type="default" r:id="rId12"/>
      <w:footerReference w:type="even" r:id="rId13"/>
      <w:footerReference w:type="default" r:id="rId14"/>
      <w:headerReference w:type="first" r:id="rId15"/>
      <w:footerReference w:type="first" r:id="rId16"/>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D1E93" w14:textId="77777777" w:rsidR="00504833" w:rsidRDefault="00504833" w:rsidP="00543C5A">
      <w:r>
        <w:separator/>
      </w:r>
    </w:p>
  </w:endnote>
  <w:endnote w:type="continuationSeparator" w:id="0">
    <w:p w14:paraId="7EC7B715" w14:textId="77777777" w:rsidR="00504833" w:rsidRDefault="00504833" w:rsidP="00543C5A">
      <w:r>
        <w:continuationSeparator/>
      </w:r>
    </w:p>
  </w:endnote>
  <w:endnote w:type="continuationNotice" w:id="1">
    <w:p w14:paraId="5B9A1B50" w14:textId="77777777" w:rsidR="00504833" w:rsidRDefault="00504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D638" w14:textId="77777777" w:rsidR="009B2301" w:rsidRPr="00AC3B91" w:rsidRDefault="005611BC" w:rsidP="009B2301">
    <w:pPr>
      <w:pStyle w:val="Footer"/>
      <w:pBdr>
        <w:top w:val="thinThickSmallGap" w:sz="24" w:space="1" w:color="622423"/>
      </w:pBdr>
      <w:tabs>
        <w:tab w:val="right" w:pos="10800"/>
      </w:tabs>
      <w:rPr>
        <w:rFonts w:ascii="Cambria" w:hAnsi="Cambria"/>
      </w:rPr>
    </w:pPr>
    <w:r>
      <w:rPr>
        <w:rFonts w:ascii="Cambria" w:hAnsi="Cambria"/>
      </w:rPr>
      <w:t>Proposed Int. No. 1156-A</w:t>
    </w:r>
    <w:r w:rsidRPr="00AC3B91">
      <w:rPr>
        <w:rFonts w:ascii="Cambria" w:hAnsi="Cambria"/>
      </w:rPr>
      <w:tab/>
    </w:r>
    <w:r w:rsidRPr="00AC3B91">
      <w:rPr>
        <w:rFonts w:ascii="Cambria" w:hAnsi="Cambria"/>
      </w:rPr>
      <w:tab/>
    </w:r>
    <w:r w:rsidRPr="00AC3B91">
      <w:rPr>
        <w:rFonts w:ascii="Cambria" w:hAnsi="Cambria"/>
      </w:rPr>
      <w:tab/>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1A10B0">
      <w:rPr>
        <w:rFonts w:ascii="Cambria" w:hAnsi="Cambria"/>
        <w:noProof/>
      </w:rPr>
      <w:t>2</w:t>
    </w:r>
    <w:r>
      <w:rPr>
        <w:rFonts w:ascii="Cambria" w:hAnsi="Cambria"/>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B981" w14:textId="2B45368F" w:rsidR="009B2301" w:rsidRPr="00F42D14" w:rsidRDefault="003C7C59" w:rsidP="009B2301">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5611BC">
      <w:rPr>
        <w:rFonts w:ascii="Cambria" w:hAnsi="Cambria"/>
      </w:rPr>
      <w:t xml:space="preserve">Int. No. </w:t>
    </w:r>
    <w:r w:rsidR="00543C5A">
      <w:rPr>
        <w:rFonts w:ascii="Cambria" w:hAnsi="Cambria"/>
      </w:rPr>
      <w:t>903-A</w:t>
    </w:r>
    <w:r w:rsidR="005611BC" w:rsidRPr="00AC3B91">
      <w:rPr>
        <w:rFonts w:ascii="Cambria" w:hAnsi="Cambria"/>
      </w:rPr>
      <w:tab/>
      <w:t xml:space="preserve">Page </w:t>
    </w:r>
    <w:r w:rsidR="005611BC">
      <w:rPr>
        <w:color w:val="2B579A"/>
        <w:shd w:val="clear" w:color="auto" w:fill="E6E6E6"/>
      </w:rPr>
      <w:fldChar w:fldCharType="begin"/>
    </w:r>
    <w:r w:rsidR="005611BC">
      <w:instrText xml:space="preserve"> PAGE   \* MERGEFORMAT </w:instrText>
    </w:r>
    <w:r w:rsidR="005611BC">
      <w:rPr>
        <w:color w:val="2B579A"/>
        <w:shd w:val="clear" w:color="auto" w:fill="E6E6E6"/>
      </w:rPr>
      <w:fldChar w:fldCharType="separate"/>
    </w:r>
    <w:r w:rsidR="001D53DB" w:rsidRPr="001D53DB">
      <w:rPr>
        <w:rFonts w:ascii="Cambria" w:hAnsi="Cambria"/>
        <w:noProof/>
      </w:rPr>
      <w:t>2</w:t>
    </w:r>
    <w:r w:rsidR="005611BC">
      <w:rPr>
        <w:rFonts w:ascii="Cambria" w:hAnsi="Cambria"/>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625B" w14:textId="77777777" w:rsidR="00CB7FE7" w:rsidRDefault="00CB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02BA" w14:textId="77777777" w:rsidR="00504833" w:rsidRDefault="00504833" w:rsidP="00543C5A">
      <w:r>
        <w:separator/>
      </w:r>
    </w:p>
  </w:footnote>
  <w:footnote w:type="continuationSeparator" w:id="0">
    <w:p w14:paraId="225FC5B4" w14:textId="77777777" w:rsidR="00504833" w:rsidRDefault="00504833" w:rsidP="00543C5A">
      <w:r>
        <w:continuationSeparator/>
      </w:r>
    </w:p>
  </w:footnote>
  <w:footnote w:type="continuationNotice" w:id="1">
    <w:p w14:paraId="0C2C1802" w14:textId="77777777" w:rsidR="00504833" w:rsidRDefault="005048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D4A2" w14:textId="77777777" w:rsidR="00CB7FE7" w:rsidRDefault="00CB7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8A17" w14:textId="77777777" w:rsidR="00CB7FE7" w:rsidRDefault="00CB7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502F" w14:textId="77777777" w:rsidR="00CB7FE7" w:rsidRDefault="00CB7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5A"/>
    <w:rsid w:val="000327F3"/>
    <w:rsid w:val="00085973"/>
    <w:rsid w:val="0008672F"/>
    <w:rsid w:val="00090083"/>
    <w:rsid w:val="000904BB"/>
    <w:rsid w:val="000916D4"/>
    <w:rsid w:val="000D717A"/>
    <w:rsid w:val="000E53CC"/>
    <w:rsid w:val="00105FA9"/>
    <w:rsid w:val="0011288A"/>
    <w:rsid w:val="00114453"/>
    <w:rsid w:val="00115514"/>
    <w:rsid w:val="0016166D"/>
    <w:rsid w:val="001739E1"/>
    <w:rsid w:val="0019283C"/>
    <w:rsid w:val="0019362E"/>
    <w:rsid w:val="001A0F79"/>
    <w:rsid w:val="001D53DB"/>
    <w:rsid w:val="001F3890"/>
    <w:rsid w:val="00210F14"/>
    <w:rsid w:val="0028672E"/>
    <w:rsid w:val="002A1A3D"/>
    <w:rsid w:val="002E1440"/>
    <w:rsid w:val="002E3F35"/>
    <w:rsid w:val="00350500"/>
    <w:rsid w:val="0037103D"/>
    <w:rsid w:val="00394A39"/>
    <w:rsid w:val="003C7C59"/>
    <w:rsid w:val="003E6390"/>
    <w:rsid w:val="0040561C"/>
    <w:rsid w:val="00425B93"/>
    <w:rsid w:val="00471AB7"/>
    <w:rsid w:val="00477806"/>
    <w:rsid w:val="004912C8"/>
    <w:rsid w:val="004A18D1"/>
    <w:rsid w:val="004C6A7F"/>
    <w:rsid w:val="004D75FD"/>
    <w:rsid w:val="00502B6C"/>
    <w:rsid w:val="00504833"/>
    <w:rsid w:val="005336F9"/>
    <w:rsid w:val="00543C5A"/>
    <w:rsid w:val="005611BC"/>
    <w:rsid w:val="005C0AE0"/>
    <w:rsid w:val="005C47ED"/>
    <w:rsid w:val="005F30BF"/>
    <w:rsid w:val="0060198B"/>
    <w:rsid w:val="0063324C"/>
    <w:rsid w:val="006C6776"/>
    <w:rsid w:val="006E3234"/>
    <w:rsid w:val="006E7128"/>
    <w:rsid w:val="006F483F"/>
    <w:rsid w:val="00736428"/>
    <w:rsid w:val="00772F2C"/>
    <w:rsid w:val="00786610"/>
    <w:rsid w:val="007A3C5B"/>
    <w:rsid w:val="007C51DC"/>
    <w:rsid w:val="007F5BB3"/>
    <w:rsid w:val="00802AF7"/>
    <w:rsid w:val="00816DA2"/>
    <w:rsid w:val="00817CB6"/>
    <w:rsid w:val="0083616B"/>
    <w:rsid w:val="00840CA2"/>
    <w:rsid w:val="00863584"/>
    <w:rsid w:val="00882DE8"/>
    <w:rsid w:val="008A2B93"/>
    <w:rsid w:val="008E6E82"/>
    <w:rsid w:val="008F6F63"/>
    <w:rsid w:val="00915909"/>
    <w:rsid w:val="009263C4"/>
    <w:rsid w:val="009342C0"/>
    <w:rsid w:val="0096752D"/>
    <w:rsid w:val="0098120D"/>
    <w:rsid w:val="009B2301"/>
    <w:rsid w:val="009B23A9"/>
    <w:rsid w:val="009D0F1C"/>
    <w:rsid w:val="00A06A77"/>
    <w:rsid w:val="00A4193F"/>
    <w:rsid w:val="00A83131"/>
    <w:rsid w:val="00A84A28"/>
    <w:rsid w:val="00AE7121"/>
    <w:rsid w:val="00B002E1"/>
    <w:rsid w:val="00B0095C"/>
    <w:rsid w:val="00B12964"/>
    <w:rsid w:val="00B136A7"/>
    <w:rsid w:val="00B40F00"/>
    <w:rsid w:val="00B822AC"/>
    <w:rsid w:val="00BA773A"/>
    <w:rsid w:val="00BE7F0F"/>
    <w:rsid w:val="00C143A6"/>
    <w:rsid w:val="00C97AE7"/>
    <w:rsid w:val="00CB7FE7"/>
    <w:rsid w:val="00D22316"/>
    <w:rsid w:val="00D25DFE"/>
    <w:rsid w:val="00D72795"/>
    <w:rsid w:val="00DC237F"/>
    <w:rsid w:val="00DD03C3"/>
    <w:rsid w:val="00DE7386"/>
    <w:rsid w:val="00E060BC"/>
    <w:rsid w:val="00E21874"/>
    <w:rsid w:val="00E27C34"/>
    <w:rsid w:val="00E551F0"/>
    <w:rsid w:val="00EC0B9B"/>
    <w:rsid w:val="00ED1D8D"/>
    <w:rsid w:val="00F91F11"/>
    <w:rsid w:val="00F931E4"/>
    <w:rsid w:val="00FD7A30"/>
    <w:rsid w:val="039DE1D7"/>
    <w:rsid w:val="05FCF0BB"/>
    <w:rsid w:val="0630FE18"/>
    <w:rsid w:val="076BE552"/>
    <w:rsid w:val="092CF232"/>
    <w:rsid w:val="09FCB1D2"/>
    <w:rsid w:val="0E287A2E"/>
    <w:rsid w:val="0E7BC741"/>
    <w:rsid w:val="10A689AF"/>
    <w:rsid w:val="1450E92B"/>
    <w:rsid w:val="19EE1F10"/>
    <w:rsid w:val="1D5263E4"/>
    <w:rsid w:val="21B76C6B"/>
    <w:rsid w:val="237BD8F9"/>
    <w:rsid w:val="24389F4D"/>
    <w:rsid w:val="2B485D4F"/>
    <w:rsid w:val="2CA3F7E4"/>
    <w:rsid w:val="2D25EDA4"/>
    <w:rsid w:val="2ECF3A36"/>
    <w:rsid w:val="30A40E54"/>
    <w:rsid w:val="31AEF3B3"/>
    <w:rsid w:val="322892EB"/>
    <w:rsid w:val="3236CDD2"/>
    <w:rsid w:val="357D8839"/>
    <w:rsid w:val="377AB60D"/>
    <w:rsid w:val="3A79FC85"/>
    <w:rsid w:val="3B18EE78"/>
    <w:rsid w:val="3BE2404C"/>
    <w:rsid w:val="3EF818C2"/>
    <w:rsid w:val="40786D51"/>
    <w:rsid w:val="41D6F54D"/>
    <w:rsid w:val="4403C5F2"/>
    <w:rsid w:val="4438FF76"/>
    <w:rsid w:val="445A65C4"/>
    <w:rsid w:val="45098272"/>
    <w:rsid w:val="46219DDC"/>
    <w:rsid w:val="47FB94CD"/>
    <w:rsid w:val="4CA952E9"/>
    <w:rsid w:val="4ECD2E1A"/>
    <w:rsid w:val="4FCD5B50"/>
    <w:rsid w:val="521FE440"/>
    <w:rsid w:val="5817D422"/>
    <w:rsid w:val="59873D43"/>
    <w:rsid w:val="5DE7E663"/>
    <w:rsid w:val="5F08FA53"/>
    <w:rsid w:val="5FEDD3A7"/>
    <w:rsid w:val="62B310D3"/>
    <w:rsid w:val="64C1B51E"/>
    <w:rsid w:val="66672D3B"/>
    <w:rsid w:val="672D5B34"/>
    <w:rsid w:val="67D33E32"/>
    <w:rsid w:val="683DD578"/>
    <w:rsid w:val="685B9879"/>
    <w:rsid w:val="6973D3F0"/>
    <w:rsid w:val="6C0C8BB0"/>
    <w:rsid w:val="70405FDF"/>
    <w:rsid w:val="70D80757"/>
    <w:rsid w:val="793FC11B"/>
    <w:rsid w:val="7BBB7B48"/>
    <w:rsid w:val="7D31E12F"/>
    <w:rsid w:val="7E716697"/>
    <w:rsid w:val="7FD4C5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8F1"/>
  <w15:chartTrackingRefBased/>
  <w15:docId w15:val="{10EF894D-65BD-448A-AC06-174DA5A8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5A"/>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3C5A"/>
    <w:pPr>
      <w:keepNext/>
      <w:jc w:val="center"/>
      <w:outlineLvl w:val="0"/>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C5A"/>
    <w:rPr>
      <w:rFonts w:ascii="Times New Roman" w:eastAsia="Times New Roman" w:hAnsi="Times New Roman" w:cs="Times New Roman"/>
      <w:b/>
      <w:bCs/>
      <w:sz w:val="24"/>
      <w:szCs w:val="19"/>
    </w:rPr>
  </w:style>
  <w:style w:type="paragraph" w:styleId="Footer">
    <w:name w:val="footer"/>
    <w:basedOn w:val="Normal"/>
    <w:link w:val="FooterChar"/>
    <w:uiPriority w:val="99"/>
    <w:rsid w:val="00543C5A"/>
    <w:pPr>
      <w:tabs>
        <w:tab w:val="center" w:pos="4680"/>
        <w:tab w:val="right" w:pos="9360"/>
      </w:tabs>
    </w:pPr>
  </w:style>
  <w:style w:type="character" w:customStyle="1" w:styleId="FooterChar">
    <w:name w:val="Footer Char"/>
    <w:basedOn w:val="DefaultParagraphFont"/>
    <w:link w:val="Footer"/>
    <w:uiPriority w:val="99"/>
    <w:rsid w:val="00543C5A"/>
    <w:rPr>
      <w:rFonts w:ascii="Times New Roman" w:eastAsia="Times New Roman" w:hAnsi="Times New Roman" w:cs="Times New Roman"/>
      <w:sz w:val="24"/>
      <w:szCs w:val="24"/>
    </w:rPr>
  </w:style>
  <w:style w:type="paragraph" w:styleId="NoSpacing">
    <w:name w:val="No Spacing"/>
    <w:uiPriority w:val="1"/>
    <w:qFormat/>
    <w:rsid w:val="00543C5A"/>
    <w:pPr>
      <w:spacing w:after="0"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nhideWhenUsed/>
    <w:rsid w:val="00543C5A"/>
    <w:pPr>
      <w:spacing w:after="120"/>
    </w:pPr>
  </w:style>
  <w:style w:type="character" w:customStyle="1" w:styleId="BodyTextChar">
    <w:name w:val="Body Text Char"/>
    <w:basedOn w:val="DefaultParagraphFont"/>
    <w:link w:val="BodyText"/>
    <w:rsid w:val="00543C5A"/>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C5A"/>
    <w:pPr>
      <w:spacing w:before="100" w:beforeAutospacing="1" w:after="100" w:afterAutospacing="1"/>
      <w:jc w:val="left"/>
    </w:pPr>
  </w:style>
  <w:style w:type="paragraph" w:styleId="Header">
    <w:name w:val="header"/>
    <w:basedOn w:val="Normal"/>
    <w:link w:val="HeaderChar"/>
    <w:uiPriority w:val="99"/>
    <w:unhideWhenUsed/>
    <w:rsid w:val="00543C5A"/>
    <w:pPr>
      <w:tabs>
        <w:tab w:val="center" w:pos="4680"/>
        <w:tab w:val="right" w:pos="9360"/>
      </w:tabs>
    </w:pPr>
  </w:style>
  <w:style w:type="character" w:customStyle="1" w:styleId="HeaderChar">
    <w:name w:val="Header Char"/>
    <w:basedOn w:val="DefaultParagraphFont"/>
    <w:link w:val="Header"/>
    <w:uiPriority w:val="99"/>
    <w:rsid w:val="00543C5A"/>
    <w:rPr>
      <w:rFonts w:ascii="Times New Roman" w:eastAsia="Times New Roman" w:hAnsi="Times New Roman" w:cs="Times New Roman"/>
      <w:sz w:val="24"/>
      <w:szCs w:val="24"/>
    </w:rPr>
  </w:style>
  <w:style w:type="character" w:customStyle="1" w:styleId="Mention">
    <w:name w:val="Mention"/>
    <w:basedOn w:val="DefaultParagraphFont"/>
    <w:uiPriority w:val="99"/>
    <w:unhideWhenUsed/>
    <w:rsid w:val="00DD03C3"/>
    <w:rPr>
      <w:color w:val="2B579A"/>
      <w:shd w:val="clear" w:color="auto" w:fill="E6E6E6"/>
    </w:rPr>
  </w:style>
  <w:style w:type="paragraph" w:styleId="CommentText">
    <w:name w:val="annotation text"/>
    <w:basedOn w:val="Normal"/>
    <w:link w:val="CommentTextChar"/>
    <w:uiPriority w:val="99"/>
    <w:semiHidden/>
    <w:unhideWhenUsed/>
    <w:rsid w:val="00DD03C3"/>
    <w:rPr>
      <w:sz w:val="20"/>
      <w:szCs w:val="20"/>
    </w:rPr>
  </w:style>
  <w:style w:type="character" w:customStyle="1" w:styleId="CommentTextChar">
    <w:name w:val="Comment Text Char"/>
    <w:basedOn w:val="DefaultParagraphFont"/>
    <w:link w:val="CommentText"/>
    <w:uiPriority w:val="99"/>
    <w:semiHidden/>
    <w:rsid w:val="00DD03C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D03C3"/>
    <w:rPr>
      <w:sz w:val="16"/>
      <w:szCs w:val="16"/>
    </w:rPr>
  </w:style>
  <w:style w:type="paragraph" w:styleId="Revision">
    <w:name w:val="Revision"/>
    <w:hidden/>
    <w:uiPriority w:val="99"/>
    <w:semiHidden/>
    <w:rsid w:val="00EC0B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C4F1C42362242A6C6B65E9A8A6654" ma:contentTypeVersion="12" ma:contentTypeDescription="Create a new document." ma:contentTypeScope="" ma:versionID="400018f2cf0ecbf86098bb714139a86d">
  <xsd:schema xmlns:xsd="http://www.w3.org/2001/XMLSchema" xmlns:xs="http://www.w3.org/2001/XMLSchema" xmlns:p="http://schemas.microsoft.com/office/2006/metadata/properties" xmlns:ns2="62ea22f3-8c27-4f88-8d35-dd34ba299e3f" xmlns:ns3="bb12a9c8-dfbb-4a51-b352-0988ebe5ddce" targetNamespace="http://schemas.microsoft.com/office/2006/metadata/properties" ma:root="true" ma:fieldsID="e40c96b4e92101ffdc49b87457c72ac6" ns2:_="" ns3:_="">
    <xsd:import namespace="62ea22f3-8c27-4f88-8d35-dd34ba299e3f"/>
    <xsd:import namespace="bb12a9c8-dfbb-4a51-b352-0988ebe5d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a22f3-8c27-4f88-8d35-dd34ba299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2a9c8-dfbb-4a51-b352-0988ebe5d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F7D2-9637-49CD-B7ED-3A08EA9C1B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215259-84FF-4741-9057-DF322342C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a22f3-8c27-4f88-8d35-dd34ba299e3f"/>
    <ds:schemaRef ds:uri="bb12a9c8-dfbb-4a51-b352-0988ebe5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2964F-F5A4-41A9-AA96-1BED7C2F0021}">
  <ds:schemaRefs>
    <ds:schemaRef ds:uri="http://schemas.microsoft.com/sharepoint/v3/contenttype/forms"/>
  </ds:schemaRefs>
</ds:datastoreItem>
</file>

<file path=customXml/itemProps4.xml><?xml version="1.0" encoding="utf-8"?>
<ds:datastoreItem xmlns:ds="http://schemas.openxmlformats.org/officeDocument/2006/customXml" ds:itemID="{442BC2DF-5A12-49A3-BE77-58D0057A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Storey</dc:creator>
  <cp:keywords/>
  <dc:description/>
  <cp:lastModifiedBy>DelFranco, Ruthie</cp:lastModifiedBy>
  <cp:revision>2</cp:revision>
  <dcterms:created xsi:type="dcterms:W3CDTF">2021-11-20T02:57:00Z</dcterms:created>
  <dcterms:modified xsi:type="dcterms:W3CDTF">2021-11-20T02:57:00Z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0x010100F9DC4F1C42362242A6C6B65E9A8A6654</vt:lpwstr>
  </property>
</Properties>
</file>