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0F075" w14:textId="21198940" w:rsidR="00341323" w:rsidRDefault="00C11A9E">
      <w:pPr>
        <w:spacing w:after="0" w:line="240" w:lineRule="auto"/>
        <w:jc w:val="center"/>
        <w:rPr>
          <w:rFonts w:ascii="Times New Roman" w:eastAsia="Times New Roman" w:hAnsi="Times New Roman" w:cs="Times New Roman"/>
          <w:sz w:val="24"/>
          <w:szCs w:val="24"/>
        </w:rPr>
      </w:pPr>
      <w:r w:rsidRPr="0CAE39F7">
        <w:rPr>
          <w:rFonts w:ascii="Times New Roman" w:eastAsia="Times New Roman" w:hAnsi="Times New Roman" w:cs="Times New Roman"/>
          <w:sz w:val="24"/>
          <w:szCs w:val="24"/>
        </w:rPr>
        <w:t>Res. No.</w:t>
      </w:r>
      <w:r w:rsidR="00E52631">
        <w:rPr>
          <w:rFonts w:ascii="Times New Roman" w:eastAsia="Times New Roman" w:hAnsi="Times New Roman" w:cs="Times New Roman"/>
          <w:sz w:val="24"/>
          <w:szCs w:val="24"/>
        </w:rPr>
        <w:t xml:space="preserve"> 217</w:t>
      </w:r>
    </w:p>
    <w:p w14:paraId="7735926A" w14:textId="77777777" w:rsidR="00341323" w:rsidRDefault="00341323">
      <w:pPr>
        <w:spacing w:after="0" w:line="240" w:lineRule="auto"/>
        <w:jc w:val="center"/>
        <w:rPr>
          <w:rFonts w:ascii="Times New Roman" w:eastAsia="Times New Roman" w:hAnsi="Times New Roman" w:cs="Times New Roman"/>
          <w:sz w:val="24"/>
          <w:szCs w:val="24"/>
        </w:rPr>
      </w:pPr>
    </w:p>
    <w:p w14:paraId="22431DD8" w14:textId="77777777" w:rsidR="003E17FE" w:rsidRPr="003E17FE" w:rsidRDefault="003E17FE">
      <w:pPr>
        <w:spacing w:after="0" w:line="240" w:lineRule="auto"/>
        <w:jc w:val="both"/>
        <w:rPr>
          <w:rFonts w:ascii="Times New Roman" w:eastAsia="Times New Roman" w:hAnsi="Times New Roman" w:cs="Times New Roman"/>
          <w:vanish/>
          <w:sz w:val="24"/>
          <w:szCs w:val="24"/>
        </w:rPr>
      </w:pPr>
      <w:proofErr w:type="gramStart"/>
      <w:r w:rsidRPr="003E17FE">
        <w:rPr>
          <w:rFonts w:ascii="Times New Roman" w:eastAsia="Times New Roman" w:hAnsi="Times New Roman" w:cs="Times New Roman"/>
          <w:vanish/>
          <w:sz w:val="24"/>
          <w:szCs w:val="24"/>
        </w:rPr>
        <w:t>..</w:t>
      </w:r>
      <w:proofErr w:type="gramEnd"/>
      <w:r w:rsidRPr="003E17FE">
        <w:rPr>
          <w:rFonts w:ascii="Times New Roman" w:eastAsia="Times New Roman" w:hAnsi="Times New Roman" w:cs="Times New Roman"/>
          <w:vanish/>
          <w:sz w:val="24"/>
          <w:szCs w:val="24"/>
        </w:rPr>
        <w:t>Title</w:t>
      </w:r>
    </w:p>
    <w:p w14:paraId="5D3EEB83" w14:textId="6823518F" w:rsidR="00341323" w:rsidRDefault="00C11A9E">
      <w:pPr>
        <w:spacing w:after="0" w:line="24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sz w:val="24"/>
          <w:szCs w:val="24"/>
        </w:rPr>
        <w:t xml:space="preserve">Resolution calling upon </w:t>
      </w:r>
      <w:r>
        <w:rPr>
          <w:rFonts w:ascii="Times New Roman" w:eastAsia="Times New Roman" w:hAnsi="Times New Roman" w:cs="Times New Roman"/>
          <w:color w:val="212529"/>
          <w:sz w:val="24"/>
          <w:szCs w:val="24"/>
        </w:rPr>
        <w:t>the New York State Legislature to pass, and the Governor to sign, the Predatory Marketing Prevention Act (S7487C), which relates to false or misleading advertisements of food and food products; provides factors to determine whether an advertisement is false or misleading; provides for enforcement and a private right of action</w:t>
      </w:r>
    </w:p>
    <w:p w14:paraId="55C99C88" w14:textId="17620371" w:rsidR="003E17FE" w:rsidRPr="003E17FE" w:rsidRDefault="003E17FE">
      <w:pPr>
        <w:spacing w:after="0" w:line="240" w:lineRule="auto"/>
        <w:jc w:val="both"/>
        <w:rPr>
          <w:vanish/>
        </w:rPr>
      </w:pPr>
      <w:proofErr w:type="gramStart"/>
      <w:r w:rsidRPr="003E17FE">
        <w:rPr>
          <w:rFonts w:ascii="Times New Roman" w:eastAsia="Times New Roman" w:hAnsi="Times New Roman" w:cs="Times New Roman"/>
          <w:vanish/>
          <w:color w:val="212529"/>
          <w:sz w:val="24"/>
          <w:szCs w:val="24"/>
        </w:rPr>
        <w:t>..</w:t>
      </w:r>
      <w:proofErr w:type="gramEnd"/>
      <w:r w:rsidRPr="003E17FE">
        <w:rPr>
          <w:rFonts w:ascii="Times New Roman" w:eastAsia="Times New Roman" w:hAnsi="Times New Roman" w:cs="Times New Roman"/>
          <w:vanish/>
          <w:color w:val="212529"/>
          <w:sz w:val="24"/>
          <w:szCs w:val="24"/>
        </w:rPr>
        <w:t>Body</w:t>
      </w:r>
    </w:p>
    <w:p w14:paraId="2CEFA396" w14:textId="77777777" w:rsidR="00341323" w:rsidRDefault="00341323">
      <w:pPr>
        <w:spacing w:after="0" w:line="240" w:lineRule="auto"/>
        <w:jc w:val="both"/>
        <w:rPr>
          <w:rFonts w:ascii="Times New Roman" w:eastAsia="Times New Roman" w:hAnsi="Times New Roman" w:cs="Times New Roman"/>
          <w:sz w:val="24"/>
          <w:szCs w:val="24"/>
        </w:rPr>
      </w:pPr>
    </w:p>
    <w:p w14:paraId="1DD211E8" w14:textId="43A28D18" w:rsidR="00ED20D8" w:rsidRDefault="00ED20D8" w:rsidP="00ED20D8">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By Council Member</w:t>
      </w:r>
      <w:r w:rsidR="00E52631">
        <w:rPr>
          <w:rFonts w:ascii="Times New Roman" w:hAnsi="Times New Roman" w:cs="Times New Roman"/>
          <w:sz w:val="24"/>
          <w:szCs w:val="24"/>
        </w:rPr>
        <w:t>s</w:t>
      </w:r>
      <w:r>
        <w:rPr>
          <w:rFonts w:ascii="Times New Roman" w:hAnsi="Times New Roman" w:cs="Times New Roman"/>
          <w:sz w:val="24"/>
          <w:szCs w:val="24"/>
        </w:rPr>
        <w:t xml:space="preserve"> Hudson</w:t>
      </w:r>
      <w:r w:rsidR="00E52631">
        <w:rPr>
          <w:rFonts w:ascii="Times New Roman" w:hAnsi="Times New Roman" w:cs="Times New Roman"/>
          <w:sz w:val="24"/>
          <w:szCs w:val="24"/>
        </w:rPr>
        <w:t xml:space="preserve"> and Louis</w:t>
      </w:r>
    </w:p>
    <w:p w14:paraId="00F44675" w14:textId="77777777" w:rsidR="00341323" w:rsidRDefault="00C11A9E">
      <w:pPr>
        <w:spacing w:after="0" w:line="480" w:lineRule="auto"/>
        <w:ind w:firstLine="720"/>
        <w:jc w:val="both"/>
      </w:pPr>
      <w:r>
        <w:rPr>
          <w:rFonts w:ascii="Times New Roman" w:hAnsi="Times New Roman" w:cs="Times New Roman"/>
          <w:sz w:val="24"/>
          <w:szCs w:val="24"/>
        </w:rPr>
        <w:t xml:space="preserve">Whereas, Childhood and adolescent obesity is a serious problem associated with a higher risk of premature mortality and morbidity in the form of preventable diseases, such as type 2 diabetes, hypertension, fatty-liver disease, cardiovascular disease, cancer, osteoarthritis, chronic kidney disease, asthma, sleep apnea, and a range of psychological disorders, including eating disorders and depression; and </w:t>
      </w:r>
    </w:p>
    <w:p w14:paraId="363FB3B9" w14:textId="77777777" w:rsidR="00341323" w:rsidRDefault="00C11A9E">
      <w:pPr>
        <w:spacing w:after="0" w:line="480" w:lineRule="auto"/>
        <w:ind w:firstLine="720"/>
        <w:jc w:val="both"/>
      </w:pPr>
      <w:r>
        <w:rPr>
          <w:rFonts w:ascii="Times New Roman" w:hAnsi="Times New Roman" w:cs="Times New Roman"/>
          <w:sz w:val="24"/>
          <w:szCs w:val="24"/>
        </w:rPr>
        <w:t xml:space="preserve">Whereas, Moreover, obesity is correlated with a compromised immune-system function, a diminished lung capacity, and — consequently — an elevated risk of severe illness, including three times the risk of hospitalization </w:t>
      </w:r>
      <w:proofErr w:type="gramStart"/>
      <w:r>
        <w:rPr>
          <w:rFonts w:ascii="Times New Roman" w:hAnsi="Times New Roman" w:cs="Times New Roman"/>
          <w:sz w:val="24"/>
          <w:szCs w:val="24"/>
        </w:rPr>
        <w:t>as a result of</w:t>
      </w:r>
      <w:proofErr w:type="gramEnd"/>
      <w:r>
        <w:rPr>
          <w:rFonts w:ascii="Times New Roman" w:hAnsi="Times New Roman" w:cs="Times New Roman"/>
          <w:sz w:val="24"/>
          <w:szCs w:val="24"/>
        </w:rPr>
        <w:t xml:space="preserve"> a COVID-19 infection, and a heightened risk of COVID-19-related death; and</w:t>
      </w:r>
    </w:p>
    <w:p w14:paraId="44DE916B" w14:textId="77777777" w:rsidR="00341323" w:rsidRDefault="00C11A9E">
      <w:pPr>
        <w:spacing w:after="0" w:line="480" w:lineRule="auto"/>
        <w:ind w:firstLine="720"/>
        <w:jc w:val="both"/>
      </w:pPr>
      <w:r>
        <w:rPr>
          <w:rFonts w:ascii="Times New Roman" w:hAnsi="Times New Roman" w:cs="Times New Roman"/>
          <w:sz w:val="24"/>
          <w:szCs w:val="24"/>
        </w:rPr>
        <w:t>Whereas, In the United States, between 2017 and 2020, among children and adolescents in the 2-19 years age category, 19.7 percent were obese, accounting for approximately 14.7 million children and adolescents; and</w:t>
      </w:r>
    </w:p>
    <w:p w14:paraId="297D806D" w14:textId="77777777" w:rsidR="00341323" w:rsidRDefault="00C11A9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Nationally, childhood and adolescent obesity burden disproportionately affects low-income and racial minority population groups, with the prevalence of obesity being 26.2 percent among Hispanic children, 24.8 percent among non-Hispanic Black children, 16.6 percent among non-Hispanic white children, 9 percent among non-Hispanic Asian children, 18.9 percent among children and adolescents in the lowest income group, and 10.9 percent among those in the highest income group; and </w:t>
      </w:r>
    </w:p>
    <w:p w14:paraId="181950CB" w14:textId="77777777" w:rsidR="00341323" w:rsidRDefault="00C11A9E">
      <w:pPr>
        <w:spacing w:after="0" w:line="480" w:lineRule="auto"/>
        <w:ind w:firstLine="720"/>
        <w:jc w:val="both"/>
      </w:pPr>
      <w:r>
        <w:rPr>
          <w:rFonts w:ascii="Times New Roman" w:hAnsi="Times New Roman" w:cs="Times New Roman"/>
          <w:sz w:val="24"/>
          <w:szCs w:val="24"/>
        </w:rPr>
        <w:lastRenderedPageBreak/>
        <w:t xml:space="preserve">Whereas, In New York State (NYS), childhood and adolescent obesity rates tripled over the past thirty years, reaching epidemic proportions, with 16.5 percent of NYS (excluding New York City) elementary through high school students being overweight, and 17.3 percent of NYS (excluding New York City) elementary through high school students being obese; and </w:t>
      </w:r>
    </w:p>
    <w:p w14:paraId="1E3D3D03" w14:textId="77777777" w:rsidR="00341323" w:rsidRDefault="00C11A9E">
      <w:pPr>
        <w:spacing w:after="0" w:line="480" w:lineRule="auto"/>
        <w:ind w:firstLine="720"/>
        <w:jc w:val="both"/>
        <w:rPr>
          <w:rFonts w:ascii="Times New Roman" w:hAnsi="Times New Roman"/>
          <w:sz w:val="24"/>
          <w:szCs w:val="24"/>
        </w:rPr>
      </w:pPr>
      <w:r>
        <w:rPr>
          <w:rFonts w:ascii="Times New Roman" w:hAnsi="Times New Roman" w:cs="Times New Roman"/>
          <w:sz w:val="24"/>
          <w:szCs w:val="24"/>
        </w:rPr>
        <w:t>Whereas, In New York City, between 15 percent and 19.4 percent of children are overweight, and an additional 22 percent to 27 percent of children are obese; and</w:t>
      </w:r>
    </w:p>
    <w:p w14:paraId="2E5A6E96" w14:textId="77777777" w:rsidR="00341323" w:rsidRDefault="00C11A9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Scientific studies conclude that children’s and adolescents’ exposure to television and online advertisements of unhealthy food and beverages dense with calories, but low in nutrients, activates sensitive and still-developing neural networks associated with diet self-control; food cravings modulation; reward; emotional response; habit formation; and addiction, serving as a causal factor of childhood and adolescent obesity, with the evidence base being especially strong for children aged 8 years and younger, as well as for children from socioeconomically disadvantaged and racial minority population groups; and</w:t>
      </w:r>
    </w:p>
    <w:p w14:paraId="5E5149CE" w14:textId="77777777" w:rsidR="00341323" w:rsidRDefault="00C11A9E">
      <w:pPr>
        <w:spacing w:after="0"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Available evidence indicates that statutory regulation is a cost-effective policy response to the obesogenic effect of unhealthy-food advertisements targeted at children, as they are an especially vulnerable audience, who tend to lack a developed ability to understand and protect their interests by rationally overriding their impulses and cravings; and</w:t>
      </w:r>
    </w:p>
    <w:p w14:paraId="0206C562" w14:textId="77777777" w:rsidR="00341323" w:rsidRDefault="00C11A9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healthcare savings achieved from statutory regulations outweigh the costs of implementing the policy, with the data from the U.S. National Health and Nutrition Examination Survey indicating that between one in seven and one in three children could be saved from developing obesity by a reduction to zero of exposure to unhealthy-food advertisements; and</w:t>
      </w:r>
    </w:p>
    <w:p w14:paraId="58CEE5FD" w14:textId="77777777" w:rsidR="00341323" w:rsidRDefault="00C11A9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On October 27, 2021, with the stated aim of protecting children from junk food companies targeting them with false or misleading advertisements, NYS Senator, </w:t>
      </w:r>
      <w:proofErr w:type="spellStart"/>
      <w:r>
        <w:rPr>
          <w:rFonts w:ascii="Times New Roman" w:hAnsi="Times New Roman" w:cs="Times New Roman"/>
          <w:sz w:val="24"/>
          <w:szCs w:val="24"/>
        </w:rPr>
        <w:t>Zellnor</w:t>
      </w:r>
      <w:proofErr w:type="spellEnd"/>
      <w:r>
        <w:rPr>
          <w:rFonts w:ascii="Times New Roman" w:hAnsi="Times New Roman" w:cs="Times New Roman"/>
          <w:sz w:val="24"/>
          <w:szCs w:val="24"/>
        </w:rPr>
        <w:t xml:space="preserve"> Myrie, </w:t>
      </w:r>
      <w:r>
        <w:rPr>
          <w:rFonts w:ascii="Times New Roman" w:hAnsi="Times New Roman" w:cs="Times New Roman"/>
          <w:sz w:val="24"/>
          <w:szCs w:val="24"/>
        </w:rPr>
        <w:lastRenderedPageBreak/>
        <w:t>introduced Senate Bill S7487C, known as the Predatory Marketing Prevention Act, which would: 1) amend the agriculture and markets law, the general business law, and the public health law in relation to false or misleading advertisements of food and food products; 2) provide factors to determine whether an advertisement is false or misleading; and 3) provide for enforcement and a private right of action; now, therefore, be it</w:t>
      </w:r>
    </w:p>
    <w:p w14:paraId="145A0D42" w14:textId="77777777" w:rsidR="00341323" w:rsidRDefault="00C11A9E">
      <w:pPr>
        <w:spacing w:after="0" w:line="480" w:lineRule="auto"/>
        <w:ind w:firstLine="720"/>
        <w:jc w:val="both"/>
      </w:pPr>
      <w:r>
        <w:rPr>
          <w:rFonts w:ascii="Times New Roman" w:hAnsi="Times New Roman" w:cs="Times New Roman"/>
          <w:sz w:val="24"/>
          <w:szCs w:val="24"/>
        </w:rPr>
        <w:t xml:space="preserve">Resolved, That the Council of the City of New York calls </w:t>
      </w:r>
      <w:r>
        <w:rPr>
          <w:rFonts w:ascii="Times New Roman" w:eastAsia="Times New Roman" w:hAnsi="Times New Roman" w:cs="Times New Roman"/>
          <w:color w:val="212529"/>
          <w:sz w:val="24"/>
          <w:szCs w:val="24"/>
        </w:rPr>
        <w:t>upon the New York State Legislature to pass and the Governor to sign the Predatory Marketing Prevention Act (S7487C), which relates to false or misleading advertisements of food and food products; provides factors to determine whether an advertisement is false or misleading; provides for enforcement and a private right of action</w:t>
      </w:r>
      <w:r>
        <w:rPr>
          <w:rFonts w:ascii="Times New Roman" w:eastAsia="Times New Roman" w:hAnsi="Times New Roman" w:cs="Times New Roman"/>
          <w:sz w:val="24"/>
          <w:szCs w:val="24"/>
        </w:rPr>
        <w:t>.</w:t>
      </w:r>
    </w:p>
    <w:p w14:paraId="45CAB440" w14:textId="6AB092D7" w:rsidR="006411B2" w:rsidRDefault="006411B2" w:rsidP="006411B2">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AZ</w:t>
      </w:r>
    </w:p>
    <w:p w14:paraId="5335A782" w14:textId="77777777" w:rsidR="00341323" w:rsidRDefault="00C11A9E">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LS #9312</w:t>
      </w:r>
    </w:p>
    <w:p w14:paraId="08AF0683" w14:textId="4715B656" w:rsidR="006411B2" w:rsidRDefault="006411B2">
      <w:pPr>
        <w:spacing w:after="0" w:line="240" w:lineRule="auto"/>
        <w:jc w:val="both"/>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Res. #</w:t>
      </w:r>
      <w:proofErr w:type="gramEnd"/>
      <w:r>
        <w:rPr>
          <w:rFonts w:ascii="Times New Roman" w:eastAsia="Times New Roman" w:hAnsi="Times New Roman" w:cs="Times New Roman"/>
          <w:sz w:val="18"/>
          <w:szCs w:val="18"/>
        </w:rPr>
        <w:t>0101-2024</w:t>
      </w:r>
    </w:p>
    <w:p w14:paraId="4921FD01" w14:textId="4C00732A" w:rsidR="006411B2" w:rsidRDefault="006411B2">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12/31/2025 10:44 AM</w:t>
      </w:r>
    </w:p>
    <w:sectPr w:rsidR="006411B2">
      <w:footerReference w:type="default" r:id="rId6"/>
      <w:pgSz w:w="12240" w:h="15840"/>
      <w:pgMar w:top="1440" w:right="1440" w:bottom="1440" w:left="1440" w:header="0" w:footer="72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ADB4A" w14:textId="77777777" w:rsidR="00DA55D6" w:rsidRDefault="00DA55D6">
      <w:pPr>
        <w:spacing w:after="0" w:line="240" w:lineRule="auto"/>
      </w:pPr>
      <w:r>
        <w:separator/>
      </w:r>
    </w:p>
  </w:endnote>
  <w:endnote w:type="continuationSeparator" w:id="0">
    <w:p w14:paraId="17BF56DD" w14:textId="77777777" w:rsidR="00DA55D6" w:rsidRDefault="00DA5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Mono">
    <w:altName w:val="Courier New"/>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5C89F" w14:textId="165CF433" w:rsidR="00341323" w:rsidRDefault="00C11A9E">
    <w:pPr>
      <w:pStyle w:val="Footer"/>
      <w:jc w:val="center"/>
    </w:pPr>
    <w:r>
      <w:fldChar w:fldCharType="begin"/>
    </w:r>
    <w:r>
      <w:instrText xml:space="preserve"> PAGE </w:instrText>
    </w:r>
    <w:r>
      <w:fldChar w:fldCharType="separate"/>
    </w:r>
    <w:r w:rsidR="00ED20D8">
      <w:rPr>
        <w:noProof/>
      </w:rPr>
      <w:t>3</w:t>
    </w:r>
    <w:r>
      <w:fldChar w:fldCharType="end"/>
    </w:r>
  </w:p>
  <w:p w14:paraId="38DE6423" w14:textId="77777777" w:rsidR="00341323" w:rsidRDefault="003413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989F7" w14:textId="77777777" w:rsidR="00DA55D6" w:rsidRDefault="00DA55D6">
      <w:pPr>
        <w:spacing w:after="0" w:line="240" w:lineRule="auto"/>
      </w:pPr>
      <w:r>
        <w:separator/>
      </w:r>
    </w:p>
  </w:footnote>
  <w:footnote w:type="continuationSeparator" w:id="0">
    <w:p w14:paraId="1147CAE7" w14:textId="77777777" w:rsidR="00DA55D6" w:rsidRDefault="00DA55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323"/>
    <w:rsid w:val="00031000"/>
    <w:rsid w:val="001C6F8C"/>
    <w:rsid w:val="00292241"/>
    <w:rsid w:val="00341323"/>
    <w:rsid w:val="003E17FE"/>
    <w:rsid w:val="00483E87"/>
    <w:rsid w:val="00584921"/>
    <w:rsid w:val="005E1809"/>
    <w:rsid w:val="006411B2"/>
    <w:rsid w:val="00972A1A"/>
    <w:rsid w:val="009F0072"/>
    <w:rsid w:val="00A71835"/>
    <w:rsid w:val="00AA2BE9"/>
    <w:rsid w:val="00C11A9E"/>
    <w:rsid w:val="00C84E53"/>
    <w:rsid w:val="00CD3AC5"/>
    <w:rsid w:val="00D13EDF"/>
    <w:rsid w:val="00DA55D6"/>
    <w:rsid w:val="00E52631"/>
    <w:rsid w:val="00ED20D8"/>
    <w:rsid w:val="00F56301"/>
    <w:rsid w:val="0CAE39F7"/>
    <w:rsid w:val="3F79AAC0"/>
    <w:rsid w:val="7C126F3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D2B5F"/>
  <w15:docId w15:val="{9ECE2CE5-9372-49B1-9EAF-CFC50A1C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qFormat/>
  </w:style>
  <w:style w:type="character" w:customStyle="1" w:styleId="FooterChar">
    <w:name w:val="Footer Char"/>
    <w:basedOn w:val="DefaultParagraphFont"/>
    <w:link w:val="Footer"/>
    <w:qFormat/>
  </w:style>
  <w:style w:type="character" w:customStyle="1" w:styleId="BalloonTextChar">
    <w:name w:val="Balloon Text Char"/>
    <w:basedOn w:val="DefaultParagraphFont"/>
    <w:link w:val="BalloonText"/>
    <w:qFormat/>
    <w:rPr>
      <w:rFonts w:ascii="Segoe UI" w:hAnsi="Segoe UI" w:cs="Segoe UI"/>
      <w:sz w:val="18"/>
      <w:szCs w:val="18"/>
    </w:rPr>
  </w:style>
  <w:style w:type="character" w:styleId="CommentReference">
    <w:name w:val="annotation reference"/>
    <w:basedOn w:val="DefaultParagraphFont"/>
    <w:qFormat/>
    <w:rPr>
      <w:sz w:val="16"/>
      <w:szCs w:val="16"/>
    </w:rPr>
  </w:style>
  <w:style w:type="character" w:customStyle="1" w:styleId="CommentTextChar">
    <w:name w:val="Comment Text Char"/>
    <w:basedOn w:val="DefaultParagraphFont"/>
    <w:link w:val="CommentText"/>
    <w:qFormat/>
    <w:rPr>
      <w:sz w:val="20"/>
      <w:szCs w:val="20"/>
    </w:rPr>
  </w:style>
  <w:style w:type="character" w:customStyle="1" w:styleId="CommentSubjectChar">
    <w:name w:val="Comment Subject Char"/>
    <w:basedOn w:val="CommentTextChar"/>
    <w:link w:val="CommentSubject"/>
    <w:qFormat/>
    <w:rPr>
      <w:b/>
      <w:bCs/>
      <w:sz w:val="20"/>
      <w:szCs w:val="20"/>
    </w:rPr>
  </w:style>
  <w:style w:type="character" w:customStyle="1" w:styleId="EndnoteTextChar">
    <w:name w:val="Endnote Text Char"/>
    <w:basedOn w:val="DefaultParagraphFont"/>
    <w:link w:val="EndnoteText"/>
    <w:qFormat/>
    <w:rPr>
      <w:sz w:val="20"/>
      <w:szCs w:val="20"/>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styleId="Hyperlink">
    <w:name w:val="Hyperlink"/>
    <w:rPr>
      <w:color w:val="0000FF"/>
      <w:u w:val="single"/>
    </w:rPr>
  </w:style>
  <w:style w:type="character" w:styleId="FollowedHyperlink">
    <w:name w:val="FollowedHyperlink"/>
    <w:basedOn w:val="DefaultParagraphFont"/>
    <w:rPr>
      <w:color w:val="800080"/>
      <w:u w:val="single"/>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NumberingSymbols">
    <w:name w:val="Numbering Symbols"/>
    <w:qFormat/>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pPr>
      <w:tabs>
        <w:tab w:val="center" w:pos="4680"/>
        <w:tab w:val="right" w:pos="9360"/>
      </w:tabs>
      <w:spacing w:after="0" w:line="240" w:lineRule="auto"/>
    </w:pPr>
  </w:style>
  <w:style w:type="paragraph" w:styleId="Footer">
    <w:name w:val="footer"/>
    <w:basedOn w:val="Normal"/>
    <w:link w:val="FooterChar"/>
    <w:pPr>
      <w:tabs>
        <w:tab w:val="center" w:pos="4680"/>
        <w:tab w:val="right" w:pos="9360"/>
      </w:tabs>
      <w:spacing w:after="0" w:line="240" w:lineRule="auto"/>
    </w:pPr>
  </w:style>
  <w:style w:type="paragraph" w:styleId="BalloonText">
    <w:name w:val="Balloon Text"/>
    <w:basedOn w:val="Normal"/>
    <w:link w:val="BalloonTextChar"/>
    <w:qFormat/>
    <w:pPr>
      <w:spacing w:after="0" w:line="240" w:lineRule="auto"/>
    </w:pPr>
    <w:rPr>
      <w:rFonts w:ascii="Segoe UI" w:hAnsi="Segoe UI" w:cs="Segoe UI"/>
      <w:sz w:val="18"/>
      <w:szCs w:val="18"/>
    </w:rPr>
  </w:style>
  <w:style w:type="paragraph" w:styleId="CommentText">
    <w:name w:val="annotation text"/>
    <w:basedOn w:val="Normal"/>
    <w:link w:val="CommentTextChar"/>
    <w:qFormat/>
    <w:pPr>
      <w:spacing w:line="240" w:lineRule="auto"/>
    </w:pPr>
    <w:rPr>
      <w:sz w:val="20"/>
      <w:szCs w:val="20"/>
    </w:rPr>
  </w:style>
  <w:style w:type="paragraph" w:styleId="CommentSubject">
    <w:name w:val="annotation subject"/>
    <w:basedOn w:val="CommentText"/>
    <w:next w:val="CommentText"/>
    <w:link w:val="CommentSubjectChar"/>
    <w:qFormat/>
    <w:rPr>
      <w:b/>
      <w:bCs/>
    </w:rPr>
  </w:style>
  <w:style w:type="paragraph" w:styleId="EndnoteText">
    <w:name w:val="endnote text"/>
    <w:basedOn w:val="Normal"/>
    <w:link w:val="EndnoteTextChar"/>
    <w:pPr>
      <w:spacing w:after="0" w:line="240" w:lineRule="auto"/>
    </w:pPr>
    <w:rPr>
      <w:sz w:val="20"/>
      <w:szCs w:val="20"/>
    </w:rPr>
  </w:style>
  <w:style w:type="paragraph" w:customStyle="1" w:styleId="PreformattedText">
    <w:name w:val="Preformatted Text"/>
    <w:basedOn w:val="Normal"/>
    <w:qFormat/>
    <w:pPr>
      <w:spacing w:after="0"/>
    </w:pPr>
    <w:rPr>
      <w:rFonts w:ascii="Liberation Mono" w:eastAsia="Liberation Mono" w:hAnsi="Liberation Mono" w:cs="Liberation Mono"/>
      <w:sz w:val="20"/>
      <w:szCs w:val="20"/>
    </w:rPr>
  </w:style>
  <w:style w:type="paragraph" w:styleId="FootnoteText">
    <w:name w:val="footnote text"/>
    <w:basedOn w:val="Normal"/>
    <w:pPr>
      <w:suppressLineNumbers/>
      <w:ind w:left="340" w:hanging="340"/>
    </w:pPr>
    <w:rPr>
      <w:sz w:val="20"/>
      <w:szCs w:val="20"/>
    </w:rPr>
  </w:style>
  <w:style w:type="paragraph" w:styleId="ListParagraph">
    <w:name w:val="List Paragraph"/>
    <w:basedOn w:val="Normal"/>
    <w:qFormat/>
    <w:pPr>
      <w:spacing w:after="0"/>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335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710</Words>
  <Characters>4051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Anastassia Zimina</dc:creator>
  <dc:description/>
  <cp:lastModifiedBy>Delancey, Thaddea</cp:lastModifiedBy>
  <cp:revision>2</cp:revision>
  <cp:lastPrinted>2018-10-25T21:43:00Z</cp:lastPrinted>
  <dcterms:created xsi:type="dcterms:W3CDTF">2026-03-09T14:56:00Z</dcterms:created>
  <dcterms:modified xsi:type="dcterms:W3CDTF">2026-03-09T14:56:00Z</dcterms:modified>
  <dc:language>en-US</dc:language>
</cp:coreProperties>
</file>