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FE1DF" w14:textId="54BEE06C" w:rsidR="00333788" w:rsidRDefault="00157E30" w:rsidP="00EE6B4F">
      <w:pPr>
        <w:pStyle w:val="DoubleSpaceParagaph"/>
        <w:suppressLineNumbers/>
        <w:ind w:firstLine="0"/>
        <w:jc w:val="center"/>
      </w:pPr>
      <w:r>
        <w:t xml:space="preserve">Preconsidered. </w:t>
      </w:r>
      <w:r w:rsidR="00EE6B4F">
        <w:t>Int</w:t>
      </w:r>
      <w:r>
        <w:t>.</w:t>
      </w:r>
      <w:r w:rsidR="00EE6B4F">
        <w:t xml:space="preserve"> No.</w:t>
      </w:r>
      <w:r w:rsidR="00513573">
        <w:t xml:space="preserve"> </w:t>
      </w:r>
      <w:r w:rsidR="00513573" w:rsidRPr="00513573">
        <w:t>1002</w:t>
      </w:r>
    </w:p>
    <w:p w14:paraId="4D981C9C" w14:textId="77777777" w:rsidR="00E910D7" w:rsidRDefault="00333788" w:rsidP="00E910D7">
      <w:pPr>
        <w:pStyle w:val="DoubleSpaceParagaph"/>
        <w:suppressLineNumbers/>
        <w:ind w:firstLine="0"/>
        <w:jc w:val="left"/>
      </w:pPr>
      <w:r>
        <w:t>By Council Member Lee (by request of the Mayor)</w:t>
      </w:r>
    </w:p>
    <w:p w14:paraId="30C8BBA6" w14:textId="68D19754" w:rsidR="00E910D7" w:rsidRPr="00E910D7" w:rsidRDefault="00E910D7" w:rsidP="007619C6">
      <w:pPr>
        <w:pStyle w:val="DoubleSpaceParagaph"/>
        <w:suppressLineNumbers/>
        <w:spacing w:line="276" w:lineRule="auto"/>
        <w:ind w:firstLine="0"/>
        <w:jc w:val="left"/>
        <w:rPr>
          <w:vanish/>
        </w:rPr>
      </w:pPr>
      <w:r w:rsidRPr="00E910D7">
        <w:rPr>
          <w:vanish/>
        </w:rPr>
        <w:t>..Title</w:t>
      </w:r>
    </w:p>
    <w:p w14:paraId="02369A20" w14:textId="5CB68920" w:rsidR="00EE6B4F" w:rsidRDefault="00E910D7" w:rsidP="007619C6">
      <w:pPr>
        <w:pStyle w:val="DoubleSpaceParagaph"/>
        <w:suppressLineNumbers/>
        <w:spacing w:line="276" w:lineRule="auto"/>
        <w:ind w:firstLine="0"/>
        <w:jc w:val="left"/>
      </w:pPr>
      <w:r>
        <w:t>A Local Law t</w:t>
      </w:r>
      <w:r w:rsidR="00EE6B4F">
        <w:t>o establish a temporary program to resolve outstanding judgments imposed by the environmental control board</w:t>
      </w:r>
    </w:p>
    <w:p w14:paraId="6E47599B" w14:textId="4B7AEF09" w:rsidR="00E910D7" w:rsidRPr="00E910D7" w:rsidRDefault="00E910D7" w:rsidP="00B65924">
      <w:pPr>
        <w:pStyle w:val="DoubleSpaceParagaph"/>
        <w:suppressLineNumbers/>
        <w:spacing w:line="276" w:lineRule="auto"/>
        <w:ind w:firstLine="0"/>
        <w:jc w:val="left"/>
        <w:rPr>
          <w:vanish/>
        </w:rPr>
      </w:pPr>
      <w:r w:rsidRPr="00E910D7">
        <w:rPr>
          <w:vanish/>
        </w:rPr>
        <w:t>..Body</w:t>
      </w:r>
    </w:p>
    <w:p w14:paraId="342CAE32" w14:textId="77777777" w:rsidR="00EE6B4F" w:rsidRDefault="00EE6B4F" w:rsidP="00B65924">
      <w:pPr>
        <w:pStyle w:val="DoubleSpaceParagaph"/>
        <w:suppressLineNumbers/>
        <w:spacing w:line="276" w:lineRule="auto"/>
        <w:ind w:firstLine="0"/>
      </w:pPr>
    </w:p>
    <w:p w14:paraId="456FAD29" w14:textId="5BD92350" w:rsidR="00EE6B4F" w:rsidRDefault="00EE6B4F" w:rsidP="00EE6B4F">
      <w:pPr>
        <w:pStyle w:val="DoubleSpaceParagaph"/>
        <w:suppressLineNumbers/>
        <w:spacing w:line="240" w:lineRule="auto"/>
        <w:ind w:firstLine="0"/>
        <w:rPr>
          <w:u w:val="single"/>
        </w:rPr>
      </w:pPr>
      <w:r w:rsidRPr="00C9446B">
        <w:rPr>
          <w:u w:val="single"/>
        </w:rPr>
        <w:t>Be it enacted by the Council as follows:</w:t>
      </w:r>
    </w:p>
    <w:p w14:paraId="286859E5" w14:textId="77777777" w:rsidR="00EE6B4F" w:rsidRPr="00C9446B" w:rsidRDefault="00EE6B4F" w:rsidP="00C9446B">
      <w:pPr>
        <w:pStyle w:val="DoubleSpaceParagaph"/>
        <w:suppressLineNumbers/>
        <w:spacing w:line="240" w:lineRule="auto"/>
        <w:ind w:firstLine="0"/>
        <w:rPr>
          <w:u w:val="single"/>
        </w:rPr>
      </w:pPr>
    </w:p>
    <w:p w14:paraId="148DCE1D" w14:textId="65256894" w:rsidR="00EA226D" w:rsidRPr="00854F9E" w:rsidRDefault="008A73BA" w:rsidP="00C9446B">
      <w:pPr>
        <w:pStyle w:val="DoubleSpaceParagaph"/>
        <w:ind w:firstLine="720"/>
        <w:rPr>
          <w:szCs w:val="24"/>
        </w:rPr>
      </w:pPr>
      <w:r>
        <w:t xml:space="preserve">Section 1. </w:t>
      </w:r>
      <w:r w:rsidR="00EA226D" w:rsidRPr="002514A1">
        <w:rPr>
          <w:szCs w:val="24"/>
        </w:rPr>
        <w:t xml:space="preserve">Temporary program to resolve </w:t>
      </w:r>
      <w:r w:rsidR="00EA226D">
        <w:rPr>
          <w:szCs w:val="24"/>
        </w:rPr>
        <w:t xml:space="preserve">eligible </w:t>
      </w:r>
      <w:r w:rsidR="00EA226D" w:rsidRPr="002514A1">
        <w:rPr>
          <w:szCs w:val="24"/>
        </w:rPr>
        <w:t>judgments.</w:t>
      </w:r>
      <w:r w:rsidR="00EA226D">
        <w:rPr>
          <w:szCs w:val="24"/>
        </w:rPr>
        <w:t xml:space="preserve"> a. </w:t>
      </w:r>
      <w:r w:rsidR="00EA226D" w:rsidRPr="00854F9E">
        <w:rPr>
          <w:szCs w:val="24"/>
        </w:rPr>
        <w:t xml:space="preserve">Definitions. For purposes of this section, the following </w:t>
      </w:r>
      <w:r w:rsidR="00EA226D">
        <w:rPr>
          <w:szCs w:val="24"/>
        </w:rPr>
        <w:t>terms have the following meanings</w:t>
      </w:r>
      <w:r w:rsidR="00EA226D" w:rsidRPr="00854F9E">
        <w:rPr>
          <w:szCs w:val="24"/>
        </w:rPr>
        <w:t>:</w:t>
      </w:r>
    </w:p>
    <w:p w14:paraId="1F28EF5A" w14:textId="036E8752" w:rsidR="00EA226D" w:rsidRPr="002514A1" w:rsidRDefault="00EA226D" w:rsidP="00C9446B">
      <w:pPr>
        <w:spacing w:line="480" w:lineRule="auto"/>
        <w:ind w:firstLine="720"/>
        <w:jc w:val="both"/>
        <w:rPr>
          <w:szCs w:val="24"/>
        </w:rPr>
      </w:pPr>
      <w:r>
        <w:rPr>
          <w:szCs w:val="24"/>
        </w:rPr>
        <w:t xml:space="preserve">Amnesty period. The term </w:t>
      </w:r>
      <w:r w:rsidRPr="002514A1">
        <w:rPr>
          <w:szCs w:val="24"/>
        </w:rPr>
        <w:t>“</w:t>
      </w:r>
      <w:r>
        <w:rPr>
          <w:szCs w:val="24"/>
        </w:rPr>
        <w:t>a</w:t>
      </w:r>
      <w:r w:rsidRPr="002514A1">
        <w:rPr>
          <w:szCs w:val="24"/>
        </w:rPr>
        <w:t xml:space="preserve">mnesty period” means the period of time, as determined by the </w:t>
      </w:r>
      <w:r w:rsidR="00196B7A">
        <w:rPr>
          <w:szCs w:val="24"/>
        </w:rPr>
        <w:t>commissioner</w:t>
      </w:r>
      <w:r w:rsidR="00196B7A" w:rsidRPr="002514A1">
        <w:rPr>
          <w:szCs w:val="24"/>
        </w:rPr>
        <w:t xml:space="preserve"> </w:t>
      </w:r>
      <w:r w:rsidRPr="002514A1">
        <w:rPr>
          <w:szCs w:val="24"/>
        </w:rPr>
        <w:t xml:space="preserve">of finance pursuant to subdivision </w:t>
      </w:r>
      <w:r>
        <w:rPr>
          <w:szCs w:val="24"/>
        </w:rPr>
        <w:t>g</w:t>
      </w:r>
      <w:r w:rsidRPr="002514A1">
        <w:rPr>
          <w:szCs w:val="24"/>
        </w:rPr>
        <w:t xml:space="preserve"> of this section, </w:t>
      </w:r>
      <w:r>
        <w:rPr>
          <w:szCs w:val="24"/>
        </w:rPr>
        <w:t>during which</w:t>
      </w:r>
      <w:r w:rsidRPr="002514A1">
        <w:rPr>
          <w:szCs w:val="24"/>
        </w:rPr>
        <w:t xml:space="preserve"> a payor or respondent may resolve </w:t>
      </w:r>
      <w:r>
        <w:rPr>
          <w:szCs w:val="24"/>
        </w:rPr>
        <w:t>eligible</w:t>
      </w:r>
      <w:r w:rsidRPr="002514A1">
        <w:rPr>
          <w:szCs w:val="24"/>
        </w:rPr>
        <w:t xml:space="preserve"> judgments imposed by the environmental control board pursuant to the temporary program.</w:t>
      </w:r>
    </w:p>
    <w:p w14:paraId="007307BF" w14:textId="178FD9DF" w:rsidR="00EA226D" w:rsidRDefault="00EA226D" w:rsidP="00C9446B">
      <w:pPr>
        <w:spacing w:line="480" w:lineRule="auto"/>
        <w:ind w:firstLine="720"/>
        <w:jc w:val="both"/>
        <w:rPr>
          <w:szCs w:val="24"/>
        </w:rPr>
      </w:pPr>
      <w:r>
        <w:rPr>
          <w:szCs w:val="24"/>
        </w:rPr>
        <w:t xml:space="preserve">Base penalty. The term </w:t>
      </w:r>
      <w:r w:rsidRPr="002514A1">
        <w:rPr>
          <w:szCs w:val="24"/>
        </w:rPr>
        <w:t>“</w:t>
      </w:r>
      <w:r>
        <w:rPr>
          <w:szCs w:val="24"/>
        </w:rPr>
        <w:t>b</w:t>
      </w:r>
      <w:r w:rsidRPr="002514A1">
        <w:rPr>
          <w:szCs w:val="24"/>
        </w:rPr>
        <w:t>ase penalty” means, with respect to any notice of violation returnable to the environmental control board, the penalty that would be imposed upon a timely admission by the respondent or finding of liability after an adjudication, pursuant to the applicable penalty schedule, without regard to reductions of penalty in cases of mitigation or involving stipulations.</w:t>
      </w:r>
    </w:p>
    <w:p w14:paraId="57FCD8C4" w14:textId="77777777" w:rsidR="00EA226D" w:rsidRPr="002514A1" w:rsidRDefault="00EA226D" w:rsidP="00C9446B">
      <w:pPr>
        <w:spacing w:line="480" w:lineRule="auto"/>
        <w:ind w:firstLine="720"/>
        <w:jc w:val="both"/>
        <w:rPr>
          <w:szCs w:val="24"/>
        </w:rPr>
      </w:pPr>
      <w:r>
        <w:rPr>
          <w:szCs w:val="24"/>
        </w:rPr>
        <w:t>City. The term “city” means the city of New York.</w:t>
      </w:r>
    </w:p>
    <w:p w14:paraId="1A14C1C1" w14:textId="39CB6EAF" w:rsidR="00EA226D" w:rsidRPr="002514A1" w:rsidRDefault="00EA226D" w:rsidP="00C9446B">
      <w:pPr>
        <w:spacing w:line="480" w:lineRule="auto"/>
        <w:ind w:firstLine="720"/>
        <w:jc w:val="both"/>
        <w:rPr>
          <w:szCs w:val="24"/>
        </w:rPr>
      </w:pPr>
      <w:r>
        <w:rPr>
          <w:szCs w:val="24"/>
        </w:rPr>
        <w:t xml:space="preserve">Default decision and order. The term </w:t>
      </w:r>
      <w:r w:rsidRPr="002514A1">
        <w:rPr>
          <w:szCs w:val="24"/>
        </w:rPr>
        <w:t>“</w:t>
      </w:r>
      <w:r>
        <w:rPr>
          <w:szCs w:val="24"/>
        </w:rPr>
        <w:t>d</w:t>
      </w:r>
      <w:r w:rsidRPr="002514A1">
        <w:rPr>
          <w:szCs w:val="24"/>
        </w:rPr>
        <w:t xml:space="preserve">efault decision and order” means a decision and order of the environmental control board, pursuant to subparagraph (d) of paragraph </w:t>
      </w:r>
      <w:r>
        <w:rPr>
          <w:szCs w:val="24"/>
        </w:rPr>
        <w:t>1</w:t>
      </w:r>
      <w:r w:rsidRPr="002514A1">
        <w:rPr>
          <w:szCs w:val="24"/>
        </w:rPr>
        <w:t xml:space="preserve"> of subdivision d of section 1049-a of the charter of the city, determining a respondent’s liability for a violation charged based upon that respondent’s failure to plead within the time allowed by the </w:t>
      </w:r>
      <w:r w:rsidRPr="002514A1">
        <w:rPr>
          <w:szCs w:val="24"/>
        </w:rPr>
        <w:lastRenderedPageBreak/>
        <w:t>rules of the environmental control board or failure to appear before the environmental control board on a designated adjudication date or on a subsequent date following an adjournment.</w:t>
      </w:r>
    </w:p>
    <w:p w14:paraId="2959D34B" w14:textId="0BFDA458" w:rsidR="00EA226D" w:rsidRPr="002514A1" w:rsidRDefault="00EA226D" w:rsidP="00C9446B">
      <w:pPr>
        <w:spacing w:line="480" w:lineRule="auto"/>
        <w:ind w:firstLine="720"/>
        <w:jc w:val="both"/>
        <w:rPr>
          <w:szCs w:val="24"/>
        </w:rPr>
      </w:pPr>
      <w:r>
        <w:rPr>
          <w:szCs w:val="24"/>
        </w:rPr>
        <w:t xml:space="preserve">Default penalty. The term </w:t>
      </w:r>
      <w:r w:rsidRPr="002514A1">
        <w:rPr>
          <w:szCs w:val="24"/>
        </w:rPr>
        <w:t>“</w:t>
      </w:r>
      <w:r>
        <w:rPr>
          <w:szCs w:val="24"/>
        </w:rPr>
        <w:t>d</w:t>
      </w:r>
      <w:r w:rsidRPr="002514A1">
        <w:rPr>
          <w:szCs w:val="24"/>
        </w:rPr>
        <w:t xml:space="preserve">efault penalty” means, with respect to any notice of violation returnable to the environmental control board, the penalty imposed by the environmental control board, pursuant to subparagraph (d) of paragraph </w:t>
      </w:r>
      <w:r>
        <w:rPr>
          <w:szCs w:val="24"/>
        </w:rPr>
        <w:t>1</w:t>
      </w:r>
      <w:r w:rsidRPr="002514A1">
        <w:rPr>
          <w:szCs w:val="24"/>
        </w:rPr>
        <w:t xml:space="preserve"> of subdivision d of section 1049-a of the charter of the city, in an amount up to the maximum amount prescribed by law for the violation charged</w:t>
      </w:r>
      <w:r>
        <w:rPr>
          <w:szCs w:val="24"/>
        </w:rPr>
        <w:t xml:space="preserve">, </w:t>
      </w:r>
      <w:r w:rsidRPr="002514A1">
        <w:rPr>
          <w:szCs w:val="24"/>
        </w:rPr>
        <w:t>without regard to reductions of penalty in cases of mitigation or involving stipulations.</w:t>
      </w:r>
    </w:p>
    <w:p w14:paraId="3A856F4E" w14:textId="77777777" w:rsidR="00EA226D" w:rsidRDefault="00EA226D" w:rsidP="00C9446B">
      <w:pPr>
        <w:spacing w:line="480" w:lineRule="auto"/>
        <w:ind w:firstLine="720"/>
        <w:jc w:val="both"/>
        <w:rPr>
          <w:szCs w:val="24"/>
        </w:rPr>
      </w:pPr>
      <w:r>
        <w:rPr>
          <w:szCs w:val="24"/>
        </w:rPr>
        <w:t>Eligible judgment. The term “eligible judgment” means a judgment other than an excluded judgment.</w:t>
      </w:r>
    </w:p>
    <w:p w14:paraId="29E2E337" w14:textId="77777777" w:rsidR="00A65993" w:rsidRDefault="00A65993" w:rsidP="00C9446B">
      <w:pPr>
        <w:spacing w:line="480" w:lineRule="auto"/>
        <w:ind w:firstLine="720"/>
        <w:jc w:val="both"/>
        <w:rPr>
          <w:szCs w:val="24"/>
        </w:rPr>
      </w:pPr>
      <w:r>
        <w:rPr>
          <w:szCs w:val="24"/>
        </w:rPr>
        <w:t xml:space="preserve">Environmental control board. The term </w:t>
      </w:r>
      <w:r w:rsidRPr="002514A1">
        <w:rPr>
          <w:szCs w:val="24"/>
        </w:rPr>
        <w:t>“</w:t>
      </w:r>
      <w:r>
        <w:rPr>
          <w:szCs w:val="24"/>
        </w:rPr>
        <w:t>e</w:t>
      </w:r>
      <w:r w:rsidRPr="002514A1">
        <w:rPr>
          <w:szCs w:val="24"/>
        </w:rPr>
        <w:t>nvironmental control board” means a division of the office of administrative trials and hearings and its tribunal, as described in section 1049-a of the charter of the city.</w:t>
      </w:r>
    </w:p>
    <w:p w14:paraId="2C0BCFFD" w14:textId="77777777" w:rsidR="00EA226D" w:rsidRDefault="00EA226D" w:rsidP="00C9446B">
      <w:pPr>
        <w:spacing w:line="480" w:lineRule="auto"/>
        <w:ind w:firstLine="720"/>
        <w:jc w:val="both"/>
        <w:rPr>
          <w:szCs w:val="24"/>
        </w:rPr>
      </w:pPr>
      <w:r>
        <w:rPr>
          <w:szCs w:val="24"/>
        </w:rPr>
        <w:t>Excluded judgment. The term “excluded judgment” means any judgment:</w:t>
      </w:r>
    </w:p>
    <w:p w14:paraId="5C36EFC8" w14:textId="2321A95C" w:rsidR="00EA226D" w:rsidRDefault="00EA226D" w:rsidP="00C9446B">
      <w:pPr>
        <w:spacing w:line="480" w:lineRule="auto"/>
        <w:ind w:firstLine="720"/>
        <w:jc w:val="both"/>
        <w:rPr>
          <w:szCs w:val="24"/>
        </w:rPr>
      </w:pPr>
      <w:r>
        <w:rPr>
          <w:szCs w:val="24"/>
        </w:rPr>
        <w:t xml:space="preserve">(1) </w:t>
      </w:r>
      <w:r w:rsidRPr="002514A1">
        <w:rPr>
          <w:szCs w:val="24"/>
        </w:rPr>
        <w:t xml:space="preserve">subject </w:t>
      </w:r>
      <w:r>
        <w:rPr>
          <w:szCs w:val="24"/>
        </w:rPr>
        <w:t>to</w:t>
      </w:r>
      <w:r w:rsidRPr="002514A1">
        <w:rPr>
          <w:szCs w:val="24"/>
        </w:rPr>
        <w:t xml:space="preserve"> a</w:t>
      </w:r>
      <w:r>
        <w:rPr>
          <w:szCs w:val="24"/>
        </w:rPr>
        <w:t xml:space="preserve"> payment</w:t>
      </w:r>
      <w:r w:rsidRPr="002514A1">
        <w:rPr>
          <w:szCs w:val="24"/>
        </w:rPr>
        <w:t xml:space="preserve"> agreement with</w:t>
      </w:r>
      <w:r>
        <w:rPr>
          <w:szCs w:val="24"/>
        </w:rPr>
        <w:t xml:space="preserve"> a city </w:t>
      </w:r>
      <w:r w:rsidRPr="002514A1">
        <w:rPr>
          <w:szCs w:val="24"/>
        </w:rPr>
        <w:t>marshal</w:t>
      </w:r>
      <w:r w:rsidR="00D15319">
        <w:rPr>
          <w:szCs w:val="24"/>
        </w:rPr>
        <w:t>,</w:t>
      </w:r>
      <w:r w:rsidRPr="002514A1">
        <w:rPr>
          <w:szCs w:val="24"/>
        </w:rPr>
        <w:t xml:space="preserve"> </w:t>
      </w:r>
      <w:r>
        <w:rPr>
          <w:szCs w:val="24"/>
        </w:rPr>
        <w:t xml:space="preserve">the </w:t>
      </w:r>
      <w:r w:rsidRPr="002514A1">
        <w:rPr>
          <w:szCs w:val="24"/>
        </w:rPr>
        <w:t>sheriff</w:t>
      </w:r>
      <w:r w:rsidR="00D15319">
        <w:rPr>
          <w:szCs w:val="24"/>
        </w:rPr>
        <w:t>, the corporation counsel, or a contractor of the corporation counsel</w:t>
      </w:r>
      <w:r>
        <w:rPr>
          <w:szCs w:val="24"/>
        </w:rPr>
        <w:t>;</w:t>
      </w:r>
    </w:p>
    <w:p w14:paraId="4299A173" w14:textId="72020676" w:rsidR="00EA226D" w:rsidRDefault="00EA226D" w:rsidP="00C9446B">
      <w:pPr>
        <w:spacing w:line="480" w:lineRule="auto"/>
        <w:ind w:firstLine="720"/>
        <w:jc w:val="both"/>
        <w:rPr>
          <w:szCs w:val="24"/>
        </w:rPr>
      </w:pPr>
      <w:r>
        <w:rPr>
          <w:szCs w:val="24"/>
        </w:rPr>
        <w:t xml:space="preserve">(2) for a violation </w:t>
      </w:r>
      <w:r w:rsidR="001E091C">
        <w:rPr>
          <w:szCs w:val="24"/>
        </w:rPr>
        <w:t xml:space="preserve">that is the subject of a </w:t>
      </w:r>
      <w:r w:rsidR="006A6230" w:rsidRPr="006A6230">
        <w:rPr>
          <w:szCs w:val="24"/>
        </w:rPr>
        <w:t>complaint served pursuant to section 24-182 or 24-261</w:t>
      </w:r>
      <w:r>
        <w:rPr>
          <w:szCs w:val="24"/>
        </w:rPr>
        <w:t xml:space="preserve"> of the administrative code </w:t>
      </w:r>
      <w:r w:rsidR="00A4748F">
        <w:rPr>
          <w:szCs w:val="24"/>
        </w:rPr>
        <w:t>of the city</w:t>
      </w:r>
      <w:r>
        <w:rPr>
          <w:szCs w:val="24"/>
        </w:rPr>
        <w:t>;</w:t>
      </w:r>
    </w:p>
    <w:p w14:paraId="1AD391CB" w14:textId="77777777" w:rsidR="00EA226D" w:rsidRDefault="00EA226D" w:rsidP="00C9446B">
      <w:pPr>
        <w:spacing w:line="480" w:lineRule="auto"/>
        <w:ind w:firstLine="720"/>
        <w:jc w:val="both"/>
        <w:rPr>
          <w:szCs w:val="24"/>
        </w:rPr>
      </w:pPr>
      <w:r>
        <w:rPr>
          <w:szCs w:val="24"/>
        </w:rPr>
        <w:t>(3) for which an execution has been issued for enforcement pursuant to chapter 52 of the civil practice law and rules and the period of such execution has not expired;</w:t>
      </w:r>
    </w:p>
    <w:p w14:paraId="418CEA7E" w14:textId="3158E412" w:rsidR="00EA226D" w:rsidRDefault="00EA226D" w:rsidP="00C9446B">
      <w:pPr>
        <w:spacing w:line="480" w:lineRule="auto"/>
        <w:ind w:firstLine="720"/>
        <w:jc w:val="both"/>
        <w:rPr>
          <w:szCs w:val="24"/>
        </w:rPr>
      </w:pPr>
      <w:r>
        <w:rPr>
          <w:szCs w:val="24"/>
        </w:rPr>
        <w:t xml:space="preserve">(4) for a </w:t>
      </w:r>
      <w:r w:rsidRPr="002514A1">
        <w:rPr>
          <w:szCs w:val="24"/>
        </w:rPr>
        <w:t>violation that is the subject of a criminal investigation</w:t>
      </w:r>
      <w:r>
        <w:rPr>
          <w:szCs w:val="24"/>
        </w:rPr>
        <w:t xml:space="preserve"> for which the department of finance has been notified in accordance with a procedure determined by such department; </w:t>
      </w:r>
      <w:r w:rsidR="004879FB">
        <w:rPr>
          <w:szCs w:val="24"/>
        </w:rPr>
        <w:t>or</w:t>
      </w:r>
    </w:p>
    <w:p w14:paraId="560CC421" w14:textId="687C78A3" w:rsidR="00EA226D" w:rsidRDefault="00EA226D" w:rsidP="00C9446B">
      <w:pPr>
        <w:spacing w:line="480" w:lineRule="auto"/>
        <w:ind w:firstLine="720"/>
        <w:jc w:val="both"/>
        <w:rPr>
          <w:szCs w:val="24"/>
        </w:rPr>
      </w:pPr>
      <w:r>
        <w:rPr>
          <w:szCs w:val="24"/>
        </w:rPr>
        <w:t xml:space="preserve">(5) </w:t>
      </w:r>
      <w:r w:rsidRPr="0005287D">
        <w:rPr>
          <w:szCs w:val="24"/>
        </w:rPr>
        <w:t xml:space="preserve">that has been entered as a tax lien in accordance with section 28-204.6 of </w:t>
      </w:r>
      <w:r>
        <w:rPr>
          <w:szCs w:val="24"/>
        </w:rPr>
        <w:t>such code</w:t>
      </w:r>
      <w:r w:rsidR="004879FB">
        <w:rPr>
          <w:szCs w:val="24"/>
        </w:rPr>
        <w:t>.</w:t>
      </w:r>
    </w:p>
    <w:p w14:paraId="50E352A1" w14:textId="65EE84E4" w:rsidR="00EA226D" w:rsidRPr="002514A1" w:rsidRDefault="00EA226D" w:rsidP="00C9446B">
      <w:pPr>
        <w:spacing w:line="480" w:lineRule="auto"/>
        <w:ind w:firstLine="720"/>
        <w:jc w:val="both"/>
        <w:rPr>
          <w:szCs w:val="24"/>
        </w:rPr>
      </w:pPr>
      <w:r>
        <w:rPr>
          <w:szCs w:val="24"/>
        </w:rPr>
        <w:lastRenderedPageBreak/>
        <w:t>Imposed penalty. The term</w:t>
      </w:r>
      <w:r w:rsidRPr="002514A1" w:rsidDel="00E511FD">
        <w:rPr>
          <w:i/>
          <w:szCs w:val="24"/>
        </w:rPr>
        <w:t xml:space="preserve"> </w:t>
      </w:r>
      <w:r w:rsidRPr="002514A1">
        <w:rPr>
          <w:szCs w:val="24"/>
        </w:rPr>
        <w:t>“</w:t>
      </w:r>
      <w:r>
        <w:rPr>
          <w:szCs w:val="24"/>
        </w:rPr>
        <w:t>i</w:t>
      </w:r>
      <w:r w:rsidRPr="002514A1">
        <w:rPr>
          <w:szCs w:val="24"/>
        </w:rPr>
        <w:t xml:space="preserve">mposed penalty” means, with respect to any notice of violation returnable to the environmental control board, the penalty imposed by the environmental control board after an adjudication, pursuant to subparagraph (a) of paragraph </w:t>
      </w:r>
      <w:r>
        <w:rPr>
          <w:szCs w:val="24"/>
        </w:rPr>
        <w:t>1</w:t>
      </w:r>
      <w:r w:rsidRPr="002514A1">
        <w:rPr>
          <w:szCs w:val="24"/>
        </w:rPr>
        <w:t xml:space="preserve"> of subdivision d of section 1049-a of the charter of the city</w:t>
      </w:r>
      <w:r w:rsidR="009A02F6">
        <w:rPr>
          <w:szCs w:val="24"/>
        </w:rPr>
        <w:t xml:space="preserve">, </w:t>
      </w:r>
      <w:r w:rsidR="009A02F6" w:rsidRPr="002514A1">
        <w:rPr>
          <w:szCs w:val="24"/>
        </w:rPr>
        <w:t>without regard to reductions of penalty in cases of mitigation or involving stipulations</w:t>
      </w:r>
      <w:r w:rsidRPr="002514A1">
        <w:rPr>
          <w:szCs w:val="24"/>
        </w:rPr>
        <w:t>.</w:t>
      </w:r>
    </w:p>
    <w:p w14:paraId="3BE5D94F" w14:textId="3773CFF1" w:rsidR="00EA226D" w:rsidRPr="002514A1" w:rsidRDefault="00EA226D" w:rsidP="00C9446B">
      <w:pPr>
        <w:spacing w:line="480" w:lineRule="auto"/>
        <w:ind w:firstLine="720"/>
        <w:jc w:val="both"/>
        <w:rPr>
          <w:szCs w:val="24"/>
        </w:rPr>
      </w:pPr>
      <w:r>
        <w:rPr>
          <w:szCs w:val="24"/>
        </w:rPr>
        <w:t xml:space="preserve">Judgment. The term </w:t>
      </w:r>
      <w:r w:rsidRPr="002514A1">
        <w:rPr>
          <w:szCs w:val="24"/>
        </w:rPr>
        <w:t>“</w:t>
      </w:r>
      <w:r>
        <w:rPr>
          <w:szCs w:val="24"/>
        </w:rPr>
        <w:t>j</w:t>
      </w:r>
      <w:r w:rsidRPr="002514A1">
        <w:rPr>
          <w:szCs w:val="24"/>
        </w:rPr>
        <w:t>udgment” means monies owed to the city as a result of a final order of the environmental control board imposing a civil penalty,</w:t>
      </w:r>
      <w:r>
        <w:rPr>
          <w:szCs w:val="24"/>
        </w:rPr>
        <w:t xml:space="preserve"> </w:t>
      </w:r>
      <w:r w:rsidRPr="002514A1">
        <w:rPr>
          <w:szCs w:val="24"/>
        </w:rPr>
        <w:t xml:space="preserve">either as a result of a default decision and order or after a hearing and finding of violation, that was entered in the civil court of the city or any other place provided for the entry of civil judgments within the state, pursuant to subparagraph (g) of paragraph </w:t>
      </w:r>
      <w:r>
        <w:rPr>
          <w:szCs w:val="24"/>
        </w:rPr>
        <w:t>1</w:t>
      </w:r>
      <w:r w:rsidRPr="002514A1">
        <w:rPr>
          <w:szCs w:val="24"/>
        </w:rPr>
        <w:t xml:space="preserve"> of subdivision d of section 1049-a of the charter of the city, no later than </w:t>
      </w:r>
      <w:r>
        <w:rPr>
          <w:szCs w:val="24"/>
        </w:rPr>
        <w:t>90</w:t>
      </w:r>
      <w:r w:rsidRPr="002514A1">
        <w:rPr>
          <w:szCs w:val="24"/>
        </w:rPr>
        <w:t xml:space="preserve"> days prior to the first day of </w:t>
      </w:r>
      <w:r>
        <w:rPr>
          <w:szCs w:val="24"/>
        </w:rPr>
        <w:t xml:space="preserve">the </w:t>
      </w:r>
      <w:r w:rsidRPr="002514A1">
        <w:rPr>
          <w:szCs w:val="24"/>
        </w:rPr>
        <w:t xml:space="preserve">amnesty period and determining a respondent’s liability for a violation charged in accordance with the </w:t>
      </w:r>
      <w:r>
        <w:rPr>
          <w:szCs w:val="24"/>
        </w:rPr>
        <w:t>applicable</w:t>
      </w:r>
      <w:r w:rsidRPr="002514A1">
        <w:rPr>
          <w:szCs w:val="24"/>
        </w:rPr>
        <w:t xml:space="preserve"> penalty schedule. </w:t>
      </w:r>
    </w:p>
    <w:p w14:paraId="7BCE77F9" w14:textId="4505405E" w:rsidR="00EA226D" w:rsidRPr="002514A1" w:rsidRDefault="00EA226D" w:rsidP="00C9446B">
      <w:pPr>
        <w:spacing w:line="480" w:lineRule="auto"/>
        <w:ind w:firstLine="720"/>
        <w:jc w:val="both"/>
        <w:rPr>
          <w:szCs w:val="24"/>
        </w:rPr>
      </w:pPr>
      <w:r>
        <w:rPr>
          <w:szCs w:val="24"/>
        </w:rPr>
        <w:t xml:space="preserve">Payor. The term </w:t>
      </w:r>
      <w:r w:rsidRPr="002514A1">
        <w:rPr>
          <w:szCs w:val="24"/>
        </w:rPr>
        <w:t>“</w:t>
      </w:r>
      <w:r>
        <w:rPr>
          <w:szCs w:val="24"/>
        </w:rPr>
        <w:t>p</w:t>
      </w:r>
      <w:r w:rsidRPr="002514A1">
        <w:rPr>
          <w:szCs w:val="24"/>
        </w:rPr>
        <w:t xml:space="preserve">ayor” means a person or entity who </w:t>
      </w:r>
      <w:r w:rsidR="006A6230">
        <w:rPr>
          <w:szCs w:val="24"/>
        </w:rPr>
        <w:t>makes or intends to make</w:t>
      </w:r>
      <w:r w:rsidRPr="002514A1">
        <w:rPr>
          <w:szCs w:val="24"/>
        </w:rPr>
        <w:t xml:space="preserve"> the payment for a</w:t>
      </w:r>
      <w:r w:rsidR="001E091C">
        <w:rPr>
          <w:szCs w:val="24"/>
        </w:rPr>
        <w:t>n</w:t>
      </w:r>
      <w:r w:rsidRPr="002514A1">
        <w:rPr>
          <w:szCs w:val="24"/>
        </w:rPr>
        <w:t xml:space="preserve"> </w:t>
      </w:r>
      <w:r>
        <w:rPr>
          <w:szCs w:val="24"/>
        </w:rPr>
        <w:t xml:space="preserve">eligible </w:t>
      </w:r>
      <w:r w:rsidRPr="002514A1">
        <w:rPr>
          <w:szCs w:val="24"/>
        </w:rPr>
        <w:t>judgment</w:t>
      </w:r>
      <w:r w:rsidR="00CA6C6E">
        <w:rPr>
          <w:szCs w:val="24"/>
        </w:rPr>
        <w:t>,</w:t>
      </w:r>
      <w:r w:rsidR="006A6230">
        <w:rPr>
          <w:szCs w:val="24"/>
        </w:rPr>
        <w:t xml:space="preserve"> other than a respondent subject to such eligible judgment</w:t>
      </w:r>
      <w:r w:rsidRPr="002514A1">
        <w:rPr>
          <w:szCs w:val="24"/>
        </w:rPr>
        <w:t xml:space="preserve">. </w:t>
      </w:r>
    </w:p>
    <w:p w14:paraId="3ADD8837" w14:textId="77777777" w:rsidR="00EA226D" w:rsidRDefault="00EA226D" w:rsidP="00C9446B">
      <w:pPr>
        <w:spacing w:line="480" w:lineRule="auto"/>
        <w:ind w:firstLine="720"/>
        <w:jc w:val="both"/>
        <w:rPr>
          <w:szCs w:val="24"/>
        </w:rPr>
      </w:pPr>
      <w:r>
        <w:rPr>
          <w:szCs w:val="24"/>
        </w:rPr>
        <w:t xml:space="preserve">Penalty schedule. The term </w:t>
      </w:r>
      <w:r w:rsidRPr="002514A1">
        <w:rPr>
          <w:i/>
          <w:szCs w:val="24"/>
        </w:rPr>
        <w:t>“</w:t>
      </w:r>
      <w:r>
        <w:rPr>
          <w:szCs w:val="24"/>
        </w:rPr>
        <w:t>p</w:t>
      </w:r>
      <w:r w:rsidRPr="002514A1">
        <w:rPr>
          <w:szCs w:val="24"/>
        </w:rPr>
        <w:t xml:space="preserve">enalty schedule” means the schedule of penalties for particular violations of state or local law, or any rule or regulation promulgated thereunder, adopted as a rule by the environmental control board or by any </w:t>
      </w:r>
      <w:r>
        <w:rPr>
          <w:szCs w:val="24"/>
        </w:rPr>
        <w:t xml:space="preserve">city </w:t>
      </w:r>
      <w:r w:rsidRPr="002514A1">
        <w:rPr>
          <w:szCs w:val="24"/>
        </w:rPr>
        <w:t>agency for violations adjudicated by the environmental control board pursuant to section 1049-a of the charter of the city, and published in the rules of the city, or any such predecessor schedule as may have applied on the date of the violation.</w:t>
      </w:r>
    </w:p>
    <w:p w14:paraId="5FBF6A17" w14:textId="4085C9F9" w:rsidR="00EA226D" w:rsidRPr="002514A1" w:rsidRDefault="00EA226D" w:rsidP="00C9446B">
      <w:pPr>
        <w:spacing w:line="480" w:lineRule="auto"/>
        <w:ind w:firstLine="720"/>
        <w:jc w:val="both"/>
        <w:rPr>
          <w:szCs w:val="24"/>
        </w:rPr>
      </w:pPr>
      <w:r>
        <w:rPr>
          <w:szCs w:val="24"/>
        </w:rPr>
        <w:t xml:space="preserve">Resolve. The term </w:t>
      </w:r>
      <w:r w:rsidRPr="002514A1">
        <w:rPr>
          <w:szCs w:val="24"/>
        </w:rPr>
        <w:t>“</w:t>
      </w:r>
      <w:r>
        <w:rPr>
          <w:szCs w:val="24"/>
        </w:rPr>
        <w:t>r</w:t>
      </w:r>
      <w:r w:rsidRPr="002514A1">
        <w:rPr>
          <w:szCs w:val="24"/>
        </w:rPr>
        <w:t>esolve” means, with respect to a judgment, to conclude all legal proceedings in connection with a notice of violation.</w:t>
      </w:r>
    </w:p>
    <w:p w14:paraId="4D55D277" w14:textId="72A6B1AE" w:rsidR="00EA226D" w:rsidRDefault="00EA226D" w:rsidP="00C9446B">
      <w:pPr>
        <w:spacing w:line="480" w:lineRule="auto"/>
        <w:ind w:firstLine="720"/>
        <w:jc w:val="both"/>
        <w:rPr>
          <w:szCs w:val="24"/>
        </w:rPr>
      </w:pPr>
      <w:r>
        <w:rPr>
          <w:szCs w:val="24"/>
        </w:rPr>
        <w:lastRenderedPageBreak/>
        <w:t xml:space="preserve">Respondent. The term </w:t>
      </w:r>
      <w:r w:rsidRPr="002514A1">
        <w:rPr>
          <w:szCs w:val="24"/>
        </w:rPr>
        <w:t>“</w:t>
      </w:r>
      <w:r>
        <w:rPr>
          <w:szCs w:val="24"/>
        </w:rPr>
        <w:t>r</w:t>
      </w:r>
      <w:r w:rsidRPr="002514A1">
        <w:rPr>
          <w:szCs w:val="24"/>
        </w:rPr>
        <w:t>espondent” means a person or entity named as the subject of a notice of violation returnable to, or a</w:t>
      </w:r>
      <w:r>
        <w:rPr>
          <w:szCs w:val="24"/>
        </w:rPr>
        <w:t>n</w:t>
      </w:r>
      <w:r w:rsidRPr="002514A1">
        <w:rPr>
          <w:szCs w:val="24"/>
        </w:rPr>
        <w:t xml:space="preserve"> </w:t>
      </w:r>
      <w:r>
        <w:rPr>
          <w:szCs w:val="24"/>
        </w:rPr>
        <w:t xml:space="preserve">eligible </w:t>
      </w:r>
      <w:r w:rsidRPr="002514A1">
        <w:rPr>
          <w:szCs w:val="24"/>
        </w:rPr>
        <w:t>judgment issued by, the environmental control board.</w:t>
      </w:r>
    </w:p>
    <w:p w14:paraId="7077FE76" w14:textId="77777777" w:rsidR="00EA226D" w:rsidRPr="002514A1" w:rsidRDefault="00EA226D" w:rsidP="00C9446B">
      <w:pPr>
        <w:spacing w:line="480" w:lineRule="auto"/>
        <w:ind w:firstLine="720"/>
        <w:jc w:val="both"/>
        <w:rPr>
          <w:szCs w:val="24"/>
        </w:rPr>
      </w:pPr>
      <w:r>
        <w:rPr>
          <w:szCs w:val="24"/>
        </w:rPr>
        <w:t>State. The term “state” means the state of New York.</w:t>
      </w:r>
    </w:p>
    <w:p w14:paraId="4669EFE6" w14:textId="1CFC3287" w:rsidR="00EA226D" w:rsidRPr="002514A1" w:rsidRDefault="00EA226D" w:rsidP="00C9446B">
      <w:pPr>
        <w:spacing w:line="480" w:lineRule="auto"/>
        <w:ind w:firstLine="720"/>
        <w:jc w:val="both"/>
        <w:rPr>
          <w:szCs w:val="24"/>
        </w:rPr>
      </w:pPr>
      <w:r>
        <w:rPr>
          <w:szCs w:val="24"/>
        </w:rPr>
        <w:t xml:space="preserve">Temporary program. The term </w:t>
      </w:r>
      <w:r w:rsidRPr="002514A1">
        <w:rPr>
          <w:szCs w:val="24"/>
        </w:rPr>
        <w:t>“</w:t>
      </w:r>
      <w:r>
        <w:rPr>
          <w:szCs w:val="24"/>
        </w:rPr>
        <w:t>t</w:t>
      </w:r>
      <w:r w:rsidRPr="002514A1">
        <w:rPr>
          <w:szCs w:val="24"/>
        </w:rPr>
        <w:t xml:space="preserve">emporary program” means the temporary program to resolve </w:t>
      </w:r>
      <w:r>
        <w:rPr>
          <w:szCs w:val="24"/>
        </w:rPr>
        <w:t xml:space="preserve">eligible </w:t>
      </w:r>
      <w:r w:rsidRPr="002514A1">
        <w:rPr>
          <w:szCs w:val="24"/>
        </w:rPr>
        <w:t>judgments established pursuant to this local law.</w:t>
      </w:r>
    </w:p>
    <w:p w14:paraId="69252E48" w14:textId="0DE01741" w:rsidR="00EA226D" w:rsidRPr="002514A1" w:rsidRDefault="00EA226D" w:rsidP="00C9446B">
      <w:pPr>
        <w:spacing w:line="480" w:lineRule="auto"/>
        <w:ind w:firstLine="720"/>
        <w:jc w:val="both"/>
        <w:rPr>
          <w:szCs w:val="24"/>
        </w:rPr>
      </w:pPr>
      <w:r w:rsidRPr="002514A1">
        <w:rPr>
          <w:szCs w:val="24"/>
        </w:rPr>
        <w:t xml:space="preserve">b. Temporary program to resolve </w:t>
      </w:r>
      <w:r>
        <w:rPr>
          <w:szCs w:val="24"/>
        </w:rPr>
        <w:t xml:space="preserve">eligible </w:t>
      </w:r>
      <w:r w:rsidRPr="002514A1">
        <w:rPr>
          <w:szCs w:val="24"/>
        </w:rPr>
        <w:t>judgments. 1. Subject to an appropriate concurring resolution of the environmental control board described in subdivision a of section 1049-a of the charter of the city, and notwithstanding any other provision of law to the contrary, the commissioner of finance shall establish a temporary program that permits respondents</w:t>
      </w:r>
      <w:r>
        <w:rPr>
          <w:szCs w:val="24"/>
        </w:rPr>
        <w:t xml:space="preserve"> and payors who submit an application to such commissioner in a manner and form to be determined by such commissioner </w:t>
      </w:r>
      <w:r w:rsidR="006A6230">
        <w:rPr>
          <w:szCs w:val="24"/>
        </w:rPr>
        <w:t>to</w:t>
      </w:r>
      <w:r w:rsidR="00F905E6">
        <w:rPr>
          <w:szCs w:val="24"/>
        </w:rPr>
        <w:t xml:space="preserve"> resolve</w:t>
      </w:r>
      <w:r w:rsidRPr="002514A1">
        <w:rPr>
          <w:szCs w:val="24"/>
        </w:rPr>
        <w:t xml:space="preserve">: </w:t>
      </w:r>
    </w:p>
    <w:p w14:paraId="526D774B" w14:textId="7E9F7582" w:rsidR="00EA226D" w:rsidRPr="002514A1" w:rsidRDefault="00EA226D" w:rsidP="00C9446B">
      <w:pPr>
        <w:spacing w:line="480" w:lineRule="auto"/>
        <w:ind w:firstLine="720"/>
        <w:jc w:val="both"/>
        <w:rPr>
          <w:szCs w:val="24"/>
        </w:rPr>
      </w:pPr>
      <w:r w:rsidRPr="002514A1">
        <w:rPr>
          <w:szCs w:val="24"/>
        </w:rPr>
        <w:t>(</w:t>
      </w:r>
      <w:r>
        <w:rPr>
          <w:szCs w:val="24"/>
        </w:rPr>
        <w:t>a</w:t>
      </w:r>
      <w:r w:rsidRPr="002514A1">
        <w:rPr>
          <w:szCs w:val="24"/>
        </w:rPr>
        <w:t xml:space="preserve">) </w:t>
      </w:r>
      <w:r>
        <w:rPr>
          <w:szCs w:val="24"/>
        </w:rPr>
        <w:t xml:space="preserve">eligible </w:t>
      </w:r>
      <w:r w:rsidRPr="002514A1">
        <w:rPr>
          <w:szCs w:val="24"/>
        </w:rPr>
        <w:t xml:space="preserve">judgments resulting from a default decision and order by payment of base penalties without payment of default penalties and accrued interest; </w:t>
      </w:r>
      <w:r>
        <w:rPr>
          <w:szCs w:val="24"/>
        </w:rPr>
        <w:t>and</w:t>
      </w:r>
    </w:p>
    <w:p w14:paraId="4C864ABE" w14:textId="479CA0BA" w:rsidR="00EA226D" w:rsidRDefault="00EA226D" w:rsidP="00C9446B">
      <w:pPr>
        <w:spacing w:line="480" w:lineRule="auto"/>
        <w:ind w:firstLine="720"/>
        <w:jc w:val="both"/>
        <w:rPr>
          <w:szCs w:val="24"/>
        </w:rPr>
      </w:pPr>
      <w:r w:rsidRPr="002514A1">
        <w:rPr>
          <w:szCs w:val="24"/>
        </w:rPr>
        <w:t>(</w:t>
      </w:r>
      <w:r>
        <w:rPr>
          <w:szCs w:val="24"/>
        </w:rPr>
        <w:t>b</w:t>
      </w:r>
      <w:r w:rsidRPr="002514A1">
        <w:rPr>
          <w:szCs w:val="24"/>
        </w:rPr>
        <w:t xml:space="preserve">) </w:t>
      </w:r>
      <w:r>
        <w:rPr>
          <w:szCs w:val="24"/>
        </w:rPr>
        <w:t xml:space="preserve">eligible </w:t>
      </w:r>
      <w:r w:rsidRPr="002514A1">
        <w:rPr>
          <w:szCs w:val="24"/>
        </w:rPr>
        <w:t xml:space="preserve">judgments entered after an adjudication and finding of violation by payment of </w:t>
      </w:r>
      <w:r>
        <w:rPr>
          <w:szCs w:val="24"/>
        </w:rPr>
        <w:t>75</w:t>
      </w:r>
      <w:r w:rsidRPr="002514A1">
        <w:rPr>
          <w:szCs w:val="24"/>
        </w:rPr>
        <w:t xml:space="preserve"> percent of the imposed penalties without payment of accrued interest</w:t>
      </w:r>
      <w:r>
        <w:rPr>
          <w:szCs w:val="24"/>
        </w:rPr>
        <w:t>.</w:t>
      </w:r>
    </w:p>
    <w:p w14:paraId="56EE3456" w14:textId="3441AD4F" w:rsidR="00EA226D" w:rsidRPr="002514A1" w:rsidRDefault="00EA226D" w:rsidP="00C9446B">
      <w:pPr>
        <w:spacing w:line="480" w:lineRule="auto"/>
        <w:ind w:firstLine="720"/>
        <w:jc w:val="both"/>
        <w:rPr>
          <w:szCs w:val="24"/>
        </w:rPr>
      </w:pPr>
      <w:r w:rsidRPr="002514A1">
        <w:rPr>
          <w:szCs w:val="24"/>
        </w:rPr>
        <w:t xml:space="preserve">2. </w:t>
      </w:r>
      <w:r w:rsidR="006A6230">
        <w:rPr>
          <w:szCs w:val="24"/>
        </w:rPr>
        <w:t>E</w:t>
      </w:r>
      <w:r>
        <w:rPr>
          <w:szCs w:val="24"/>
        </w:rPr>
        <w:t xml:space="preserve">ligible </w:t>
      </w:r>
      <w:r w:rsidRPr="002514A1">
        <w:rPr>
          <w:szCs w:val="24"/>
        </w:rPr>
        <w:t>judgments described in</w:t>
      </w:r>
      <w:r w:rsidR="00F905E6">
        <w:rPr>
          <w:szCs w:val="24"/>
        </w:rPr>
        <w:t xml:space="preserve"> subparagraphs (a) and (b) of</w:t>
      </w:r>
      <w:r w:rsidRPr="002514A1">
        <w:rPr>
          <w:szCs w:val="24"/>
        </w:rPr>
        <w:t xml:space="preserve"> paragraph 1 of this subdivision may be resolved under the temporary program except as otherwise specified by subdivisions c and d of this section.</w:t>
      </w:r>
    </w:p>
    <w:p w14:paraId="0B5AB4DE" w14:textId="42096239" w:rsidR="00EA226D" w:rsidRPr="002514A1" w:rsidRDefault="00EA226D" w:rsidP="00C9446B">
      <w:pPr>
        <w:spacing w:line="480" w:lineRule="auto"/>
        <w:ind w:firstLine="720"/>
        <w:jc w:val="both"/>
        <w:rPr>
          <w:szCs w:val="24"/>
        </w:rPr>
      </w:pPr>
      <w:r w:rsidRPr="002514A1">
        <w:rPr>
          <w:szCs w:val="24"/>
        </w:rPr>
        <w:t xml:space="preserve">c. </w:t>
      </w:r>
      <w:r w:rsidR="006A6230">
        <w:rPr>
          <w:szCs w:val="24"/>
        </w:rPr>
        <w:t>Requirements for the resolution of certain e</w:t>
      </w:r>
      <w:r>
        <w:rPr>
          <w:szCs w:val="24"/>
        </w:rPr>
        <w:t>ligible j</w:t>
      </w:r>
      <w:r w:rsidRPr="002514A1">
        <w:rPr>
          <w:szCs w:val="24"/>
        </w:rPr>
        <w:t>udgments</w:t>
      </w:r>
      <w:r w:rsidR="004879FB">
        <w:rPr>
          <w:szCs w:val="24"/>
        </w:rPr>
        <w:t xml:space="preserve"> </w:t>
      </w:r>
      <w:r w:rsidRPr="002514A1">
        <w:rPr>
          <w:szCs w:val="24"/>
        </w:rPr>
        <w:t>under the temporary program. 1. A</w:t>
      </w:r>
      <w:r>
        <w:rPr>
          <w:szCs w:val="24"/>
        </w:rPr>
        <w:t>n eligible</w:t>
      </w:r>
      <w:r w:rsidRPr="002514A1">
        <w:rPr>
          <w:szCs w:val="24"/>
        </w:rPr>
        <w:t xml:space="preserve"> judgment resulting from a default decision and order </w:t>
      </w:r>
      <w:r w:rsidR="00554630">
        <w:rPr>
          <w:szCs w:val="24"/>
        </w:rPr>
        <w:t>shall</w:t>
      </w:r>
      <w:r w:rsidR="00554630" w:rsidRPr="002514A1">
        <w:rPr>
          <w:szCs w:val="24"/>
        </w:rPr>
        <w:t xml:space="preserve"> </w:t>
      </w:r>
      <w:r w:rsidRPr="002514A1">
        <w:rPr>
          <w:szCs w:val="24"/>
        </w:rPr>
        <w:t xml:space="preserve">not be resolved under the temporary program unless the base penalty of the violation that is the subject of the </w:t>
      </w:r>
      <w:r w:rsidRPr="002514A1">
        <w:rPr>
          <w:szCs w:val="24"/>
        </w:rPr>
        <w:lastRenderedPageBreak/>
        <w:t xml:space="preserve">default decision and order can be determined </w:t>
      </w:r>
      <w:r w:rsidR="006A6230">
        <w:rPr>
          <w:szCs w:val="24"/>
        </w:rPr>
        <w:t>by reviewing</w:t>
      </w:r>
      <w:r w:rsidRPr="002514A1">
        <w:rPr>
          <w:szCs w:val="24"/>
        </w:rPr>
        <w:t xml:space="preserve"> the </w:t>
      </w:r>
      <w:r w:rsidR="006A6230">
        <w:rPr>
          <w:szCs w:val="24"/>
        </w:rPr>
        <w:t xml:space="preserve">underlying </w:t>
      </w:r>
      <w:r w:rsidRPr="002514A1">
        <w:rPr>
          <w:szCs w:val="24"/>
        </w:rPr>
        <w:t xml:space="preserve">notice of the violation, default decision and order, </w:t>
      </w:r>
      <w:r>
        <w:rPr>
          <w:szCs w:val="24"/>
        </w:rPr>
        <w:t>or</w:t>
      </w:r>
      <w:r w:rsidRPr="002514A1">
        <w:rPr>
          <w:szCs w:val="24"/>
        </w:rPr>
        <w:t xml:space="preserve"> applicable penalty schedule. </w:t>
      </w:r>
    </w:p>
    <w:p w14:paraId="31D95229" w14:textId="277A7081" w:rsidR="00EA226D" w:rsidRPr="002514A1" w:rsidRDefault="00EA226D" w:rsidP="00C9446B">
      <w:pPr>
        <w:spacing w:line="480" w:lineRule="auto"/>
        <w:ind w:firstLine="720"/>
        <w:jc w:val="both"/>
        <w:rPr>
          <w:szCs w:val="24"/>
        </w:rPr>
      </w:pPr>
      <w:r w:rsidRPr="002514A1">
        <w:rPr>
          <w:szCs w:val="24"/>
        </w:rPr>
        <w:t>2. A</w:t>
      </w:r>
      <w:r>
        <w:rPr>
          <w:szCs w:val="24"/>
        </w:rPr>
        <w:t>n eligible</w:t>
      </w:r>
      <w:r w:rsidRPr="002514A1">
        <w:rPr>
          <w:szCs w:val="24"/>
        </w:rPr>
        <w:t xml:space="preserve"> judgment arising out of a notice of violation that includes an order requiring the correction of the violation </w:t>
      </w:r>
      <w:r w:rsidR="002B0C75">
        <w:rPr>
          <w:szCs w:val="24"/>
        </w:rPr>
        <w:t>shall</w:t>
      </w:r>
      <w:r w:rsidRPr="002514A1">
        <w:rPr>
          <w:szCs w:val="24"/>
        </w:rPr>
        <w:t xml:space="preserve"> </w:t>
      </w:r>
      <w:r w:rsidR="006A6230">
        <w:rPr>
          <w:szCs w:val="24"/>
        </w:rPr>
        <w:t xml:space="preserve">not </w:t>
      </w:r>
      <w:r w:rsidRPr="002514A1">
        <w:rPr>
          <w:szCs w:val="24"/>
        </w:rPr>
        <w:t xml:space="preserve">be resolved under the temporary program </w:t>
      </w:r>
      <w:r w:rsidR="006A6230">
        <w:rPr>
          <w:szCs w:val="24"/>
        </w:rPr>
        <w:t>unless</w:t>
      </w:r>
      <w:r w:rsidRPr="002514A1">
        <w:rPr>
          <w:szCs w:val="24"/>
        </w:rPr>
        <w:t xml:space="preserve"> the </w:t>
      </w:r>
      <w:r>
        <w:rPr>
          <w:szCs w:val="24"/>
        </w:rPr>
        <w:t xml:space="preserve">application for resolution submitted pursuant to this local law includes </w:t>
      </w:r>
      <w:r w:rsidRPr="002514A1">
        <w:rPr>
          <w:szCs w:val="24"/>
        </w:rPr>
        <w:t xml:space="preserve">a certificate of </w:t>
      </w:r>
      <w:r w:rsidR="006A6230">
        <w:rPr>
          <w:szCs w:val="24"/>
        </w:rPr>
        <w:t>correction</w:t>
      </w:r>
      <w:r w:rsidRPr="002514A1">
        <w:rPr>
          <w:szCs w:val="24"/>
        </w:rPr>
        <w:t xml:space="preserve"> </w:t>
      </w:r>
      <w:r w:rsidR="006A6230">
        <w:rPr>
          <w:szCs w:val="24"/>
        </w:rPr>
        <w:t>from</w:t>
      </w:r>
      <w:r>
        <w:rPr>
          <w:szCs w:val="24"/>
        </w:rPr>
        <w:t xml:space="preserve"> the </w:t>
      </w:r>
      <w:r w:rsidRPr="002514A1">
        <w:rPr>
          <w:szCs w:val="24"/>
        </w:rPr>
        <w:t>city agency that issued the notice of violation</w:t>
      </w:r>
      <w:r>
        <w:rPr>
          <w:szCs w:val="24"/>
        </w:rPr>
        <w:t xml:space="preserve"> </w:t>
      </w:r>
      <w:r w:rsidR="006A6230">
        <w:rPr>
          <w:szCs w:val="24"/>
        </w:rPr>
        <w:t xml:space="preserve">certifying </w:t>
      </w:r>
      <w:r w:rsidR="00342C39">
        <w:rPr>
          <w:szCs w:val="24"/>
        </w:rPr>
        <w:t xml:space="preserve">that </w:t>
      </w:r>
      <w:r w:rsidRPr="002514A1">
        <w:rPr>
          <w:szCs w:val="24"/>
        </w:rPr>
        <w:t xml:space="preserve">the condition cited in such notice of violation </w:t>
      </w:r>
      <w:r w:rsidR="00342C39">
        <w:rPr>
          <w:szCs w:val="24"/>
        </w:rPr>
        <w:t xml:space="preserve">has been corrected </w:t>
      </w:r>
      <w:r w:rsidRPr="002514A1">
        <w:rPr>
          <w:szCs w:val="24"/>
        </w:rPr>
        <w:t>to the satisfaction of such agency.</w:t>
      </w:r>
    </w:p>
    <w:p w14:paraId="7931BA7E" w14:textId="2DB88C8E" w:rsidR="00EA226D" w:rsidRDefault="00EA226D" w:rsidP="00C9446B">
      <w:pPr>
        <w:spacing w:line="480" w:lineRule="auto"/>
        <w:ind w:firstLine="720"/>
        <w:jc w:val="both"/>
        <w:rPr>
          <w:szCs w:val="24"/>
        </w:rPr>
      </w:pPr>
      <w:r>
        <w:rPr>
          <w:szCs w:val="24"/>
        </w:rPr>
        <w:t xml:space="preserve">3. </w:t>
      </w:r>
      <w:r w:rsidRPr="002514A1">
        <w:rPr>
          <w:szCs w:val="24"/>
        </w:rPr>
        <w:t>A</w:t>
      </w:r>
      <w:r>
        <w:rPr>
          <w:szCs w:val="24"/>
        </w:rPr>
        <w:t>n eligible</w:t>
      </w:r>
      <w:r w:rsidRPr="002514A1">
        <w:rPr>
          <w:szCs w:val="24"/>
        </w:rPr>
        <w:t xml:space="preserve"> judgment for which a respondent or payor has, prior to the </w:t>
      </w:r>
      <w:r w:rsidRPr="00CF3FE3">
        <w:rPr>
          <w:szCs w:val="24"/>
        </w:rPr>
        <w:t>fi</w:t>
      </w:r>
      <w:r w:rsidR="009D45AB">
        <w:rPr>
          <w:szCs w:val="24"/>
        </w:rPr>
        <w:t>nal</w:t>
      </w:r>
      <w:r w:rsidRPr="00CF3FE3">
        <w:rPr>
          <w:szCs w:val="24"/>
        </w:rPr>
        <w:t xml:space="preserve"> day of the amnesty period</w:t>
      </w:r>
      <w:r w:rsidRPr="002514A1">
        <w:rPr>
          <w:szCs w:val="24"/>
        </w:rPr>
        <w:t>, made payments</w:t>
      </w:r>
      <w:r w:rsidR="001737D9">
        <w:rPr>
          <w:szCs w:val="24"/>
        </w:rPr>
        <w:t>,</w:t>
      </w:r>
      <w:r>
        <w:rPr>
          <w:szCs w:val="24"/>
        </w:rPr>
        <w:t xml:space="preserve"> may be resolved under the temporary program if </w:t>
      </w:r>
      <w:r w:rsidR="00102101">
        <w:rPr>
          <w:szCs w:val="24"/>
        </w:rPr>
        <w:t xml:space="preserve">the </w:t>
      </w:r>
      <w:r>
        <w:rPr>
          <w:szCs w:val="24"/>
        </w:rPr>
        <w:t>respondent or payor submits an application for resolution of such eligible judgment to the commissioner of finance in a manner and form to be determined by such commissioner, provided that:</w:t>
      </w:r>
    </w:p>
    <w:p w14:paraId="03CC7E8B" w14:textId="22F62807" w:rsidR="00EA226D" w:rsidRDefault="00EA226D" w:rsidP="00C9446B">
      <w:pPr>
        <w:spacing w:line="480" w:lineRule="auto"/>
        <w:ind w:firstLine="720"/>
        <w:jc w:val="both"/>
        <w:rPr>
          <w:szCs w:val="24"/>
        </w:rPr>
      </w:pPr>
      <w:r>
        <w:rPr>
          <w:szCs w:val="24"/>
        </w:rPr>
        <w:t>(</w:t>
      </w:r>
      <w:r w:rsidR="00196B7A">
        <w:rPr>
          <w:szCs w:val="24"/>
        </w:rPr>
        <w:t>a</w:t>
      </w:r>
      <w:r>
        <w:rPr>
          <w:szCs w:val="24"/>
        </w:rPr>
        <w:t xml:space="preserve">) if such payments were </w:t>
      </w:r>
      <w:r w:rsidR="00B7199F">
        <w:rPr>
          <w:szCs w:val="24"/>
        </w:rPr>
        <w:t xml:space="preserve">less </w:t>
      </w:r>
      <w:r w:rsidRPr="002514A1">
        <w:rPr>
          <w:szCs w:val="24"/>
        </w:rPr>
        <w:t xml:space="preserve">than </w:t>
      </w:r>
      <w:r w:rsidR="00102101">
        <w:rPr>
          <w:szCs w:val="24"/>
        </w:rPr>
        <w:t>75</w:t>
      </w:r>
      <w:r w:rsidR="00102101" w:rsidRPr="002514A1">
        <w:rPr>
          <w:szCs w:val="24"/>
        </w:rPr>
        <w:t xml:space="preserve"> percent of the imposed penalties</w:t>
      </w:r>
      <w:r w:rsidR="00D038FF">
        <w:rPr>
          <w:szCs w:val="24"/>
        </w:rPr>
        <w:t xml:space="preserve">, </w:t>
      </w:r>
      <w:r>
        <w:rPr>
          <w:szCs w:val="24"/>
        </w:rPr>
        <w:t>for</w:t>
      </w:r>
      <w:r w:rsidRPr="002514A1">
        <w:rPr>
          <w:szCs w:val="24"/>
        </w:rPr>
        <w:t xml:space="preserve"> a</w:t>
      </w:r>
      <w:r>
        <w:rPr>
          <w:szCs w:val="24"/>
        </w:rPr>
        <w:t>n</w:t>
      </w:r>
      <w:r w:rsidRPr="002514A1">
        <w:rPr>
          <w:szCs w:val="24"/>
        </w:rPr>
        <w:t xml:space="preserve"> </w:t>
      </w:r>
      <w:r>
        <w:rPr>
          <w:szCs w:val="24"/>
        </w:rPr>
        <w:t xml:space="preserve">eligible </w:t>
      </w:r>
      <w:r w:rsidRPr="002514A1">
        <w:rPr>
          <w:szCs w:val="24"/>
        </w:rPr>
        <w:t xml:space="preserve">judgment entered after an adjudication and finding of violation, </w:t>
      </w:r>
      <w:r>
        <w:rPr>
          <w:szCs w:val="24"/>
        </w:rPr>
        <w:t xml:space="preserve">or </w:t>
      </w:r>
      <w:r w:rsidR="00B7199F">
        <w:rPr>
          <w:szCs w:val="24"/>
        </w:rPr>
        <w:t xml:space="preserve">less than </w:t>
      </w:r>
      <w:r w:rsidR="00102101">
        <w:rPr>
          <w:szCs w:val="24"/>
        </w:rPr>
        <w:t>the base penalty</w:t>
      </w:r>
      <w:r w:rsidR="00D038FF">
        <w:rPr>
          <w:szCs w:val="24"/>
        </w:rPr>
        <w:t>,</w:t>
      </w:r>
      <w:r w:rsidR="00102101">
        <w:rPr>
          <w:szCs w:val="24"/>
        </w:rPr>
        <w:t xml:space="preserve"> </w:t>
      </w:r>
      <w:r>
        <w:rPr>
          <w:szCs w:val="24"/>
        </w:rPr>
        <w:t xml:space="preserve">for an eligible judgment resulting from a default decision and order, </w:t>
      </w:r>
      <w:r w:rsidR="0069439C">
        <w:rPr>
          <w:szCs w:val="24"/>
        </w:rPr>
        <w:t>such</w:t>
      </w:r>
      <w:r>
        <w:rPr>
          <w:szCs w:val="24"/>
        </w:rPr>
        <w:t xml:space="preserve"> respondent or payor shall make payments such that the sum of such payments </w:t>
      </w:r>
      <w:r w:rsidR="0069439C">
        <w:rPr>
          <w:szCs w:val="24"/>
        </w:rPr>
        <w:t>is</w:t>
      </w:r>
      <w:r>
        <w:rPr>
          <w:szCs w:val="24"/>
        </w:rPr>
        <w:t xml:space="preserve"> equal to </w:t>
      </w:r>
      <w:r w:rsidR="0069439C">
        <w:rPr>
          <w:szCs w:val="24"/>
        </w:rPr>
        <w:t>75 percent of the imposed penalty</w:t>
      </w:r>
      <w:r w:rsidR="004F0401">
        <w:rPr>
          <w:szCs w:val="24"/>
        </w:rPr>
        <w:t>,</w:t>
      </w:r>
      <w:r w:rsidR="0069439C">
        <w:rPr>
          <w:szCs w:val="24"/>
        </w:rPr>
        <w:t xml:space="preserve"> or </w:t>
      </w:r>
      <w:r>
        <w:rPr>
          <w:szCs w:val="24"/>
        </w:rPr>
        <w:t>such base penalty, as applicable</w:t>
      </w:r>
      <w:r w:rsidR="00D038FF">
        <w:rPr>
          <w:szCs w:val="24"/>
        </w:rPr>
        <w:t xml:space="preserve">, provided </w:t>
      </w:r>
      <w:r w:rsidR="0069439C">
        <w:rPr>
          <w:szCs w:val="24"/>
        </w:rPr>
        <w:t xml:space="preserve">that </w:t>
      </w:r>
      <w:r w:rsidR="00D038FF">
        <w:rPr>
          <w:szCs w:val="24"/>
        </w:rPr>
        <w:t>such respondent or payor shall not be required to pay any accrued interest or default penalties, as applicable, in order to resolve such eligible judgment</w:t>
      </w:r>
      <w:r>
        <w:rPr>
          <w:szCs w:val="24"/>
        </w:rPr>
        <w:t xml:space="preserve">; and </w:t>
      </w:r>
    </w:p>
    <w:p w14:paraId="571F5D42" w14:textId="44C471A7" w:rsidR="00EA226D" w:rsidRPr="002514A1" w:rsidRDefault="00EA226D" w:rsidP="00C9446B">
      <w:pPr>
        <w:spacing w:line="480" w:lineRule="auto"/>
        <w:ind w:firstLine="720"/>
        <w:jc w:val="both"/>
        <w:rPr>
          <w:szCs w:val="24"/>
        </w:rPr>
      </w:pPr>
      <w:r>
        <w:rPr>
          <w:szCs w:val="24"/>
        </w:rPr>
        <w:t>(</w:t>
      </w:r>
      <w:r w:rsidR="00196B7A">
        <w:rPr>
          <w:szCs w:val="24"/>
        </w:rPr>
        <w:t>b</w:t>
      </w:r>
      <w:r>
        <w:rPr>
          <w:szCs w:val="24"/>
        </w:rPr>
        <w:t xml:space="preserve">) if such payments were </w:t>
      </w:r>
      <w:r w:rsidRPr="002514A1">
        <w:rPr>
          <w:szCs w:val="24"/>
        </w:rPr>
        <w:t>greater than</w:t>
      </w:r>
      <w:r w:rsidR="00B7199F">
        <w:rPr>
          <w:szCs w:val="24"/>
        </w:rPr>
        <w:t xml:space="preserve"> or equal to</w:t>
      </w:r>
      <w:r w:rsidRPr="002514A1">
        <w:rPr>
          <w:szCs w:val="24"/>
        </w:rPr>
        <w:t xml:space="preserve"> </w:t>
      </w:r>
      <w:r w:rsidR="00D038FF">
        <w:rPr>
          <w:szCs w:val="24"/>
        </w:rPr>
        <w:t>75</w:t>
      </w:r>
      <w:r w:rsidR="00D038FF" w:rsidRPr="002514A1">
        <w:rPr>
          <w:szCs w:val="24"/>
        </w:rPr>
        <w:t xml:space="preserve"> percent of the imposed penalties</w:t>
      </w:r>
      <w:r w:rsidR="0069439C">
        <w:rPr>
          <w:szCs w:val="24"/>
        </w:rPr>
        <w:t>,</w:t>
      </w:r>
      <w:r w:rsidR="00D038FF">
        <w:rPr>
          <w:szCs w:val="24"/>
        </w:rPr>
        <w:t xml:space="preserve"> </w:t>
      </w:r>
      <w:r>
        <w:rPr>
          <w:szCs w:val="24"/>
        </w:rPr>
        <w:t>for</w:t>
      </w:r>
      <w:r w:rsidRPr="002514A1">
        <w:rPr>
          <w:szCs w:val="24"/>
        </w:rPr>
        <w:t xml:space="preserve"> a</w:t>
      </w:r>
      <w:r>
        <w:rPr>
          <w:szCs w:val="24"/>
        </w:rPr>
        <w:t>n eligible</w:t>
      </w:r>
      <w:r w:rsidRPr="002514A1">
        <w:rPr>
          <w:szCs w:val="24"/>
        </w:rPr>
        <w:t xml:space="preserve"> judgment entered after an adjudication and finding of violation</w:t>
      </w:r>
      <w:r>
        <w:rPr>
          <w:szCs w:val="24"/>
        </w:rPr>
        <w:t>,</w:t>
      </w:r>
      <w:r w:rsidRPr="002514A1">
        <w:rPr>
          <w:szCs w:val="24"/>
        </w:rPr>
        <w:t xml:space="preserve"> </w:t>
      </w:r>
      <w:r>
        <w:rPr>
          <w:szCs w:val="24"/>
        </w:rPr>
        <w:t xml:space="preserve">or </w:t>
      </w:r>
      <w:r w:rsidRPr="002514A1">
        <w:rPr>
          <w:szCs w:val="24"/>
        </w:rPr>
        <w:t xml:space="preserve">greater than </w:t>
      </w:r>
      <w:r w:rsidR="00B7199F">
        <w:rPr>
          <w:szCs w:val="24"/>
        </w:rPr>
        <w:t xml:space="preserve">or equal to </w:t>
      </w:r>
      <w:r w:rsidR="00D038FF">
        <w:rPr>
          <w:szCs w:val="24"/>
        </w:rPr>
        <w:t>the base penalty</w:t>
      </w:r>
      <w:r w:rsidR="0069439C">
        <w:rPr>
          <w:szCs w:val="24"/>
        </w:rPr>
        <w:t>,</w:t>
      </w:r>
      <w:r w:rsidR="00D038FF">
        <w:rPr>
          <w:szCs w:val="24"/>
        </w:rPr>
        <w:t xml:space="preserve"> </w:t>
      </w:r>
      <w:r>
        <w:rPr>
          <w:szCs w:val="24"/>
        </w:rPr>
        <w:t xml:space="preserve">for an eligible judgment resulting from a default decision and order, </w:t>
      </w:r>
      <w:r w:rsidR="009D45AB">
        <w:rPr>
          <w:szCs w:val="24"/>
        </w:rPr>
        <w:t>a payment of $1</w:t>
      </w:r>
      <w:r w:rsidR="00B7199F">
        <w:rPr>
          <w:szCs w:val="24"/>
        </w:rPr>
        <w:t xml:space="preserve"> is required to resolve such eligible </w:t>
      </w:r>
      <w:r w:rsidR="004C1FCC">
        <w:rPr>
          <w:szCs w:val="24"/>
        </w:rPr>
        <w:t>judgment</w:t>
      </w:r>
      <w:r w:rsidR="00B7199F">
        <w:rPr>
          <w:szCs w:val="24"/>
        </w:rPr>
        <w:t xml:space="preserve"> and </w:t>
      </w:r>
      <w:r>
        <w:rPr>
          <w:szCs w:val="24"/>
        </w:rPr>
        <w:t xml:space="preserve">the </w:t>
      </w:r>
      <w:r w:rsidR="0069439C">
        <w:rPr>
          <w:szCs w:val="24"/>
        </w:rPr>
        <w:t xml:space="preserve">department of finance shall not be authorized to provide a refund to such </w:t>
      </w:r>
      <w:r>
        <w:rPr>
          <w:szCs w:val="24"/>
        </w:rPr>
        <w:t>respondent or payor.</w:t>
      </w:r>
    </w:p>
    <w:p w14:paraId="694980BF" w14:textId="4F7E852F" w:rsidR="00EA226D" w:rsidRDefault="00EA226D" w:rsidP="00C9446B">
      <w:pPr>
        <w:spacing w:line="480" w:lineRule="auto"/>
        <w:ind w:left="45" w:firstLine="720"/>
        <w:jc w:val="both"/>
        <w:rPr>
          <w:szCs w:val="24"/>
        </w:rPr>
      </w:pPr>
      <w:r w:rsidRPr="002514A1">
        <w:rPr>
          <w:szCs w:val="24"/>
        </w:rPr>
        <w:lastRenderedPageBreak/>
        <w:t xml:space="preserve">d. </w:t>
      </w:r>
      <w:r>
        <w:rPr>
          <w:szCs w:val="24"/>
        </w:rPr>
        <w:t>Eligible j</w:t>
      </w:r>
      <w:r w:rsidRPr="002514A1">
        <w:rPr>
          <w:szCs w:val="24"/>
        </w:rPr>
        <w:t>udgments that may not be resolved under the temporary program. A</w:t>
      </w:r>
      <w:r>
        <w:rPr>
          <w:szCs w:val="24"/>
        </w:rPr>
        <w:t>n</w:t>
      </w:r>
      <w:r w:rsidRPr="00A13F64">
        <w:rPr>
          <w:szCs w:val="24"/>
        </w:rPr>
        <w:t xml:space="preserve"> </w:t>
      </w:r>
      <w:r>
        <w:rPr>
          <w:szCs w:val="24"/>
        </w:rPr>
        <w:t>eligible</w:t>
      </w:r>
      <w:r w:rsidRPr="002514A1">
        <w:rPr>
          <w:szCs w:val="24"/>
        </w:rPr>
        <w:t xml:space="preserve"> judgment shall not be resolved under the temporary program </w:t>
      </w:r>
      <w:r w:rsidR="006A6230">
        <w:rPr>
          <w:szCs w:val="24"/>
        </w:rPr>
        <w:t>unless the department of finance receives payment of</w:t>
      </w:r>
      <w:r w:rsidRPr="002514A1">
        <w:rPr>
          <w:szCs w:val="24"/>
        </w:rPr>
        <w:t xml:space="preserve"> the amounts described in subdivision b</w:t>
      </w:r>
      <w:r w:rsidR="00D26940">
        <w:rPr>
          <w:szCs w:val="24"/>
        </w:rPr>
        <w:t xml:space="preserve"> or paragraph 3 of subdivision c</w:t>
      </w:r>
      <w:r w:rsidRPr="002514A1">
        <w:rPr>
          <w:szCs w:val="24"/>
        </w:rPr>
        <w:t xml:space="preserve"> of this</w:t>
      </w:r>
      <w:r>
        <w:rPr>
          <w:szCs w:val="24"/>
        </w:rPr>
        <w:t xml:space="preserve"> section</w:t>
      </w:r>
      <w:r w:rsidR="00D26940">
        <w:rPr>
          <w:szCs w:val="24"/>
        </w:rPr>
        <w:t>, as applicable,</w:t>
      </w:r>
      <w:r w:rsidRPr="002514A1">
        <w:rPr>
          <w:szCs w:val="24"/>
        </w:rPr>
        <w:t xml:space="preserve"> on or before the last day of the amnesty period.</w:t>
      </w:r>
    </w:p>
    <w:p w14:paraId="43DCFC13" w14:textId="0BB66BCD" w:rsidR="00EA226D" w:rsidRPr="002514A1" w:rsidRDefault="00EA226D" w:rsidP="00C9446B">
      <w:pPr>
        <w:spacing w:line="480" w:lineRule="auto"/>
        <w:ind w:firstLine="720"/>
        <w:jc w:val="both"/>
        <w:rPr>
          <w:szCs w:val="24"/>
        </w:rPr>
      </w:pPr>
      <w:r>
        <w:rPr>
          <w:szCs w:val="24"/>
        </w:rPr>
        <w:t>e</w:t>
      </w:r>
      <w:r w:rsidRPr="002514A1">
        <w:rPr>
          <w:szCs w:val="24"/>
        </w:rPr>
        <w:t>. Con</w:t>
      </w:r>
      <w:r w:rsidR="006A6230">
        <w:rPr>
          <w:szCs w:val="24"/>
        </w:rPr>
        <w:t>sequences of</w:t>
      </w:r>
      <w:r w:rsidRPr="002514A1">
        <w:rPr>
          <w:szCs w:val="24"/>
        </w:rPr>
        <w:t xml:space="preserve"> participation in the temporary program. 1. </w:t>
      </w:r>
      <w:r w:rsidR="002B0C75">
        <w:rPr>
          <w:szCs w:val="24"/>
        </w:rPr>
        <w:t>A</w:t>
      </w:r>
      <w:r w:rsidR="001E659B">
        <w:rPr>
          <w:szCs w:val="24"/>
        </w:rPr>
        <w:t xml:space="preserve"> payment from a respondent or payor to resolve a</w:t>
      </w:r>
      <w:r w:rsidRPr="002514A1">
        <w:rPr>
          <w:szCs w:val="24"/>
        </w:rPr>
        <w:t xml:space="preserve">n </w:t>
      </w:r>
      <w:r>
        <w:rPr>
          <w:szCs w:val="24"/>
        </w:rPr>
        <w:t xml:space="preserve">eligible </w:t>
      </w:r>
      <w:r w:rsidRPr="002514A1">
        <w:rPr>
          <w:szCs w:val="24"/>
        </w:rPr>
        <w:t xml:space="preserve">judgment from a default decision and order under the temporary program shall be deemed an admission of liability for the violation that resulted in </w:t>
      </w:r>
      <w:r w:rsidR="006A6230">
        <w:rPr>
          <w:szCs w:val="24"/>
        </w:rPr>
        <w:t>such</w:t>
      </w:r>
      <w:r w:rsidRPr="002514A1">
        <w:rPr>
          <w:szCs w:val="24"/>
        </w:rPr>
        <w:t xml:space="preserve"> default decision and order.</w:t>
      </w:r>
    </w:p>
    <w:p w14:paraId="0FBF32D5" w14:textId="77777777" w:rsidR="00EA226D" w:rsidRPr="002514A1" w:rsidRDefault="00EA226D" w:rsidP="00C9446B">
      <w:pPr>
        <w:spacing w:line="480" w:lineRule="auto"/>
        <w:ind w:firstLine="720"/>
        <w:jc w:val="both"/>
        <w:rPr>
          <w:szCs w:val="24"/>
        </w:rPr>
      </w:pPr>
      <w:r w:rsidRPr="002514A1">
        <w:rPr>
          <w:szCs w:val="24"/>
        </w:rPr>
        <w:t>2. A resolution of a</w:t>
      </w:r>
      <w:r>
        <w:rPr>
          <w:szCs w:val="24"/>
        </w:rPr>
        <w:t>n eligible</w:t>
      </w:r>
      <w:r w:rsidRPr="002514A1">
        <w:rPr>
          <w:szCs w:val="24"/>
        </w:rPr>
        <w:t xml:space="preserve"> judgment under the temporary program shall constitute a waiver of all legal and factual defenses to liability for the</w:t>
      </w:r>
      <w:r>
        <w:rPr>
          <w:szCs w:val="24"/>
        </w:rPr>
        <w:t xml:space="preserve"> eligible</w:t>
      </w:r>
      <w:r w:rsidRPr="002514A1">
        <w:rPr>
          <w:szCs w:val="24"/>
        </w:rPr>
        <w:t xml:space="preserve"> judgment. </w:t>
      </w:r>
    </w:p>
    <w:p w14:paraId="350DC542" w14:textId="77777777" w:rsidR="00EA226D" w:rsidRPr="002514A1" w:rsidRDefault="00EA226D" w:rsidP="00C9446B">
      <w:pPr>
        <w:spacing w:line="480" w:lineRule="auto"/>
        <w:ind w:firstLine="720"/>
        <w:jc w:val="both"/>
        <w:rPr>
          <w:szCs w:val="24"/>
        </w:rPr>
      </w:pPr>
      <w:r>
        <w:rPr>
          <w:szCs w:val="24"/>
        </w:rPr>
        <w:t>f</w:t>
      </w:r>
      <w:r w:rsidRPr="002514A1">
        <w:rPr>
          <w:szCs w:val="24"/>
        </w:rPr>
        <w:t>. Certificates of correction. Nothing contained herein shall require a city agency to issue or approve certificates of correction or the equivalent if such agency does not have a program to do so as of the effective date of this local law</w:t>
      </w:r>
      <w:r>
        <w:rPr>
          <w:szCs w:val="24"/>
        </w:rPr>
        <w:t>.</w:t>
      </w:r>
    </w:p>
    <w:p w14:paraId="6C555170" w14:textId="66CA437D" w:rsidR="00EA226D" w:rsidRPr="002514A1" w:rsidRDefault="00EA226D" w:rsidP="00C9446B">
      <w:pPr>
        <w:spacing w:line="480" w:lineRule="auto"/>
        <w:ind w:firstLine="720"/>
        <w:jc w:val="both"/>
        <w:rPr>
          <w:szCs w:val="24"/>
        </w:rPr>
      </w:pPr>
      <w:r>
        <w:rPr>
          <w:szCs w:val="24"/>
        </w:rPr>
        <w:t>g</w:t>
      </w:r>
      <w:r w:rsidRPr="002514A1">
        <w:rPr>
          <w:szCs w:val="24"/>
        </w:rPr>
        <w:t xml:space="preserve">. Duration of </w:t>
      </w:r>
      <w:r>
        <w:rPr>
          <w:szCs w:val="24"/>
        </w:rPr>
        <w:t xml:space="preserve">the temporary </w:t>
      </w:r>
      <w:r w:rsidRPr="002514A1">
        <w:rPr>
          <w:szCs w:val="24"/>
        </w:rPr>
        <w:t xml:space="preserve">program. The amnesty period shall be in effect for a period of </w:t>
      </w:r>
      <w:r>
        <w:rPr>
          <w:szCs w:val="24"/>
        </w:rPr>
        <w:t>90</w:t>
      </w:r>
      <w:r w:rsidRPr="002514A1">
        <w:rPr>
          <w:szCs w:val="24"/>
        </w:rPr>
        <w:t xml:space="preserve"> days during the fiscal year that commence</w:t>
      </w:r>
      <w:r w:rsidR="001737D9">
        <w:rPr>
          <w:szCs w:val="24"/>
        </w:rPr>
        <w:t>d</w:t>
      </w:r>
      <w:r w:rsidRPr="002514A1">
        <w:rPr>
          <w:szCs w:val="24"/>
        </w:rPr>
        <w:t xml:space="preserve"> on July </w:t>
      </w:r>
      <w:r>
        <w:rPr>
          <w:szCs w:val="24"/>
        </w:rPr>
        <w:t>1</w:t>
      </w:r>
      <w:r w:rsidRPr="002514A1">
        <w:rPr>
          <w:szCs w:val="24"/>
        </w:rPr>
        <w:t xml:space="preserve">, </w:t>
      </w:r>
      <w:r>
        <w:rPr>
          <w:szCs w:val="24"/>
        </w:rPr>
        <w:t>2026</w:t>
      </w:r>
      <w:r w:rsidR="00816A76">
        <w:rPr>
          <w:szCs w:val="24"/>
        </w:rPr>
        <w:t>, such period to begin on a date determined by the commissioner of finance</w:t>
      </w:r>
      <w:r w:rsidRPr="002514A1">
        <w:rPr>
          <w:szCs w:val="24"/>
        </w:rPr>
        <w:t xml:space="preserve">, provided that such amnesty period may be extended for an additional period of </w:t>
      </w:r>
      <w:r>
        <w:rPr>
          <w:szCs w:val="24"/>
        </w:rPr>
        <w:t>90</w:t>
      </w:r>
      <w:r w:rsidRPr="002514A1">
        <w:rPr>
          <w:szCs w:val="24"/>
        </w:rPr>
        <w:t xml:space="preserve"> days</w:t>
      </w:r>
      <w:r>
        <w:rPr>
          <w:szCs w:val="24"/>
        </w:rPr>
        <w:t xml:space="preserve"> as determined</w:t>
      </w:r>
      <w:r w:rsidRPr="002514A1">
        <w:rPr>
          <w:szCs w:val="24"/>
        </w:rPr>
        <w:t xml:space="preserve"> by the commissioner of finance if such commissioner determines </w:t>
      </w:r>
      <w:r>
        <w:rPr>
          <w:szCs w:val="24"/>
        </w:rPr>
        <w:t xml:space="preserve">in a writing posted on the department of finance’s website </w:t>
      </w:r>
      <w:r w:rsidRPr="002514A1">
        <w:rPr>
          <w:szCs w:val="24"/>
        </w:rPr>
        <w:t xml:space="preserve">that such an extension would encourage further resolution of </w:t>
      </w:r>
      <w:r>
        <w:rPr>
          <w:szCs w:val="24"/>
        </w:rPr>
        <w:t xml:space="preserve">eligible </w:t>
      </w:r>
      <w:r w:rsidRPr="002514A1">
        <w:rPr>
          <w:szCs w:val="24"/>
        </w:rPr>
        <w:t>judgments, generate revenue</w:t>
      </w:r>
      <w:r>
        <w:rPr>
          <w:szCs w:val="24"/>
        </w:rPr>
        <w:t xml:space="preserve"> for the city</w:t>
      </w:r>
      <w:r w:rsidR="00196B7A">
        <w:rPr>
          <w:szCs w:val="24"/>
        </w:rPr>
        <w:t>,</w:t>
      </w:r>
      <w:r w:rsidRPr="002514A1">
        <w:rPr>
          <w:szCs w:val="24"/>
        </w:rPr>
        <w:t xml:space="preserve"> and reduce the amount of outstanding debt owed to the city.</w:t>
      </w:r>
    </w:p>
    <w:p w14:paraId="20221513" w14:textId="55C2A10E" w:rsidR="00EA226D" w:rsidRDefault="00EA226D" w:rsidP="00C9446B">
      <w:pPr>
        <w:spacing w:line="480" w:lineRule="auto"/>
        <w:ind w:firstLine="720"/>
        <w:jc w:val="both"/>
        <w:rPr>
          <w:szCs w:val="24"/>
        </w:rPr>
      </w:pPr>
      <w:r>
        <w:rPr>
          <w:szCs w:val="24"/>
        </w:rPr>
        <w:t>h</w:t>
      </w:r>
      <w:r w:rsidRPr="002514A1">
        <w:rPr>
          <w:szCs w:val="24"/>
        </w:rPr>
        <w:t xml:space="preserve">. </w:t>
      </w:r>
      <w:r>
        <w:rPr>
          <w:szCs w:val="24"/>
        </w:rPr>
        <w:t xml:space="preserve">Judgments that remain </w:t>
      </w:r>
      <w:r w:rsidR="006A6230">
        <w:rPr>
          <w:szCs w:val="24"/>
        </w:rPr>
        <w:t>unresolved</w:t>
      </w:r>
      <w:r>
        <w:rPr>
          <w:szCs w:val="24"/>
        </w:rPr>
        <w:t xml:space="preserve"> after conclusion of the temporary program. </w:t>
      </w:r>
      <w:r w:rsidRPr="002514A1">
        <w:rPr>
          <w:szCs w:val="24"/>
        </w:rPr>
        <w:t xml:space="preserve">After the amnesty period has concluded, any judgment that has not been resolved </w:t>
      </w:r>
      <w:r w:rsidR="006A6230">
        <w:rPr>
          <w:szCs w:val="24"/>
        </w:rPr>
        <w:t>under the temporary</w:t>
      </w:r>
      <w:r w:rsidRPr="002514A1">
        <w:rPr>
          <w:szCs w:val="24"/>
        </w:rPr>
        <w:t xml:space="preserve"> </w:t>
      </w:r>
      <w:r w:rsidRPr="002514A1">
        <w:rPr>
          <w:szCs w:val="24"/>
        </w:rPr>
        <w:lastRenderedPageBreak/>
        <w:t>program shall continue to have full legal effectiveness and enforceability regardless of whether it could have been resolved under th</w:t>
      </w:r>
      <w:r w:rsidR="00816A76">
        <w:rPr>
          <w:szCs w:val="24"/>
        </w:rPr>
        <w:t>e temporary</w:t>
      </w:r>
      <w:r w:rsidRPr="002514A1">
        <w:rPr>
          <w:szCs w:val="24"/>
        </w:rPr>
        <w:t xml:space="preserve"> program.</w:t>
      </w:r>
    </w:p>
    <w:p w14:paraId="568F3638" w14:textId="0083D707" w:rsidR="00EA226D" w:rsidRDefault="00EA226D" w:rsidP="00C9446B">
      <w:pPr>
        <w:spacing w:line="480" w:lineRule="auto"/>
        <w:ind w:firstLine="720"/>
        <w:jc w:val="both"/>
        <w:rPr>
          <w:szCs w:val="24"/>
        </w:rPr>
      </w:pPr>
      <w:r>
        <w:rPr>
          <w:szCs w:val="24"/>
        </w:rPr>
        <w:t>i. The provisions of this local law shall not limit the authority of the</w:t>
      </w:r>
      <w:r w:rsidRPr="00B41323">
        <w:rPr>
          <w:szCs w:val="24"/>
        </w:rPr>
        <w:t xml:space="preserve"> department of finance, when acting pursuant to a delegation from the environmental control board, </w:t>
      </w:r>
      <w:r>
        <w:rPr>
          <w:szCs w:val="24"/>
        </w:rPr>
        <w:t xml:space="preserve">to </w:t>
      </w:r>
      <w:r w:rsidRPr="00B41323">
        <w:rPr>
          <w:szCs w:val="24"/>
        </w:rPr>
        <w:t>resolve any judgment</w:t>
      </w:r>
      <w:r>
        <w:rPr>
          <w:szCs w:val="24"/>
        </w:rPr>
        <w:t xml:space="preserve"> not resolved through the temporary program,</w:t>
      </w:r>
      <w:r w:rsidRPr="00B41323">
        <w:rPr>
          <w:szCs w:val="24"/>
        </w:rPr>
        <w:t xml:space="preserve"> </w:t>
      </w:r>
      <w:r>
        <w:rPr>
          <w:szCs w:val="24"/>
        </w:rPr>
        <w:t xml:space="preserve">including </w:t>
      </w:r>
      <w:r w:rsidR="00816A76">
        <w:rPr>
          <w:szCs w:val="24"/>
        </w:rPr>
        <w:t xml:space="preserve">judgments </w:t>
      </w:r>
      <w:r>
        <w:rPr>
          <w:szCs w:val="24"/>
        </w:rPr>
        <w:t xml:space="preserve">resulting from a </w:t>
      </w:r>
      <w:r w:rsidRPr="00B41323">
        <w:rPr>
          <w:szCs w:val="24"/>
        </w:rPr>
        <w:t>default decision and order</w:t>
      </w:r>
      <w:r>
        <w:rPr>
          <w:szCs w:val="24"/>
        </w:rPr>
        <w:t>,</w:t>
      </w:r>
      <w:r w:rsidRPr="00B41323">
        <w:rPr>
          <w:szCs w:val="24"/>
        </w:rPr>
        <w:t xml:space="preserve"> </w:t>
      </w:r>
      <w:r>
        <w:rPr>
          <w:szCs w:val="24"/>
        </w:rPr>
        <w:t>pursuant to such policies adopted by the department of finance.</w:t>
      </w:r>
    </w:p>
    <w:p w14:paraId="4F1FE4A6" w14:textId="3E6CBAFA" w:rsidR="00EA226D" w:rsidRPr="002514A1" w:rsidRDefault="00EA226D" w:rsidP="00C9446B">
      <w:pPr>
        <w:spacing w:line="480" w:lineRule="auto"/>
        <w:ind w:firstLine="720"/>
        <w:jc w:val="both"/>
        <w:rPr>
          <w:szCs w:val="24"/>
        </w:rPr>
      </w:pPr>
      <w:r>
        <w:rPr>
          <w:szCs w:val="24"/>
        </w:rPr>
        <w:t xml:space="preserve">j. If a respondent or payor </w:t>
      </w:r>
      <w:r w:rsidR="006A6230">
        <w:rPr>
          <w:szCs w:val="24"/>
        </w:rPr>
        <w:t>makes</w:t>
      </w:r>
      <w:r>
        <w:rPr>
          <w:szCs w:val="24"/>
        </w:rPr>
        <w:t xml:space="preserve"> a payment</w:t>
      </w:r>
      <w:r w:rsidR="006A6230">
        <w:rPr>
          <w:szCs w:val="24"/>
        </w:rPr>
        <w:t xml:space="preserve"> on a judgment in an attempt</w:t>
      </w:r>
      <w:r>
        <w:rPr>
          <w:szCs w:val="24"/>
        </w:rPr>
        <w:t xml:space="preserve"> to resolve a judgment through the temporary program but such judgment is not an eligible judgment, </w:t>
      </w:r>
      <w:r w:rsidR="006A6230">
        <w:rPr>
          <w:szCs w:val="24"/>
        </w:rPr>
        <w:t>or a requirement for the resolution of such judgment set forth in subdivision c</w:t>
      </w:r>
      <w:r w:rsidR="001E659B">
        <w:rPr>
          <w:szCs w:val="24"/>
        </w:rPr>
        <w:t xml:space="preserve"> or</w:t>
      </w:r>
      <w:r w:rsidR="006A6230">
        <w:rPr>
          <w:szCs w:val="24"/>
        </w:rPr>
        <w:t xml:space="preserve"> d of this section is not satisfied</w:t>
      </w:r>
      <w:r>
        <w:rPr>
          <w:szCs w:val="24"/>
        </w:rPr>
        <w:t>, any</w:t>
      </w:r>
      <w:r w:rsidR="006A6230">
        <w:rPr>
          <w:szCs w:val="24"/>
        </w:rPr>
        <w:t xml:space="preserve"> such</w:t>
      </w:r>
      <w:r>
        <w:rPr>
          <w:szCs w:val="24"/>
        </w:rPr>
        <w:t xml:space="preserve"> payment shall be deemed to be </w:t>
      </w:r>
      <w:r w:rsidR="006A6230">
        <w:rPr>
          <w:szCs w:val="24"/>
        </w:rPr>
        <w:t xml:space="preserve">a </w:t>
      </w:r>
      <w:r>
        <w:rPr>
          <w:szCs w:val="24"/>
        </w:rPr>
        <w:t>partial payment towards such judgment.</w:t>
      </w:r>
    </w:p>
    <w:p w14:paraId="15939A23" w14:textId="10DED432" w:rsidR="00EA226D" w:rsidRPr="002514A1" w:rsidRDefault="00196B7A" w:rsidP="00C9446B">
      <w:pPr>
        <w:spacing w:line="480" w:lineRule="auto"/>
        <w:ind w:firstLine="720"/>
        <w:jc w:val="both"/>
        <w:rPr>
          <w:szCs w:val="24"/>
        </w:rPr>
      </w:pPr>
      <w:r>
        <w:rPr>
          <w:szCs w:val="24"/>
        </w:rPr>
        <w:t>k</w:t>
      </w:r>
      <w:r w:rsidR="00EA226D" w:rsidRPr="002514A1">
        <w:rPr>
          <w:szCs w:val="24"/>
        </w:rPr>
        <w:t xml:space="preserve">. Notification of public. The commissioner of finance shall publicize the temporary program so as to maximize public awareness of and participation in such program. </w:t>
      </w:r>
    </w:p>
    <w:p w14:paraId="3AE12560" w14:textId="1C404691" w:rsidR="003C14EC" w:rsidRPr="00C9446B" w:rsidRDefault="00EA226D" w:rsidP="00C9446B">
      <w:pPr>
        <w:pStyle w:val="DoubleSpaceParagaph"/>
        <w:ind w:firstLine="720"/>
        <w:rPr>
          <w:sz w:val="18"/>
          <w:szCs w:val="18"/>
        </w:rPr>
      </w:pPr>
      <w:r w:rsidRPr="00854F9E">
        <w:rPr>
          <w:szCs w:val="24"/>
        </w:rPr>
        <w:t>§ 2. This local law take</w:t>
      </w:r>
      <w:r>
        <w:rPr>
          <w:szCs w:val="24"/>
        </w:rPr>
        <w:t>s</w:t>
      </w:r>
      <w:r w:rsidRPr="00854F9E">
        <w:rPr>
          <w:szCs w:val="24"/>
        </w:rPr>
        <w:t xml:space="preserve"> effect immediately</w:t>
      </w:r>
      <w:r>
        <w:rPr>
          <w:sz w:val="18"/>
          <w:szCs w:val="18"/>
        </w:rPr>
        <w:t>.</w:t>
      </w:r>
    </w:p>
    <w:sectPr w:rsidR="003C14EC" w:rsidRPr="00C9446B" w:rsidSect="0069439C">
      <w:footerReference w:type="default" r:id="rId7"/>
      <w:footerReference w:type="first" r:id="rId8"/>
      <w:pgSz w:w="12240" w:h="15840"/>
      <w:pgMar w:top="1440" w:right="1440" w:bottom="965" w:left="1440" w:header="1440" w:footer="965" w:gutter="0"/>
      <w:lnNumType w:countBy="1" w:distance="432"/>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FAE49" w14:textId="77777777" w:rsidR="005E6375" w:rsidRDefault="005E6375">
      <w:r>
        <w:separator/>
      </w:r>
    </w:p>
  </w:endnote>
  <w:endnote w:type="continuationSeparator" w:id="0">
    <w:p w14:paraId="28941CB4" w14:textId="77777777" w:rsidR="005E6375" w:rsidRDefault="005E6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8E406" w14:textId="5884605F" w:rsidR="008B319A" w:rsidRDefault="008B319A">
    <w:pPr>
      <w:rPr>
        <w:sz w:val="16"/>
        <w:szCs w:val="16"/>
      </w:rPr>
    </w:pPr>
  </w:p>
  <w:p w14:paraId="5FF9A84B" w14:textId="155DB9E4" w:rsidR="008B319A" w:rsidRPr="008B319A" w:rsidRDefault="008B319A">
    <w:pPr>
      <w:rPr>
        <w:sz w:val="16"/>
        <w:szCs w:val="16"/>
      </w:rPr>
    </w:pPr>
  </w:p>
  <w:tbl>
    <w:tblPr>
      <w:tblW w:w="0" w:type="auto"/>
      <w:jc w:val="center"/>
      <w:tblLayout w:type="fixed"/>
      <w:tblLook w:val="0000" w:firstRow="0" w:lastRow="0" w:firstColumn="0" w:lastColumn="0" w:noHBand="0" w:noVBand="0"/>
    </w:tblPr>
    <w:tblGrid>
      <w:gridCol w:w="3192"/>
      <w:gridCol w:w="3192"/>
      <w:gridCol w:w="3192"/>
    </w:tblGrid>
    <w:tr w:rsidR="008A73BA" w14:paraId="0351F0F2" w14:textId="77777777">
      <w:trPr>
        <w:jc w:val="center"/>
      </w:trPr>
      <w:tc>
        <w:tcPr>
          <w:tcW w:w="3192" w:type="dxa"/>
          <w:vAlign w:val="center"/>
        </w:tcPr>
        <w:p w14:paraId="36FE4F87" w14:textId="2E85A2BB" w:rsidR="008A73BA" w:rsidRDefault="008A73BA">
          <w:pPr>
            <w:rPr>
              <w:sz w:val="16"/>
            </w:rPr>
          </w:pPr>
        </w:p>
      </w:tc>
      <w:tc>
        <w:tcPr>
          <w:tcW w:w="3192" w:type="dxa"/>
        </w:tcPr>
        <w:p w14:paraId="553DC14A" w14:textId="152755E5" w:rsidR="008A73BA" w:rsidRDefault="008A73BA">
          <w:pPr>
            <w:jc w:val="center"/>
          </w:pPr>
          <w:r>
            <w:fldChar w:fldCharType="begin"/>
          </w:r>
          <w:r>
            <w:instrText xml:space="preserve"> PAGE </w:instrText>
          </w:r>
          <w:r>
            <w:fldChar w:fldCharType="separate"/>
          </w:r>
          <w:r w:rsidR="00BD4D9A">
            <w:rPr>
              <w:noProof/>
            </w:rPr>
            <w:t>1</w:t>
          </w:r>
          <w:r>
            <w:fldChar w:fldCharType="end"/>
          </w:r>
        </w:p>
      </w:tc>
      <w:tc>
        <w:tcPr>
          <w:tcW w:w="3192" w:type="dxa"/>
          <w:vAlign w:val="center"/>
        </w:tcPr>
        <w:p w14:paraId="3D2D0628" w14:textId="307CDD11" w:rsidR="008A73BA" w:rsidRDefault="008A73BA">
          <w:pPr>
            <w:jc w:val="right"/>
            <w:rPr>
              <w:sz w:val="16"/>
            </w:rPr>
          </w:pPr>
          <w:r>
            <w:rPr>
              <w:sz w:val="16"/>
            </w:rPr>
            <w:t xml:space="preserve"> </w:t>
          </w:r>
        </w:p>
      </w:tc>
    </w:tr>
  </w:tbl>
  <w:p w14:paraId="7995212B" w14:textId="77777777" w:rsidR="008A73BA" w:rsidRDefault="008A73B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DC25" w14:textId="2138EEB5" w:rsidR="008A73BA" w:rsidRDefault="008A73BA">
    <w:pPr>
      <w:spacing w:before="140" w:line="100" w:lineRule="exact"/>
      <w:rPr>
        <w:sz w:val="10"/>
      </w:rPr>
    </w:pPr>
  </w:p>
  <w:p w14:paraId="3EA605EF" w14:textId="6ADC277F" w:rsidR="0069439C" w:rsidRPr="008B319A" w:rsidRDefault="0069439C" w:rsidP="0069439C">
    <w:pPr>
      <w:rPr>
        <w:sz w:val="16"/>
        <w:szCs w:val="16"/>
      </w:rPr>
    </w:pPr>
  </w:p>
  <w:tbl>
    <w:tblPr>
      <w:tblW w:w="0" w:type="auto"/>
      <w:jc w:val="center"/>
      <w:tblLayout w:type="fixed"/>
      <w:tblLook w:val="0000" w:firstRow="0" w:lastRow="0" w:firstColumn="0" w:lastColumn="0" w:noHBand="0" w:noVBand="0"/>
    </w:tblPr>
    <w:tblGrid>
      <w:gridCol w:w="3192"/>
      <w:gridCol w:w="3192"/>
      <w:gridCol w:w="3192"/>
    </w:tblGrid>
    <w:tr w:rsidR="0069439C" w14:paraId="014ACB53" w14:textId="77777777" w:rsidTr="00E75B0B">
      <w:trPr>
        <w:jc w:val="center"/>
      </w:trPr>
      <w:tc>
        <w:tcPr>
          <w:tcW w:w="3192" w:type="dxa"/>
          <w:vAlign w:val="center"/>
        </w:tcPr>
        <w:p w14:paraId="023E80FD" w14:textId="7D32C63A" w:rsidR="0069439C" w:rsidRDefault="0069439C" w:rsidP="0069439C">
          <w:pPr>
            <w:rPr>
              <w:sz w:val="16"/>
            </w:rPr>
          </w:pPr>
        </w:p>
      </w:tc>
      <w:tc>
        <w:tcPr>
          <w:tcW w:w="3192" w:type="dxa"/>
        </w:tcPr>
        <w:p w14:paraId="32E71140" w14:textId="2A589DDA" w:rsidR="0069439C" w:rsidRDefault="0069439C" w:rsidP="0069439C">
          <w:pPr>
            <w:jc w:val="center"/>
          </w:pPr>
          <w:r>
            <w:fldChar w:fldCharType="begin"/>
          </w:r>
          <w:r>
            <w:instrText xml:space="preserve"> PAGE </w:instrText>
          </w:r>
          <w:r>
            <w:fldChar w:fldCharType="separate"/>
          </w:r>
          <w:r>
            <w:t>2</w:t>
          </w:r>
          <w:r>
            <w:fldChar w:fldCharType="end"/>
          </w:r>
        </w:p>
      </w:tc>
      <w:tc>
        <w:tcPr>
          <w:tcW w:w="3192" w:type="dxa"/>
          <w:vAlign w:val="center"/>
        </w:tcPr>
        <w:p w14:paraId="658D8596" w14:textId="011DF337" w:rsidR="0069439C" w:rsidRDefault="0069439C" w:rsidP="0069439C">
          <w:pPr>
            <w:jc w:val="right"/>
            <w:rPr>
              <w:sz w:val="16"/>
            </w:rPr>
          </w:pPr>
          <w:r>
            <w:rPr>
              <w:sz w:val="16"/>
            </w:rPr>
            <w:t xml:space="preserve">  </w:t>
          </w:r>
        </w:p>
      </w:tc>
    </w:tr>
  </w:tbl>
  <w:p w14:paraId="2D66DDFC" w14:textId="77777777" w:rsidR="0069439C" w:rsidRDefault="0069439C" w:rsidP="006943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27A50" w14:textId="77777777" w:rsidR="005E6375" w:rsidRDefault="005E6375">
      <w:r>
        <w:separator/>
      </w:r>
    </w:p>
  </w:footnote>
  <w:footnote w:type="continuationSeparator" w:id="0">
    <w:p w14:paraId="128318C2" w14:textId="77777777" w:rsidR="005E6375" w:rsidRDefault="005E6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82445"/>
    <w:multiLevelType w:val="singleLevel"/>
    <w:tmpl w:val="02F616F4"/>
    <w:lvl w:ilvl="0">
      <w:start w:val="1"/>
      <w:numFmt w:val="decimal"/>
      <w:pStyle w:val="FlushLeftDoublewParaNum"/>
      <w:lvlText w:val="%1."/>
      <w:lvlJc w:val="left"/>
      <w:pPr>
        <w:tabs>
          <w:tab w:val="num" w:pos="360"/>
        </w:tabs>
        <w:ind w:left="0" w:firstLine="0"/>
      </w:pPr>
      <w:rPr>
        <w:rFonts w:ascii="Times New Roman" w:hAnsi="Times New Roman" w:hint="default"/>
        <w:b w:val="0"/>
        <w:i w:val="0"/>
        <w:sz w:val="24"/>
      </w:rPr>
    </w:lvl>
  </w:abstractNum>
  <w:abstractNum w:abstractNumId="1" w15:restartNumberingAfterBreak="0">
    <w:nsid w:val="4E943911"/>
    <w:multiLevelType w:val="multilevel"/>
    <w:tmpl w:val="07D273EA"/>
    <w:lvl w:ilvl="0">
      <w:start w:val="1"/>
      <w:numFmt w:val="decimal"/>
      <w:lvlText w:val="%1)"/>
      <w:lvlJc w:val="left"/>
      <w:pPr>
        <w:tabs>
          <w:tab w:val="num" w:pos="360"/>
        </w:tabs>
        <w:ind w:left="360" w:hanging="360"/>
      </w:pPr>
    </w:lvl>
    <w:lvl w:ilvl="1">
      <w:start w:val="1"/>
      <w:numFmt w:val="lowerLetter"/>
      <w:pStyle w:val="HeadingPoint"/>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4F441EA6"/>
    <w:multiLevelType w:val="singleLevel"/>
    <w:tmpl w:val="15CECF0C"/>
    <w:lvl w:ilvl="0">
      <w:start w:val="1"/>
      <w:numFmt w:val="decimal"/>
      <w:pStyle w:val="FlushLeftwParaNum"/>
      <w:lvlText w:val="%1."/>
      <w:lvlJc w:val="left"/>
      <w:pPr>
        <w:tabs>
          <w:tab w:val="num" w:pos="360"/>
        </w:tabs>
        <w:ind w:left="0" w:firstLine="0"/>
      </w:pPr>
      <w:rPr>
        <w:rFonts w:ascii="Times New Roman" w:hAnsi="Times New Roman" w:hint="default"/>
        <w:b w:val="0"/>
        <w:i w:val="0"/>
        <w:sz w:val="24"/>
      </w:rPr>
    </w:lvl>
  </w:abstractNum>
  <w:abstractNum w:abstractNumId="3" w15:restartNumberingAfterBreak="0">
    <w:nsid w:val="669F3840"/>
    <w:multiLevelType w:val="singleLevel"/>
    <w:tmpl w:val="90D0EA74"/>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num w:numId="1" w16cid:durableId="193737834">
    <w:abstractNumId w:val="0"/>
  </w:num>
  <w:num w:numId="2" w16cid:durableId="2100060860">
    <w:abstractNumId w:val="2"/>
  </w:num>
  <w:num w:numId="3" w16cid:durableId="207257053">
    <w:abstractNumId w:val="1"/>
  </w:num>
  <w:num w:numId="4" w16cid:durableId="1332297524">
    <w:abstractNumId w:val="3"/>
  </w:num>
  <w:num w:numId="5" w16cid:durableId="20077076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X97_1" w:val="locallaw-l04.doc"/>
    <w:docVar w:name="DOCX97_10" w:val="10/6/99 12:50:12 PM"/>
    <w:docVar w:name="DOCX97_2" w:val="j:\checked - sue only\legalcnl\locallaw-l04.doc"/>
    <w:docVar w:name="DOCX97_3" w:val="WORD8"/>
    <w:docVar w:name="DOCX97_4" w:val="j:\checked - sue only\legalcnl\locallaw-l04.doc"/>
    <w:docVar w:name="DOCX97_5" w:val=" 28160"/>
    <w:docVar w:name="DOCX97_89" w:val="Word8MacrosDone"/>
    <w:docVar w:name="DOCX97_91" w:val="StandardDocX"/>
    <w:docVar w:name="DOCX97_92" w:val="10/19/99"/>
    <w:docVar w:name="DOCX97_93" w:val="12:36:54 PM"/>
  </w:docVars>
  <w:rsids>
    <w:rsidRoot w:val="008A73BA"/>
    <w:rsid w:val="00005856"/>
    <w:rsid w:val="000364D9"/>
    <w:rsid w:val="000656AB"/>
    <w:rsid w:val="00067374"/>
    <w:rsid w:val="00070DD8"/>
    <w:rsid w:val="000B4633"/>
    <w:rsid w:val="000D145A"/>
    <w:rsid w:val="00102101"/>
    <w:rsid w:val="001517B8"/>
    <w:rsid w:val="00157E30"/>
    <w:rsid w:val="001737D9"/>
    <w:rsid w:val="00180F8A"/>
    <w:rsid w:val="00196B7A"/>
    <w:rsid w:val="001A25B4"/>
    <w:rsid w:val="001C06B3"/>
    <w:rsid w:val="001E091C"/>
    <w:rsid w:val="001E659B"/>
    <w:rsid w:val="00204F72"/>
    <w:rsid w:val="00221B58"/>
    <w:rsid w:val="00250121"/>
    <w:rsid w:val="002914AC"/>
    <w:rsid w:val="002B0C75"/>
    <w:rsid w:val="002B2193"/>
    <w:rsid w:val="002C354A"/>
    <w:rsid w:val="002E5279"/>
    <w:rsid w:val="002F1046"/>
    <w:rsid w:val="00333788"/>
    <w:rsid w:val="00342C39"/>
    <w:rsid w:val="00361237"/>
    <w:rsid w:val="003643CC"/>
    <w:rsid w:val="003C14EC"/>
    <w:rsid w:val="003C4E69"/>
    <w:rsid w:val="003E7520"/>
    <w:rsid w:val="00406049"/>
    <w:rsid w:val="00450017"/>
    <w:rsid w:val="004879FB"/>
    <w:rsid w:val="0049161E"/>
    <w:rsid w:val="004B5A62"/>
    <w:rsid w:val="004C1FCC"/>
    <w:rsid w:val="004F0401"/>
    <w:rsid w:val="00501C35"/>
    <w:rsid w:val="00513573"/>
    <w:rsid w:val="005357C2"/>
    <w:rsid w:val="00550193"/>
    <w:rsid w:val="00554630"/>
    <w:rsid w:val="0058171E"/>
    <w:rsid w:val="005E1011"/>
    <w:rsid w:val="005E6375"/>
    <w:rsid w:val="00612851"/>
    <w:rsid w:val="00643C2F"/>
    <w:rsid w:val="00660E70"/>
    <w:rsid w:val="00667C9D"/>
    <w:rsid w:val="0069439C"/>
    <w:rsid w:val="006A6230"/>
    <w:rsid w:val="006A7738"/>
    <w:rsid w:val="006D12A3"/>
    <w:rsid w:val="006D7D75"/>
    <w:rsid w:val="006E39E6"/>
    <w:rsid w:val="007619C6"/>
    <w:rsid w:val="007C3BD3"/>
    <w:rsid w:val="007E765C"/>
    <w:rsid w:val="00816A76"/>
    <w:rsid w:val="00846B3B"/>
    <w:rsid w:val="00851EAF"/>
    <w:rsid w:val="008A73BA"/>
    <w:rsid w:val="008B2A84"/>
    <w:rsid w:val="008B319A"/>
    <w:rsid w:val="008C7D8B"/>
    <w:rsid w:val="008D0C87"/>
    <w:rsid w:val="00907B69"/>
    <w:rsid w:val="009209F2"/>
    <w:rsid w:val="00932C2E"/>
    <w:rsid w:val="00963905"/>
    <w:rsid w:val="00970DE1"/>
    <w:rsid w:val="00990E5C"/>
    <w:rsid w:val="009A02F6"/>
    <w:rsid w:val="009A03FA"/>
    <w:rsid w:val="009A62A2"/>
    <w:rsid w:val="009D45AB"/>
    <w:rsid w:val="00A26731"/>
    <w:rsid w:val="00A4748F"/>
    <w:rsid w:val="00A604FF"/>
    <w:rsid w:val="00A65993"/>
    <w:rsid w:val="00AA66A8"/>
    <w:rsid w:val="00AF46C2"/>
    <w:rsid w:val="00B16EEF"/>
    <w:rsid w:val="00B25193"/>
    <w:rsid w:val="00B31368"/>
    <w:rsid w:val="00B3676E"/>
    <w:rsid w:val="00B369B4"/>
    <w:rsid w:val="00B55A4C"/>
    <w:rsid w:val="00B65924"/>
    <w:rsid w:val="00B7199F"/>
    <w:rsid w:val="00B818C0"/>
    <w:rsid w:val="00BD4D9A"/>
    <w:rsid w:val="00C06A3C"/>
    <w:rsid w:val="00C25673"/>
    <w:rsid w:val="00C9446B"/>
    <w:rsid w:val="00CA6C6E"/>
    <w:rsid w:val="00CE0CB9"/>
    <w:rsid w:val="00D038FF"/>
    <w:rsid w:val="00D15319"/>
    <w:rsid w:val="00D24D34"/>
    <w:rsid w:val="00D26940"/>
    <w:rsid w:val="00D93D06"/>
    <w:rsid w:val="00DC69FF"/>
    <w:rsid w:val="00E04CCF"/>
    <w:rsid w:val="00E64519"/>
    <w:rsid w:val="00E9032C"/>
    <w:rsid w:val="00E910D7"/>
    <w:rsid w:val="00EA226D"/>
    <w:rsid w:val="00EC0145"/>
    <w:rsid w:val="00EE6B4F"/>
    <w:rsid w:val="00F05630"/>
    <w:rsid w:val="00F40067"/>
    <w:rsid w:val="00F57AFE"/>
    <w:rsid w:val="00F905E6"/>
    <w:rsid w:val="00F922F4"/>
    <w:rsid w:val="00FF7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73EE68"/>
  <w15:chartTrackingRefBased/>
  <w15:docId w15:val="{C3C98EEB-6F99-463E-AABE-D9A6226F1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rPr>
  </w:style>
  <w:style w:type="paragraph" w:styleId="Heading1">
    <w:name w:val="heading 1"/>
    <w:basedOn w:val="Normal"/>
    <w:next w:val="SingleSpaceParagraph"/>
    <w:qFormat/>
    <w:pPr>
      <w:keepNext/>
      <w:spacing w:after="240"/>
      <w:jc w:val="center"/>
      <w:outlineLvl w:val="0"/>
    </w:pPr>
  </w:style>
  <w:style w:type="paragraph" w:styleId="Heading2">
    <w:name w:val="heading 2"/>
    <w:basedOn w:val="Normal"/>
    <w:next w:val="SingleSpaceParagraph"/>
    <w:qFormat/>
    <w:pPr>
      <w:keepNext/>
      <w:spacing w:after="240"/>
      <w:jc w:val="center"/>
      <w:outlineLvl w:val="1"/>
    </w:pPr>
    <w:rPr>
      <w:b/>
    </w:rPr>
  </w:style>
  <w:style w:type="paragraph" w:styleId="Heading3">
    <w:name w:val="heading 3"/>
    <w:basedOn w:val="Normal"/>
    <w:next w:val="DoubleSpaceParagaph"/>
    <w:qFormat/>
    <w:pPr>
      <w:keepNext/>
      <w:tabs>
        <w:tab w:val="num" w:pos="720"/>
      </w:tabs>
      <w:spacing w:after="240"/>
      <w:ind w:left="720" w:hanging="720"/>
      <w:jc w:val="center"/>
      <w:outlineLvl w:val="2"/>
    </w:pPr>
    <w:rPr>
      <w:b/>
      <w:caps/>
    </w:rPr>
  </w:style>
  <w:style w:type="paragraph" w:styleId="Heading4">
    <w:name w:val="heading 4"/>
    <w:basedOn w:val="Normal"/>
    <w:next w:val="DoubleSpaceParagaph"/>
    <w:qFormat/>
    <w:pPr>
      <w:keepNext/>
      <w:tabs>
        <w:tab w:val="num" w:pos="720"/>
      </w:tabs>
      <w:spacing w:after="240"/>
      <w:ind w:left="720" w:hanging="720"/>
      <w:jc w:val="center"/>
      <w:outlineLvl w:val="3"/>
    </w:pPr>
    <w:rPr>
      <w:b/>
      <w:caps/>
      <w:u w:val="single"/>
    </w:rPr>
  </w:style>
  <w:style w:type="paragraph" w:styleId="Heading5">
    <w:name w:val="heading 5"/>
    <w:basedOn w:val="Normal"/>
    <w:next w:val="BlockNarrowBold"/>
    <w:qFormat/>
    <w:pPr>
      <w:keepNext/>
      <w:tabs>
        <w:tab w:val="num" w:pos="720"/>
      </w:tabs>
      <w:spacing w:after="240"/>
      <w:ind w:left="720" w:hanging="720"/>
      <w:jc w:val="center"/>
      <w:outlineLvl w:val="4"/>
    </w:pPr>
    <w:rPr>
      <w:b/>
      <w:caps/>
      <w:u w:val="single"/>
    </w:rPr>
  </w:style>
  <w:style w:type="paragraph" w:styleId="Heading6">
    <w:name w:val="heading 6"/>
    <w:basedOn w:val="Normal"/>
    <w:next w:val="Heading4"/>
    <w:qFormat/>
    <w:pPr>
      <w:tabs>
        <w:tab w:val="num" w:pos="720"/>
      </w:tabs>
      <w:spacing w:after="480"/>
      <w:ind w:left="720" w:hanging="720"/>
      <w:jc w:val="right"/>
      <w:outlineLvl w:val="5"/>
    </w:pPr>
    <w:rPr>
      <w:rFonts w:ascii="Times New Roman Bold" w:hAnsi="Times New Roman Bold"/>
      <w:b/>
      <w:caps/>
    </w:rPr>
  </w:style>
  <w:style w:type="paragraph" w:styleId="Heading7">
    <w:name w:val="heading 7"/>
    <w:basedOn w:val="Normal"/>
    <w:next w:val="Normal"/>
    <w:qFormat/>
    <w:pPr>
      <w:tabs>
        <w:tab w:val="num" w:pos="720"/>
      </w:tabs>
      <w:spacing w:before="240" w:after="60"/>
      <w:ind w:left="720" w:hanging="720"/>
      <w:outlineLvl w:val="6"/>
    </w:pPr>
    <w:rPr>
      <w:rFonts w:ascii="Arial" w:hAnsi="Arial"/>
      <w:sz w:val="20"/>
    </w:rPr>
  </w:style>
  <w:style w:type="paragraph" w:styleId="Heading8">
    <w:name w:val="heading 8"/>
    <w:basedOn w:val="Normal"/>
    <w:next w:val="Normal"/>
    <w:qFormat/>
    <w:pPr>
      <w:tabs>
        <w:tab w:val="num" w:pos="720"/>
      </w:tabs>
      <w:spacing w:before="240" w:after="60"/>
      <w:ind w:left="720" w:hanging="720"/>
      <w:outlineLvl w:val="7"/>
    </w:pPr>
    <w:rPr>
      <w:rFonts w:ascii="Arial" w:hAnsi="Arial"/>
      <w:i/>
      <w:sz w:val="20"/>
    </w:rPr>
  </w:style>
  <w:style w:type="paragraph" w:styleId="Heading9">
    <w:name w:val="heading 9"/>
    <w:basedOn w:val="Normal"/>
    <w:next w:val="Normal"/>
    <w:qFormat/>
    <w:pPr>
      <w:tabs>
        <w:tab w:val="num" w:pos="1440"/>
      </w:tabs>
      <w:spacing w:before="240" w:after="60"/>
      <w:ind w:left="1440" w:hanging="72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lushLeft">
    <w:name w:val="Flush Left"/>
    <w:aliases w:val="FL"/>
    <w:basedOn w:val="Normal"/>
    <w:pPr>
      <w:spacing w:after="240"/>
      <w:jc w:val="both"/>
    </w:pPr>
  </w:style>
  <w:style w:type="paragraph" w:customStyle="1" w:styleId="BlockIndent">
    <w:name w:val="Block Indent"/>
    <w:aliases w:val="BI"/>
    <w:basedOn w:val="FlushLeft"/>
    <w:pPr>
      <w:ind w:left="5040"/>
    </w:pPr>
  </w:style>
  <w:style w:type="paragraph" w:customStyle="1" w:styleId="BlockLeft">
    <w:name w:val="Block Left"/>
    <w:aliases w:val="BL"/>
    <w:basedOn w:val="Normal"/>
    <w:next w:val="SignatureLeft"/>
    <w:pPr>
      <w:spacing w:before="720" w:after="480"/>
    </w:pPr>
  </w:style>
  <w:style w:type="paragraph" w:customStyle="1" w:styleId="BlockNarrowBold">
    <w:name w:val="Block Narrow Bold"/>
    <w:aliases w:val="BNB"/>
    <w:basedOn w:val="Normal"/>
    <w:next w:val="DoubleSpaceParagaph"/>
    <w:pPr>
      <w:tabs>
        <w:tab w:val="left" w:pos="7200"/>
      </w:tabs>
      <w:spacing w:after="240"/>
      <w:ind w:left="2160" w:right="2160"/>
      <w:jc w:val="both"/>
      <w:outlineLvl w:val="2"/>
    </w:pPr>
    <w:rPr>
      <w:b/>
      <w:caps/>
    </w:rPr>
  </w:style>
  <w:style w:type="paragraph" w:customStyle="1" w:styleId="BlockNarrowUnderline">
    <w:name w:val="Block Narrow Underline"/>
    <w:aliases w:val="BNU"/>
    <w:basedOn w:val="Normal"/>
    <w:next w:val="Normal"/>
    <w:pPr>
      <w:pBdr>
        <w:bottom w:val="single" w:sz="4" w:space="1" w:color="auto"/>
      </w:pBdr>
      <w:spacing w:after="240"/>
      <w:ind w:left="2160" w:right="2160"/>
      <w:jc w:val="both"/>
      <w:outlineLvl w:val="2"/>
    </w:pPr>
    <w:rPr>
      <w:b/>
      <w:caps/>
    </w:rPr>
  </w:style>
  <w:style w:type="paragraph" w:customStyle="1" w:styleId="BlockNarrow">
    <w:name w:val="Block Narrow"/>
    <w:aliases w:val="BN"/>
    <w:basedOn w:val="Normal"/>
    <w:next w:val="FlushLeftDouble"/>
    <w:pPr>
      <w:spacing w:after="240"/>
      <w:ind w:left="2160" w:right="2160"/>
      <w:jc w:val="both"/>
      <w:outlineLvl w:val="2"/>
    </w:pPr>
  </w:style>
  <w:style w:type="paragraph" w:customStyle="1" w:styleId="BlockRight">
    <w:name w:val="Block Right"/>
    <w:aliases w:val="BR"/>
    <w:basedOn w:val="Normal"/>
    <w:next w:val="CaptionHeading"/>
    <w:pPr>
      <w:spacing w:after="240"/>
      <w:ind w:left="5040"/>
      <w:jc w:val="both"/>
    </w:pPr>
  </w:style>
  <w:style w:type="paragraph" w:customStyle="1" w:styleId="BlockWideUnderline">
    <w:name w:val="Block Wide Underline"/>
    <w:aliases w:val="BWU"/>
    <w:basedOn w:val="Normal"/>
    <w:next w:val="DoubleSpaceParagaph"/>
    <w:pPr>
      <w:pBdr>
        <w:bottom w:val="single" w:sz="4" w:space="1" w:color="auto"/>
      </w:pBdr>
      <w:spacing w:after="240"/>
      <w:ind w:left="1440" w:right="1440"/>
      <w:jc w:val="both"/>
      <w:outlineLvl w:val="2"/>
    </w:pPr>
  </w:style>
  <w:style w:type="paragraph" w:customStyle="1" w:styleId="BlockWide">
    <w:name w:val="Block Wide"/>
    <w:aliases w:val="BW"/>
    <w:basedOn w:val="Normal"/>
    <w:next w:val="DoubleSpaceParagaph"/>
    <w:pPr>
      <w:spacing w:after="240"/>
      <w:ind w:left="1440" w:right="1440"/>
      <w:jc w:val="both"/>
    </w:pPr>
  </w:style>
  <w:style w:type="paragraph" w:styleId="BodyText">
    <w:name w:val="Body Text"/>
    <w:basedOn w:val="Normal"/>
    <w:pPr>
      <w:spacing w:after="120"/>
    </w:pPr>
  </w:style>
  <w:style w:type="paragraph" w:customStyle="1" w:styleId="By">
    <w:name w:val="By"/>
    <w:basedOn w:val="Normal"/>
    <w:next w:val="ByLine"/>
    <w:pPr>
      <w:ind w:left="4320"/>
    </w:pPr>
  </w:style>
  <w:style w:type="paragraph" w:customStyle="1" w:styleId="ByLine">
    <w:name w:val="By Line"/>
    <w:aliases w:val="ByL"/>
    <w:basedOn w:val="Normal"/>
    <w:next w:val="FlushLeft"/>
    <w:pPr>
      <w:pBdr>
        <w:top w:val="single" w:sz="4" w:space="1" w:color="auto"/>
      </w:pBdr>
      <w:spacing w:after="720"/>
      <w:ind w:left="5040"/>
    </w:pPr>
  </w:style>
  <w:style w:type="paragraph" w:styleId="Caption">
    <w:name w:val="caption"/>
    <w:basedOn w:val="Normal"/>
    <w:next w:val="Normal"/>
    <w:qFormat/>
    <w:pPr>
      <w:spacing w:before="120" w:after="120"/>
    </w:pPr>
    <w:rPr>
      <w:b/>
    </w:rPr>
  </w:style>
  <w:style w:type="paragraph" w:customStyle="1" w:styleId="CaptionAgainst">
    <w:name w:val="Caption Against"/>
    <w:aliases w:val="CA"/>
    <w:basedOn w:val="Normal"/>
    <w:next w:val="CaptionText"/>
    <w:pPr>
      <w:spacing w:after="240"/>
      <w:jc w:val="center"/>
    </w:pPr>
  </w:style>
  <w:style w:type="paragraph" w:customStyle="1" w:styleId="CaptionBottomLine">
    <w:name w:val="Caption Bottom Line"/>
    <w:aliases w:val="CBL"/>
    <w:basedOn w:val="Normal"/>
    <w:next w:val="DoubleSpaceParagaph"/>
    <w:pPr>
      <w:spacing w:after="480"/>
    </w:pPr>
  </w:style>
  <w:style w:type="paragraph" w:customStyle="1" w:styleId="CaptionDocument">
    <w:name w:val="Caption Document"/>
    <w:aliases w:val="CD"/>
    <w:basedOn w:val="Normal"/>
    <w:next w:val="CaptionID"/>
    <w:pPr>
      <w:spacing w:before="720" w:after="240"/>
    </w:pPr>
    <w:rPr>
      <w:rFonts w:ascii="Times New Roman Bold" w:hAnsi="Times New Roman Bold"/>
      <w:b/>
      <w:caps/>
    </w:rPr>
  </w:style>
  <w:style w:type="paragraph" w:customStyle="1" w:styleId="CaptionHeading">
    <w:name w:val="Caption Heading"/>
    <w:aliases w:val="CH"/>
    <w:basedOn w:val="Normal"/>
    <w:next w:val="CaptionTopLine"/>
    <w:rPr>
      <w:caps/>
    </w:rPr>
  </w:style>
  <w:style w:type="paragraph" w:customStyle="1" w:styleId="CaptionID">
    <w:name w:val="Caption ID"/>
    <w:aliases w:val="CI"/>
    <w:basedOn w:val="Normal"/>
    <w:pPr>
      <w:spacing w:after="240"/>
    </w:pPr>
  </w:style>
  <w:style w:type="paragraph" w:customStyle="1" w:styleId="CaptionTextRight">
    <w:name w:val="Caption Text Right"/>
    <w:aliases w:val="CTR"/>
    <w:basedOn w:val="Normal"/>
    <w:next w:val="CaptionAgainst"/>
    <w:pPr>
      <w:spacing w:after="240"/>
      <w:jc w:val="right"/>
    </w:pPr>
  </w:style>
  <w:style w:type="paragraph" w:customStyle="1" w:styleId="CaptionText">
    <w:name w:val="Caption Text"/>
    <w:aliases w:val="CT"/>
    <w:basedOn w:val="Normal"/>
    <w:next w:val="CaptionTextRight"/>
    <w:pPr>
      <w:spacing w:after="240"/>
    </w:pPr>
  </w:style>
  <w:style w:type="paragraph" w:customStyle="1" w:styleId="CaptionTopLine">
    <w:name w:val="Caption Top Line"/>
    <w:aliases w:val="CTL"/>
    <w:basedOn w:val="Normal"/>
    <w:next w:val="CaptionText"/>
    <w:pPr>
      <w:spacing w:after="240"/>
    </w:pPr>
  </w:style>
  <w:style w:type="paragraph" w:styleId="Closing">
    <w:name w:val="Closing"/>
    <w:aliases w:val="C"/>
    <w:basedOn w:val="Normal"/>
    <w:next w:val="By"/>
    <w:pPr>
      <w:keepLines/>
      <w:spacing w:after="480"/>
      <w:ind w:left="4320"/>
    </w:pPr>
  </w:style>
  <w:style w:type="paragraph" w:customStyle="1" w:styleId="CourtesyCopy">
    <w:name w:val="Courtesy Copy"/>
    <w:aliases w:val="cc"/>
    <w:basedOn w:val="Normal"/>
    <w:pPr>
      <w:keepLines/>
      <w:spacing w:before="240"/>
      <w:ind w:left="720" w:hanging="720"/>
    </w:pPr>
  </w:style>
  <w:style w:type="paragraph" w:styleId="Date">
    <w:name w:val="Date"/>
    <w:basedOn w:val="Normal"/>
    <w:next w:val="Normal"/>
  </w:style>
  <w:style w:type="paragraph" w:customStyle="1" w:styleId="Dated">
    <w:name w:val="Dated"/>
    <w:aliases w:val="D"/>
    <w:basedOn w:val="Normal"/>
    <w:next w:val="Closing"/>
    <w:pPr>
      <w:spacing w:after="480"/>
      <w:ind w:left="1440" w:hanging="1440"/>
    </w:pPr>
  </w:style>
  <w:style w:type="paragraph" w:customStyle="1" w:styleId="SingleSpaceHanging1">
    <w:name w:val="Single Space Hanging 1&quot;"/>
    <w:aliases w:val="SSH1"/>
    <w:basedOn w:val="Normal"/>
    <w:pPr>
      <w:spacing w:after="240"/>
      <w:ind w:left="2160" w:hanging="720"/>
      <w:jc w:val="both"/>
    </w:pPr>
  </w:style>
  <w:style w:type="paragraph" w:customStyle="1" w:styleId="DefinEval">
    <w:name w:val="DefinEval"/>
    <w:aliases w:val="DE"/>
    <w:basedOn w:val="SingleSpaceHanging1"/>
    <w:pPr>
      <w:ind w:left="0" w:firstLine="1440"/>
    </w:pPr>
  </w:style>
  <w:style w:type="paragraph" w:customStyle="1" w:styleId="DocumentTitle">
    <w:name w:val="Document Title"/>
    <w:aliases w:val="DT"/>
    <w:basedOn w:val="Normal"/>
    <w:next w:val="DoubleSpaceParagaph"/>
    <w:pPr>
      <w:tabs>
        <w:tab w:val="left" w:pos="7200"/>
      </w:tabs>
      <w:spacing w:after="240"/>
      <w:ind w:left="2160" w:right="2160"/>
      <w:jc w:val="both"/>
    </w:pPr>
    <w:rPr>
      <w:rFonts w:ascii="Times New Roman Bold" w:hAnsi="Times New Roman Bold"/>
      <w:b/>
      <w:caps/>
    </w:rPr>
  </w:style>
  <w:style w:type="paragraph" w:customStyle="1" w:styleId="DocX97Comment">
    <w:name w:val="DocX97Comment"/>
    <w:basedOn w:val="Normal"/>
    <w:rPr>
      <w:b/>
      <w:i/>
      <w:color w:val="FF0000"/>
      <w:sz w:val="16"/>
    </w:rPr>
  </w:style>
  <w:style w:type="paragraph" w:customStyle="1" w:styleId="DoubleSpaceHanging1">
    <w:name w:val="Double Space Hanging 1&quot;"/>
    <w:aliases w:val="DSH1"/>
    <w:basedOn w:val="Normal"/>
    <w:pPr>
      <w:spacing w:after="240" w:line="480" w:lineRule="auto"/>
      <w:ind w:left="2160" w:hanging="720"/>
      <w:jc w:val="both"/>
    </w:pPr>
  </w:style>
  <w:style w:type="paragraph" w:customStyle="1" w:styleId="DoubleSpaceHanging15">
    <w:name w:val="Double Space Hanging 1.5&quot;"/>
    <w:aliases w:val="DSH2"/>
    <w:basedOn w:val="Normal"/>
    <w:pPr>
      <w:spacing w:after="240" w:line="480" w:lineRule="auto"/>
      <w:ind w:left="2880" w:hanging="720"/>
      <w:jc w:val="both"/>
    </w:pPr>
  </w:style>
  <w:style w:type="paragraph" w:customStyle="1" w:styleId="DoubleSpaceParagaph">
    <w:name w:val="Double Space Paragaph"/>
    <w:aliases w:val="DS"/>
    <w:basedOn w:val="Normal"/>
    <w:pPr>
      <w:spacing w:line="480" w:lineRule="auto"/>
      <w:ind w:firstLine="1440"/>
      <w:jc w:val="both"/>
    </w:pPr>
  </w:style>
  <w:style w:type="paragraph" w:customStyle="1" w:styleId="DoubleSpaceParagraphwParaNum">
    <w:name w:val="Double Space Paragraph w/Para Num"/>
    <w:aliases w:val="DSN"/>
    <w:basedOn w:val="Normal"/>
    <w:pPr>
      <w:spacing w:line="480" w:lineRule="auto"/>
      <w:jc w:val="both"/>
    </w:pPr>
  </w:style>
  <w:style w:type="paragraph" w:customStyle="1" w:styleId="EndnoteTextMore">
    <w:name w:val="Endnote TextMore"/>
    <w:basedOn w:val="Normal"/>
    <w:pPr>
      <w:spacing w:after="240"/>
    </w:pPr>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0"/>
    </w:rPr>
  </w:style>
  <w:style w:type="paragraph" w:customStyle="1" w:styleId="FlushLeftDoublewParaNum">
    <w:name w:val="Flush Left Double w/Para Num"/>
    <w:aliases w:val="FLDN"/>
    <w:basedOn w:val="Normal"/>
    <w:pPr>
      <w:numPr>
        <w:numId w:val="1"/>
      </w:numPr>
      <w:tabs>
        <w:tab w:val="clear" w:pos="360"/>
      </w:tabs>
      <w:spacing w:line="480" w:lineRule="auto"/>
      <w:jc w:val="both"/>
    </w:pPr>
  </w:style>
  <w:style w:type="paragraph" w:customStyle="1" w:styleId="FlushLeftDouble">
    <w:name w:val="Flush Left Double"/>
    <w:aliases w:val="FLD"/>
    <w:basedOn w:val="Normal"/>
    <w:pPr>
      <w:spacing w:line="480" w:lineRule="auto"/>
      <w:jc w:val="both"/>
    </w:pPr>
  </w:style>
  <w:style w:type="paragraph" w:customStyle="1" w:styleId="FlushLeftwParaNum">
    <w:name w:val="Flush Left w/Para Num"/>
    <w:aliases w:val="FLN"/>
    <w:basedOn w:val="Normal"/>
    <w:pPr>
      <w:numPr>
        <w:numId w:val="2"/>
      </w:numPr>
      <w:tabs>
        <w:tab w:val="clear" w:pos="360"/>
      </w:tabs>
      <w:spacing w:after="240"/>
      <w:jc w:val="both"/>
    </w:pPr>
  </w:style>
  <w:style w:type="paragraph" w:styleId="Footer">
    <w:name w:val="footer"/>
    <w:basedOn w:val="Normal"/>
    <w:link w:val="FooterChar"/>
    <w:uiPriority w:val="99"/>
    <w:pPr>
      <w:tabs>
        <w:tab w:val="center" w:pos="4320"/>
        <w:tab w:val="right" w:pos="8640"/>
      </w:tabs>
    </w:pPr>
    <w:rPr>
      <w:sz w:val="16"/>
    </w:rPr>
  </w:style>
  <w:style w:type="character" w:styleId="FootnoteReference">
    <w:name w:val="footnote reference"/>
    <w:semiHidden/>
    <w:rPr>
      <w:vertAlign w:val="superscript"/>
    </w:rPr>
  </w:style>
  <w:style w:type="paragraph" w:styleId="FootnoteText">
    <w:name w:val="footnote text"/>
    <w:aliases w:val="FT"/>
    <w:basedOn w:val="Normal"/>
    <w:semiHidden/>
    <w:pPr>
      <w:tabs>
        <w:tab w:val="left" w:pos="360"/>
      </w:tabs>
      <w:spacing w:after="240"/>
      <w:jc w:val="both"/>
    </w:pPr>
  </w:style>
  <w:style w:type="paragraph" w:customStyle="1" w:styleId="FootnoteTextMore">
    <w:name w:val="Footnote TextMore"/>
    <w:basedOn w:val="FootnoteText"/>
    <w:pPr>
      <w:suppressAutoHyphens w:val="0"/>
      <w:jc w:val="left"/>
    </w:pPr>
  </w:style>
  <w:style w:type="paragraph" w:styleId="Header">
    <w:name w:val="header"/>
    <w:basedOn w:val="Normal"/>
    <w:pPr>
      <w:tabs>
        <w:tab w:val="center" w:pos="4320"/>
        <w:tab w:val="right" w:pos="8640"/>
      </w:tabs>
    </w:pPr>
  </w:style>
  <w:style w:type="paragraph" w:customStyle="1" w:styleId="HeadingBold">
    <w:name w:val="Heading Bold"/>
    <w:aliases w:val="HCB"/>
    <w:basedOn w:val="Normal"/>
    <w:next w:val="SingleSpaceParagraph"/>
    <w:pPr>
      <w:keepNext/>
      <w:spacing w:after="240"/>
      <w:jc w:val="center"/>
      <w:outlineLvl w:val="0"/>
    </w:pPr>
    <w:rPr>
      <w:rFonts w:ascii="Times New Roman Bold" w:hAnsi="Times New Roman Bold"/>
      <w:b/>
    </w:rPr>
  </w:style>
  <w:style w:type="paragraph" w:customStyle="1" w:styleId="HeadingCaps">
    <w:name w:val="Heading Caps"/>
    <w:aliases w:val="HCC"/>
    <w:basedOn w:val="Normal"/>
    <w:next w:val="DoubleSpaceParagaph"/>
    <w:pPr>
      <w:keepNext/>
      <w:spacing w:after="240"/>
      <w:jc w:val="center"/>
      <w:outlineLvl w:val="0"/>
    </w:pPr>
    <w:rPr>
      <w:rFonts w:ascii="Times New Roman Bold" w:hAnsi="Times New Roman Bold"/>
      <w:b/>
      <w:caps/>
    </w:rPr>
  </w:style>
  <w:style w:type="paragraph" w:customStyle="1" w:styleId="HeadingCenter">
    <w:name w:val="Heading Center"/>
    <w:aliases w:val="HC"/>
    <w:basedOn w:val="Normal"/>
    <w:next w:val="SingleSpaceParagraph"/>
    <w:pPr>
      <w:keepNext/>
      <w:spacing w:after="240"/>
      <w:jc w:val="center"/>
      <w:outlineLvl w:val="0"/>
    </w:pPr>
  </w:style>
  <w:style w:type="paragraph" w:customStyle="1" w:styleId="HeadingLeft">
    <w:name w:val="Heading Left"/>
    <w:aliases w:val="HL"/>
    <w:basedOn w:val="Normal"/>
    <w:next w:val="FlushLeft"/>
    <w:pPr>
      <w:keepNext/>
    </w:pPr>
  </w:style>
  <w:style w:type="paragraph" w:customStyle="1" w:styleId="HeadingPoint">
    <w:name w:val="Heading Point"/>
    <w:aliases w:val="HP"/>
    <w:basedOn w:val="Normal"/>
    <w:next w:val="BlockNarrowBold"/>
    <w:pPr>
      <w:keepNext/>
      <w:numPr>
        <w:ilvl w:val="1"/>
        <w:numId w:val="3"/>
      </w:numPr>
      <w:tabs>
        <w:tab w:val="clear" w:pos="720"/>
      </w:tabs>
      <w:spacing w:after="240"/>
      <w:ind w:left="0" w:firstLine="0"/>
      <w:jc w:val="center"/>
      <w:outlineLvl w:val="1"/>
    </w:pPr>
    <w:rPr>
      <w:rFonts w:ascii="Times New Roman Bold" w:hAnsi="Times New Roman Bold"/>
      <w:b/>
      <w:caps/>
      <w:u w:val="single"/>
    </w:rPr>
  </w:style>
  <w:style w:type="paragraph" w:customStyle="1" w:styleId="HeadingUnderline">
    <w:name w:val="Heading Underline"/>
    <w:aliases w:val="HCU"/>
    <w:basedOn w:val="Normal"/>
    <w:next w:val="DoubleSpaceParagaph"/>
    <w:pPr>
      <w:keepNext/>
      <w:spacing w:after="240"/>
      <w:jc w:val="center"/>
      <w:outlineLvl w:val="0"/>
    </w:pPr>
    <w:rPr>
      <w:rFonts w:ascii="Times New Roman Bold" w:hAnsi="Times New Roman Bold"/>
      <w:b/>
      <w:caps/>
      <w:u w:val="single"/>
    </w:rPr>
  </w:style>
  <w:style w:type="paragraph" w:customStyle="1" w:styleId="InterrogatoryResponse">
    <w:name w:val="Interrogatory Response"/>
    <w:aliases w:val="IR"/>
    <w:basedOn w:val="Normal"/>
    <w:next w:val="DoubleSpaceParagaph"/>
    <w:pPr>
      <w:keepNext/>
      <w:spacing w:after="240"/>
    </w:pPr>
    <w:rPr>
      <w:b/>
      <w:caps/>
      <w:u w:val="single"/>
    </w:rPr>
  </w:style>
  <w:style w:type="paragraph" w:customStyle="1" w:styleId="Interrogatory">
    <w:name w:val="Interrogatory"/>
    <w:aliases w:val="I"/>
    <w:basedOn w:val="Normal"/>
    <w:next w:val="DoubleSpaceParagaph"/>
    <w:pPr>
      <w:keepNext/>
      <w:spacing w:after="240"/>
    </w:pPr>
    <w:rPr>
      <w:b/>
      <w:caps/>
      <w:u w:val="single"/>
    </w:rPr>
  </w:style>
  <w:style w:type="paragraph" w:customStyle="1" w:styleId="LetterAddress">
    <w:name w:val="Letter Address"/>
    <w:aliases w:val="LA"/>
    <w:basedOn w:val="Normal"/>
  </w:style>
  <w:style w:type="paragraph" w:customStyle="1" w:styleId="LetterAuthor">
    <w:name w:val="Letter Author"/>
    <w:aliases w:val="LAu"/>
    <w:basedOn w:val="Normal"/>
    <w:next w:val="CourtesyCopy"/>
    <w:pPr>
      <w:keepLines/>
      <w:spacing w:after="480"/>
      <w:ind w:left="5760"/>
    </w:pPr>
  </w:style>
  <w:style w:type="paragraph" w:customStyle="1" w:styleId="LetterClosing">
    <w:name w:val="Letter Closing"/>
    <w:aliases w:val="LC"/>
    <w:basedOn w:val="Normal"/>
    <w:next w:val="LetterAuthor"/>
    <w:pPr>
      <w:spacing w:before="240" w:after="720"/>
      <w:ind w:left="5760"/>
    </w:pPr>
  </w:style>
  <w:style w:type="paragraph" w:customStyle="1" w:styleId="LetterDate">
    <w:name w:val="Letter Date"/>
    <w:aliases w:val="LD"/>
    <w:basedOn w:val="Normal"/>
    <w:next w:val="LetterAddress"/>
    <w:pPr>
      <w:spacing w:after="720"/>
      <w:ind w:left="5760"/>
    </w:pPr>
  </w:style>
  <w:style w:type="paragraph" w:customStyle="1" w:styleId="LetterRe">
    <w:name w:val="Letter Re"/>
    <w:aliases w:val="LRe"/>
    <w:basedOn w:val="Normal"/>
    <w:next w:val="LetterSalutation"/>
    <w:pPr>
      <w:tabs>
        <w:tab w:val="left" w:pos="1944"/>
      </w:tabs>
      <w:spacing w:before="480" w:after="480"/>
      <w:ind w:left="1944" w:hanging="504"/>
    </w:pPr>
  </w:style>
  <w:style w:type="paragraph" w:customStyle="1" w:styleId="LetterSalutation">
    <w:name w:val="Letter Salutation"/>
    <w:aliases w:val="LS"/>
    <w:basedOn w:val="Normal"/>
    <w:next w:val="SingleSpaceParagraph"/>
    <w:pPr>
      <w:spacing w:after="480"/>
    </w:pPr>
  </w:style>
  <w:style w:type="paragraph" w:customStyle="1" w:styleId="LetterTelephone">
    <w:name w:val="Letter Telephone"/>
    <w:aliases w:val="LT"/>
    <w:basedOn w:val="Normal"/>
    <w:next w:val="LetterDate"/>
    <w:pPr>
      <w:spacing w:before="1680" w:after="480"/>
      <w:jc w:val="right"/>
    </w:pPr>
    <w:rPr>
      <w:sz w:val="20"/>
    </w:rPr>
  </w:style>
  <w:style w:type="paragraph" w:customStyle="1" w:styleId="LocalLawBlock">
    <w:name w:val="Local Law Block"/>
    <w:aliases w:val="LLB"/>
    <w:basedOn w:val="Normal"/>
    <w:next w:val="FlushLeftDouble"/>
    <w:pPr>
      <w:tabs>
        <w:tab w:val="left" w:pos="2160"/>
      </w:tabs>
      <w:spacing w:after="480"/>
      <w:ind w:left="2160" w:right="1008" w:hanging="2160"/>
      <w:jc w:val="both"/>
    </w:pPr>
  </w:style>
  <w:style w:type="paragraph" w:customStyle="1" w:styleId="LocalLawTitle">
    <w:name w:val="Local Law Title"/>
    <w:aliases w:val="LLT"/>
    <w:basedOn w:val="Normal"/>
    <w:next w:val="LocalLawBlock"/>
    <w:pPr>
      <w:keepNext/>
      <w:spacing w:after="480"/>
      <w:jc w:val="right"/>
    </w:pPr>
    <w:rPr>
      <w:rFonts w:ascii="Times New Roman Bold" w:hAnsi="Times New Roman Bold"/>
      <w:b/>
      <w:caps/>
    </w:rPr>
  </w:style>
  <w:style w:type="paragraph" w:customStyle="1" w:styleId="MemoAuthor">
    <w:name w:val="Memo Author"/>
    <w:aliases w:val="MAu"/>
    <w:basedOn w:val="Normal"/>
    <w:next w:val="MemoDate"/>
    <w:pPr>
      <w:spacing w:after="240"/>
    </w:pPr>
  </w:style>
  <w:style w:type="paragraph" w:customStyle="1" w:styleId="MemoDate">
    <w:name w:val="Memo Date"/>
    <w:aliases w:val="MD"/>
    <w:basedOn w:val="Normal"/>
    <w:next w:val="MemoSubject"/>
    <w:pPr>
      <w:spacing w:after="240"/>
    </w:pPr>
    <w:rPr>
      <w:caps/>
    </w:rPr>
  </w:style>
  <w:style w:type="paragraph" w:customStyle="1" w:styleId="MemoLine">
    <w:name w:val="Memo Line"/>
    <w:aliases w:val="ML"/>
    <w:basedOn w:val="Normal"/>
    <w:next w:val="DoubleSpaceParagaph"/>
    <w:pPr>
      <w:spacing w:after="120"/>
    </w:pPr>
  </w:style>
  <w:style w:type="paragraph" w:customStyle="1" w:styleId="MemoSubject">
    <w:name w:val="Memo Subject"/>
    <w:aliases w:val="MS"/>
    <w:basedOn w:val="Normal"/>
    <w:next w:val="MemoLine"/>
    <w:pPr>
      <w:spacing w:after="480"/>
    </w:pPr>
    <w:rPr>
      <w:caps/>
    </w:rPr>
  </w:style>
  <w:style w:type="paragraph" w:customStyle="1" w:styleId="MemoTo">
    <w:name w:val="Memo To"/>
    <w:aliases w:val="MT"/>
    <w:basedOn w:val="Normal"/>
    <w:next w:val="MemoAuthor"/>
    <w:pPr>
      <w:spacing w:before="480" w:after="240"/>
    </w:pPr>
  </w:style>
  <w:style w:type="character" w:styleId="PageNumber">
    <w:name w:val="page number"/>
    <w:basedOn w:val="DefaultParagraphFont"/>
  </w:style>
  <w:style w:type="character" w:customStyle="1" w:styleId="ParaNum">
    <w:name w:val="ParaNum"/>
    <w:basedOn w:val="DefaultParagraphFont"/>
  </w:style>
  <w:style w:type="paragraph" w:customStyle="1" w:styleId="Quote1">
    <w:name w:val="Quote1"/>
    <w:aliases w:val="Q"/>
    <w:basedOn w:val="Normal"/>
    <w:next w:val="FlushLeftDouble"/>
    <w:pPr>
      <w:spacing w:after="240"/>
      <w:ind w:left="2160" w:right="2160"/>
      <w:jc w:val="both"/>
    </w:pPr>
  </w:style>
  <w:style w:type="paragraph" w:customStyle="1" w:styleId="SignatureBlock">
    <w:name w:val="Signature Block"/>
    <w:aliases w:val="SB"/>
    <w:basedOn w:val="Normal"/>
    <w:next w:val="FlushLeft"/>
    <w:pPr>
      <w:pBdr>
        <w:top w:val="single" w:sz="4" w:space="1" w:color="auto"/>
      </w:pBdr>
      <w:spacing w:after="720"/>
      <w:ind w:left="5040"/>
    </w:pPr>
    <w:rPr>
      <w:caps/>
    </w:rPr>
  </w:style>
  <w:style w:type="paragraph" w:customStyle="1" w:styleId="SignatureLeft">
    <w:name w:val="Signature Left"/>
    <w:aliases w:val="SL"/>
    <w:basedOn w:val="Normal"/>
    <w:next w:val="Normal"/>
    <w:pPr>
      <w:pBdr>
        <w:top w:val="single" w:sz="4" w:space="1" w:color="auto"/>
      </w:pBdr>
      <w:spacing w:after="240"/>
      <w:ind w:right="5760"/>
    </w:pPr>
  </w:style>
  <w:style w:type="paragraph" w:customStyle="1" w:styleId="SingleSpaceHanging15">
    <w:name w:val="Single Space Hanging 1.5&quot;"/>
    <w:aliases w:val="SSH2"/>
    <w:basedOn w:val="Normal"/>
    <w:pPr>
      <w:spacing w:after="240"/>
      <w:ind w:left="2880" w:hanging="720"/>
      <w:jc w:val="both"/>
    </w:pPr>
  </w:style>
  <w:style w:type="paragraph" w:customStyle="1" w:styleId="SingleSpaceParagraphwParaNum">
    <w:name w:val="Single Space Paragraph w/Para Num"/>
    <w:aliases w:val="SSN"/>
    <w:basedOn w:val="Normal"/>
    <w:pPr>
      <w:numPr>
        <w:numId w:val="4"/>
      </w:numPr>
      <w:tabs>
        <w:tab w:val="clear" w:pos="1800"/>
      </w:tabs>
      <w:spacing w:after="240"/>
      <w:jc w:val="both"/>
    </w:pPr>
  </w:style>
  <w:style w:type="paragraph" w:customStyle="1" w:styleId="SingleSpaceParagraph">
    <w:name w:val="Single Space Paragraph"/>
    <w:aliases w:val="SS"/>
    <w:basedOn w:val="Normal"/>
    <w:pPr>
      <w:spacing w:after="240"/>
      <w:ind w:firstLine="1440"/>
      <w:jc w:val="both"/>
    </w:pPr>
  </w:style>
  <w:style w:type="paragraph" w:customStyle="1" w:styleId="SSBlock">
    <w:name w:val="SS_Block"/>
    <w:aliases w:val="SSB"/>
    <w:basedOn w:val="Normal"/>
    <w:next w:val="DoubleSpaceParagaph"/>
    <w:pPr>
      <w:keepLines/>
      <w:tabs>
        <w:tab w:val="left" w:pos="3168"/>
        <w:tab w:val="left" w:pos="3600"/>
      </w:tabs>
      <w:spacing w:before="240" w:after="480"/>
    </w:pPr>
    <w:rPr>
      <w:caps/>
    </w:rPr>
  </w:style>
  <w:style w:type="paragraph" w:customStyle="1" w:styleId="SubHeading">
    <w:name w:val="Sub Heading"/>
    <w:aliases w:val="SH"/>
    <w:basedOn w:val="Normal"/>
    <w:next w:val="DoubleSpaceParagaph"/>
    <w:pPr>
      <w:numPr>
        <w:ilvl w:val="3"/>
        <w:numId w:val="5"/>
      </w:numPr>
      <w:tabs>
        <w:tab w:val="right" w:pos="9360"/>
      </w:tabs>
      <w:spacing w:after="240"/>
      <w:jc w:val="both"/>
      <w:outlineLvl w:val="3"/>
    </w:pPr>
    <w:rPr>
      <w:rFonts w:ascii="Times New Roman Bold" w:hAnsi="Times New Roman Bold"/>
      <w:b/>
    </w:rPr>
  </w:style>
  <w:style w:type="paragraph" w:styleId="TOAHeading">
    <w:name w:val="toa heading"/>
    <w:basedOn w:val="Normal"/>
    <w:next w:val="Normal"/>
    <w:semiHidden/>
    <w:rPr>
      <w:b/>
    </w:rPr>
  </w:style>
  <w:style w:type="paragraph" w:styleId="TOC1">
    <w:name w:val="toc 1"/>
    <w:basedOn w:val="Normal"/>
    <w:autoRedefine/>
    <w:semiHidden/>
    <w:pPr>
      <w:spacing w:after="240"/>
    </w:pPr>
    <w:rPr>
      <w:caps/>
    </w:rPr>
  </w:style>
  <w:style w:type="paragraph" w:styleId="TOC2">
    <w:name w:val="toc 2"/>
    <w:basedOn w:val="Normal"/>
    <w:next w:val="TOC3"/>
    <w:autoRedefine/>
    <w:semiHidden/>
    <w:pPr>
      <w:spacing w:after="240"/>
      <w:ind w:left="1440"/>
    </w:pPr>
    <w:rPr>
      <w:caps/>
    </w:rPr>
  </w:style>
  <w:style w:type="paragraph" w:styleId="TOC3">
    <w:name w:val="toc 3"/>
    <w:basedOn w:val="Normal"/>
    <w:next w:val="TOC2"/>
    <w:autoRedefine/>
    <w:semiHidden/>
    <w:pPr>
      <w:spacing w:after="240"/>
      <w:ind w:left="2160" w:right="2160"/>
    </w:pPr>
  </w:style>
  <w:style w:type="paragraph" w:styleId="TOC4">
    <w:name w:val="toc 4"/>
    <w:basedOn w:val="Normal"/>
    <w:autoRedefine/>
    <w:semiHidden/>
    <w:pPr>
      <w:spacing w:after="240"/>
      <w:ind w:left="2592" w:right="2160" w:hanging="432"/>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LineNumber">
    <w:name w:val="line number"/>
    <w:basedOn w:val="DefaultParagraphFont"/>
  </w:style>
  <w:style w:type="paragraph" w:styleId="Revision">
    <w:name w:val="Revision"/>
    <w:hidden/>
    <w:uiPriority w:val="99"/>
    <w:semiHidden/>
    <w:rsid w:val="006A6230"/>
    <w:rPr>
      <w:sz w:val="24"/>
    </w:rPr>
  </w:style>
  <w:style w:type="character" w:styleId="CommentReference">
    <w:name w:val="annotation reference"/>
    <w:rsid w:val="006A6230"/>
    <w:rPr>
      <w:sz w:val="16"/>
      <w:szCs w:val="16"/>
    </w:rPr>
  </w:style>
  <w:style w:type="paragraph" w:styleId="CommentText">
    <w:name w:val="annotation text"/>
    <w:basedOn w:val="Normal"/>
    <w:link w:val="CommentTextChar"/>
    <w:rsid w:val="006A6230"/>
    <w:rPr>
      <w:sz w:val="20"/>
    </w:rPr>
  </w:style>
  <w:style w:type="character" w:customStyle="1" w:styleId="CommentTextChar">
    <w:name w:val="Comment Text Char"/>
    <w:basedOn w:val="DefaultParagraphFont"/>
    <w:link w:val="CommentText"/>
    <w:rsid w:val="006A6230"/>
  </w:style>
  <w:style w:type="paragraph" w:styleId="CommentSubject">
    <w:name w:val="annotation subject"/>
    <w:basedOn w:val="CommentText"/>
    <w:next w:val="CommentText"/>
    <w:link w:val="CommentSubjectChar"/>
    <w:rsid w:val="006A6230"/>
    <w:rPr>
      <w:b/>
      <w:bCs/>
    </w:rPr>
  </w:style>
  <w:style w:type="character" w:customStyle="1" w:styleId="CommentSubjectChar">
    <w:name w:val="Comment Subject Char"/>
    <w:link w:val="CommentSubject"/>
    <w:rsid w:val="006A6230"/>
    <w:rPr>
      <w:b/>
      <w:bCs/>
    </w:rPr>
  </w:style>
  <w:style w:type="character" w:styleId="Hyperlink">
    <w:name w:val="Hyperlink"/>
    <w:basedOn w:val="DefaultParagraphFont"/>
    <w:rsid w:val="00E04CCF"/>
    <w:rPr>
      <w:color w:val="467886" w:themeColor="hyperlink"/>
      <w:u w:val="single"/>
    </w:rPr>
  </w:style>
  <w:style w:type="character" w:styleId="UnresolvedMention">
    <w:name w:val="Unresolved Mention"/>
    <w:basedOn w:val="DefaultParagraphFont"/>
    <w:uiPriority w:val="99"/>
    <w:semiHidden/>
    <w:unhideWhenUsed/>
    <w:rsid w:val="00E04CCF"/>
    <w:rPr>
      <w:color w:val="605E5C"/>
      <w:shd w:val="clear" w:color="auto" w:fill="E1DFDD"/>
    </w:rPr>
  </w:style>
  <w:style w:type="character" w:customStyle="1" w:styleId="FooterChar">
    <w:name w:val="Footer Char"/>
    <w:basedOn w:val="DefaultParagraphFont"/>
    <w:link w:val="Footer"/>
    <w:uiPriority w:val="99"/>
    <w:rsid w:val="0069439C"/>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 LOCAL LAW</vt:lpstr>
    </vt:vector>
  </TitlesOfParts>
  <Company>Microsystems Engineering Company</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LOCAL LAW</dc:title>
  <dc:subject/>
  <dc:creator>afastenb</dc:creator>
  <cp:keywords/>
  <dc:description/>
  <cp:lastModifiedBy>Jeffries, Jillian</cp:lastModifiedBy>
  <cp:revision>5</cp:revision>
  <cp:lastPrinted>2026-07-06T13:49:00Z</cp:lastPrinted>
  <dcterms:created xsi:type="dcterms:W3CDTF">2026-08-05T18:09:00Z</dcterms:created>
  <dcterms:modified xsi:type="dcterms:W3CDTF">2026-08-13T14:15:00Z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2026-07-06T03:27:55Z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4a080bc8-f963-4961-9e22-c0cb831bc207</vt:lpwstr>
  </property>
  <property fmtid="{D5CDD505-2E9C-101B-9397-08002B2CF9AE}" pid="8" name="MSIP_Label_ebba276f-0474-4e48-a2bc-69b0eb22318c_ContentBits">
    <vt:lpwstr>0</vt:lpwstr>
  </property>
  <property fmtid="{D5CDD505-2E9C-101B-9397-08002B2CF9AE}" pid="9" name="MSIP_Label_ebba276f-0474-4e48-a2bc-69b0eb22318c_Tag">
    <vt:lpwstr>10, 3, 0, 1</vt:lpwstr>
  </property>
</Properties>
</file>