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BC92BF7"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032ECE">
        <w:rPr>
          <w:rFonts w:ascii="Times New Roman" w:eastAsia="Times New Roman" w:hAnsi="Times New Roman" w:cs="Times New Roman"/>
          <w:sz w:val="24"/>
          <w:szCs w:val="24"/>
        </w:rPr>
        <w:t xml:space="preserve"> </w:t>
      </w:r>
      <w:r w:rsidR="00AD650E">
        <w:rPr>
          <w:rFonts w:ascii="Times New Roman" w:eastAsia="Times New Roman" w:hAnsi="Times New Roman" w:cs="Times New Roman"/>
          <w:sz w:val="24"/>
          <w:szCs w:val="24"/>
        </w:rPr>
        <w:t>523</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3D080D0"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F114AE">
        <w:rPr>
          <w:rFonts w:ascii="Times New Roman" w:eastAsia="Times New Roman" w:hAnsi="Times New Roman" w:cs="Times New Roman"/>
          <w:bCs/>
          <w:sz w:val="24"/>
          <w:szCs w:val="24"/>
        </w:rPr>
        <w:t>2174</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F114AE">
        <w:rPr>
          <w:rFonts w:ascii="Times New Roman" w:eastAsia="Times New Roman" w:hAnsi="Times New Roman" w:cs="Times New Roman"/>
          <w:bCs/>
          <w:sz w:val="24"/>
          <w:szCs w:val="24"/>
        </w:rPr>
        <w:t xml:space="preserve"> 154, Block 2175, Lot 202, </w:t>
      </w:r>
      <w:r w:rsidR="00D56BCF">
        <w:rPr>
          <w:rFonts w:ascii="Times New Roman" w:eastAsia="Times New Roman" w:hAnsi="Times New Roman" w:cs="Times New Roman"/>
          <w:sz w:val="24"/>
          <w:szCs w:val="24"/>
        </w:rPr>
        <w:t>Manhattan</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2426, Lot 54, Block 3074</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 50, Block 3219, Lot 91, Block 3221</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Lots 78 and 84, Block 3225, Lot</w:t>
      </w:r>
      <w:r w:rsidR="007A0315">
        <w:rPr>
          <w:rFonts w:ascii="Times New Roman" w:eastAsia="Times New Roman" w:hAnsi="Times New Roman" w:cs="Times New Roman"/>
          <w:sz w:val="24"/>
          <w:szCs w:val="24"/>
        </w:rPr>
        <w:t>s</w:t>
      </w:r>
      <w:r w:rsidR="00F114AE">
        <w:rPr>
          <w:rFonts w:ascii="Times New Roman" w:eastAsia="Times New Roman" w:hAnsi="Times New Roman" w:cs="Times New Roman"/>
          <w:sz w:val="24"/>
          <w:szCs w:val="24"/>
        </w:rPr>
        <w:t xml:space="preserve"> 72, 103, and 173, Block 3333, Lot 9, Block 3738, Lot 10</w:t>
      </w:r>
      <w:r w:rsidRPr="0037354F">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3812, Lot 1, Block 3899, Lots 25, 37, and 55, Block 3926, Lots 24 and 31, Block 4845, Lot 31, Bronx</w:t>
      </w:r>
      <w:r w:rsidR="007A0315">
        <w:rPr>
          <w:rFonts w:ascii="Times New Roman" w:eastAsia="Times New Roman" w:hAnsi="Times New Roman" w:cs="Times New Roman"/>
          <w:sz w:val="24"/>
          <w:szCs w:val="24"/>
        </w:rPr>
        <w:t>,</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AD650E">
        <w:rPr>
          <w:rFonts w:ascii="Times New Roman" w:eastAsia="Times New Roman" w:hAnsi="Times New Roman" w:cs="Times New Roman"/>
          <w:sz w:val="24"/>
          <w:szCs w:val="24"/>
        </w:rPr>
        <w:t>90</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22710209"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F114AE" w:rsidRPr="0037354F">
        <w:rPr>
          <w:rFonts w:ascii="Times New Roman" w:eastAsia="Times New Roman" w:hAnsi="Times New Roman" w:cs="Times New Roman"/>
          <w:bCs/>
          <w:sz w:val="24"/>
          <w:szCs w:val="24"/>
        </w:rPr>
        <w:t>Block</w:t>
      </w:r>
      <w:r w:rsidR="00F114AE">
        <w:rPr>
          <w:rFonts w:ascii="Times New Roman" w:eastAsia="Times New Roman" w:hAnsi="Times New Roman" w:cs="Times New Roman"/>
          <w:bCs/>
          <w:sz w:val="24"/>
          <w:szCs w:val="24"/>
        </w:rPr>
        <w:t xml:space="preserve"> 2174, Lot 154, Block 2175, Lot 202,</w:t>
      </w:r>
      <w:r w:rsidR="00F114AE">
        <w:rPr>
          <w:rFonts w:ascii="Times New Roman" w:eastAsia="Times New Roman" w:hAnsi="Times New Roman" w:cs="Times New Roman"/>
          <w:sz w:val="24"/>
          <w:szCs w:val="24"/>
        </w:rPr>
        <w:t xml:space="preserve"> Manhattan</w:t>
      </w:r>
      <w:r w:rsidR="004F1662">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2426, Lot 54, Block 3074</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 50, Block 3219, Lot 91, Block 3221</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Lots 78 and 84, Block 3225, Lot</w:t>
      </w:r>
      <w:r w:rsidR="007A0315">
        <w:rPr>
          <w:rFonts w:ascii="Times New Roman" w:eastAsia="Times New Roman" w:hAnsi="Times New Roman" w:cs="Times New Roman"/>
          <w:sz w:val="24"/>
          <w:szCs w:val="24"/>
        </w:rPr>
        <w:t>s</w:t>
      </w:r>
      <w:r w:rsidR="00F114AE">
        <w:rPr>
          <w:rFonts w:ascii="Times New Roman" w:eastAsia="Times New Roman" w:hAnsi="Times New Roman" w:cs="Times New Roman"/>
          <w:sz w:val="24"/>
          <w:szCs w:val="24"/>
        </w:rPr>
        <w:t xml:space="preserve"> 72, 103, and 173, Block 3333, Lot 9, Block 3738, Lot 10</w:t>
      </w:r>
      <w:r w:rsidR="00F114AE" w:rsidRPr="0037354F">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3812, Lot 1, Block 3899, Lots 25, 37, and 55, Block 3926, Lots 24 and 31, Block 4845, Lot 31, Bronx</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333C48A3" w14:textId="254A7A59" w:rsidR="008539DC" w:rsidRPr="008539DC" w:rsidRDefault="00F114AE" w:rsidP="008539DC">
      <w:pPr>
        <w:numPr>
          <w:ilvl w:val="0"/>
          <w:numId w:val="7"/>
        </w:numPr>
        <w:rPr>
          <w:rFonts w:ascii="Times New Roman" w:hAnsi="Times New Roman" w:cs="Times New Roman"/>
          <w:sz w:val="24"/>
          <w:szCs w:val="24"/>
        </w:rPr>
      </w:pPr>
      <w:r w:rsidRPr="00F114AE">
        <w:rPr>
          <w:rFonts w:ascii="Times New Roman" w:hAnsi="Times New Roman" w:cs="Times New Roman"/>
          <w:sz w:val="24"/>
          <w:szCs w:val="24"/>
        </w:rPr>
        <w:t>“Company” shall mean 29-45 Sickles St. NYC LLC, 95-101 Thayer St. NYC LLC, 1182 Clay Ave. LLC, 663-667 Crescent Ave. LLC, 2440 Webb Ave. Bronx LLC, 1929 Andrews Ave. Bronx LLC, 1917 Andrews Ave. Bronx LLC, 2287 Loring Place Bronx LLC, 2318 Loring Place Bronx LLC, 2319 Loring Place Bronx LLC, 3050 Perry Ave. Bronx LLC, 1126-1130 Evergreen Ave. LLC, 2109 Gleason Ave. LLC, 1466 Beach Ave. LLC, 1475 Taylor Ave. LLC, 1427 Taylor Ave. LLC, 1562 Thieriot Ave. LLC, 1580 Thieriot Ave. LLC, and 711-715 E. 231st St. LLC or any other entities that acquire all or a portion of the beneficial interests in the Exemption Area with the prior written consent of HPD</w:t>
      </w:r>
      <w:r w:rsidR="008539DC" w:rsidRPr="008539DC">
        <w:rPr>
          <w:rFonts w:ascii="Times New Roman" w:hAnsi="Times New Roman" w:cs="Times New Roman"/>
          <w:sz w:val="24"/>
          <w:szCs w:val="24"/>
        </w:rPr>
        <w:t>.</w:t>
      </w:r>
    </w:p>
    <w:p w14:paraId="1E556492" w14:textId="77777777" w:rsidR="00D56BCF" w:rsidRPr="00D56BCF" w:rsidRDefault="00D56BCF" w:rsidP="00D56BCF">
      <w:pPr>
        <w:rPr>
          <w:rFonts w:ascii="Times New Roman" w:hAnsi="Times New Roman" w:cs="Times New Roman"/>
          <w:sz w:val="24"/>
          <w:szCs w:val="24"/>
        </w:rPr>
      </w:pPr>
    </w:p>
    <w:p w14:paraId="6BB189CF" w14:textId="77777777" w:rsidR="00F114AE" w:rsidRDefault="00D56BCF" w:rsidP="00F114AE">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w:t>
      </w:r>
      <w:r w:rsidR="00F114AE" w:rsidRPr="00F114AE">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0E92CCD" w14:textId="77777777" w:rsidR="00F114AE" w:rsidRPr="00F114AE" w:rsidRDefault="00F114AE" w:rsidP="00F114AE">
      <w:pPr>
        <w:pStyle w:val="ListParagraph"/>
        <w:ind w:firstLine="0"/>
        <w:rPr>
          <w:rFonts w:ascii="Times New Roman" w:hAnsi="Times New Roman" w:cs="Times New Roman"/>
          <w:sz w:val="24"/>
          <w:szCs w:val="24"/>
        </w:rPr>
      </w:pPr>
    </w:p>
    <w:p w14:paraId="71C1AC85"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“Exemption” shall mean the exemption from real property taxation provided hereunder.</w:t>
      </w:r>
    </w:p>
    <w:p w14:paraId="69AD0038" w14:textId="77777777" w:rsidR="00F114AE" w:rsidRPr="00F114AE" w:rsidRDefault="00F114AE" w:rsidP="00F114AE">
      <w:pPr>
        <w:pStyle w:val="ListParagraph"/>
        <w:rPr>
          <w:rFonts w:ascii="Times New Roman" w:hAnsi="Times New Roman" w:cs="Times New Roman"/>
          <w:sz w:val="24"/>
          <w:szCs w:val="24"/>
        </w:rPr>
      </w:pPr>
    </w:p>
    <w:p w14:paraId="55A73C3F" w14:textId="606ED48A"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lastRenderedPageBreak/>
        <w:t xml:space="preserve">“Exemption Area” shall mean the real property located in the Boroughs of Manhattan and the Bronx, City and State of New York, on the Blocks and Lots on the Tax Map of the City of New York that are identified in </w:t>
      </w:r>
      <w:r w:rsidRPr="008D70C7">
        <w:rPr>
          <w:rFonts w:ascii="Times New Roman" w:hAnsi="Times New Roman" w:cs="Times New Roman"/>
          <w:sz w:val="24"/>
          <w:szCs w:val="24"/>
          <w:u w:val="single"/>
        </w:rPr>
        <w:t>Schedule A</w:t>
      </w:r>
      <w:r w:rsidRPr="00F114AE">
        <w:rPr>
          <w:rFonts w:ascii="Times New Roman" w:hAnsi="Times New Roman" w:cs="Times New Roman"/>
          <w:sz w:val="24"/>
          <w:szCs w:val="24"/>
        </w:rPr>
        <w:t xml:space="preserve"> attached hereto.</w:t>
      </w:r>
    </w:p>
    <w:p w14:paraId="4E4AAD96" w14:textId="77777777" w:rsidR="00F114AE" w:rsidRPr="00F114AE" w:rsidRDefault="00F114AE" w:rsidP="00F114AE">
      <w:pPr>
        <w:pStyle w:val="ListParagraph"/>
        <w:rPr>
          <w:rFonts w:ascii="Times New Roman" w:hAnsi="Times New Roman" w:cs="Times New Roman"/>
          <w:sz w:val="24"/>
          <w:szCs w:val="24"/>
        </w:rPr>
      </w:pPr>
    </w:p>
    <w:p w14:paraId="6F735F9F"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453AF41A" w14:textId="77777777" w:rsidR="00F114AE" w:rsidRPr="00F114AE" w:rsidRDefault="00F114AE" w:rsidP="00F114AE">
      <w:pPr>
        <w:pStyle w:val="ListParagraph"/>
        <w:rPr>
          <w:rFonts w:ascii="Times New Roman" w:hAnsi="Times New Roman" w:cs="Times New Roman"/>
          <w:sz w:val="24"/>
          <w:szCs w:val="24"/>
        </w:rPr>
      </w:pPr>
    </w:p>
    <w:p w14:paraId="6C02C56E"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 </w:t>
      </w:r>
    </w:p>
    <w:p w14:paraId="39B4442B" w14:textId="77777777" w:rsidR="00F114AE" w:rsidRPr="00F114AE" w:rsidRDefault="00F114AE" w:rsidP="00F114AE">
      <w:pPr>
        <w:pStyle w:val="ListParagraph"/>
        <w:rPr>
          <w:rFonts w:ascii="Times New Roman" w:hAnsi="Times New Roman" w:cs="Times New Roman"/>
          <w:sz w:val="24"/>
          <w:szCs w:val="24"/>
        </w:rPr>
      </w:pPr>
    </w:p>
    <w:p w14:paraId="63B4530B"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516E7D2C" w14:textId="77777777" w:rsidR="00F114AE" w:rsidRPr="00F114AE" w:rsidRDefault="00F114AE" w:rsidP="00F114AE">
      <w:pPr>
        <w:pStyle w:val="ListParagraph"/>
        <w:rPr>
          <w:rFonts w:ascii="Times New Roman" w:hAnsi="Times New Roman" w:cs="Times New Roman"/>
          <w:sz w:val="24"/>
          <w:szCs w:val="24"/>
        </w:rPr>
      </w:pPr>
    </w:p>
    <w:p w14:paraId="607210C7"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42D7C144" w14:textId="77777777" w:rsidR="00F114AE" w:rsidRPr="00F114AE" w:rsidRDefault="00F114AE" w:rsidP="00F114AE">
      <w:pPr>
        <w:pStyle w:val="ListParagraph"/>
        <w:rPr>
          <w:rFonts w:ascii="Times New Roman" w:hAnsi="Times New Roman" w:cs="Times New Roman"/>
          <w:sz w:val="24"/>
          <w:szCs w:val="24"/>
        </w:rPr>
      </w:pPr>
    </w:p>
    <w:p w14:paraId="08167D01"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“HDFC” shall mean HP Third Street PR1 Housing Development Fund Company, Inc. or a housing development fund company that acquires the Exemption Area with the prior written consent of HPD.</w:t>
      </w:r>
    </w:p>
    <w:p w14:paraId="6CB362FF" w14:textId="77777777" w:rsidR="00F114AE" w:rsidRPr="00F114AE" w:rsidRDefault="00F114AE" w:rsidP="00F114AE">
      <w:pPr>
        <w:pStyle w:val="ListParagraph"/>
        <w:rPr>
          <w:rFonts w:ascii="Times New Roman" w:hAnsi="Times New Roman" w:cs="Times New Roman"/>
          <w:sz w:val="24"/>
          <w:szCs w:val="24"/>
        </w:rPr>
      </w:pPr>
    </w:p>
    <w:p w14:paraId="18E3FDF8"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“HPD” shall mean the Department of Housing Preservation and Development of the City of New York.</w:t>
      </w:r>
    </w:p>
    <w:p w14:paraId="2E3624E8" w14:textId="77777777" w:rsidR="00F114AE" w:rsidRPr="00F114AE" w:rsidRDefault="00F114AE" w:rsidP="00F114AE">
      <w:pPr>
        <w:pStyle w:val="ListParagraph"/>
        <w:rPr>
          <w:rFonts w:ascii="Times New Roman" w:hAnsi="Times New Roman" w:cs="Times New Roman"/>
          <w:sz w:val="24"/>
          <w:szCs w:val="24"/>
        </w:rPr>
      </w:pPr>
    </w:p>
    <w:p w14:paraId="64E27C28"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“J-51 Benefits” shall mean any tax benefits pursuant to Section 489 of the Real Property Tax Law which are in effect on the Effective Date. </w:t>
      </w:r>
    </w:p>
    <w:p w14:paraId="3BCD0351" w14:textId="77777777" w:rsidR="00F114AE" w:rsidRPr="00F114AE" w:rsidRDefault="00F114AE" w:rsidP="00F114AE">
      <w:pPr>
        <w:pStyle w:val="ListParagraph"/>
        <w:rPr>
          <w:rFonts w:ascii="Times New Roman" w:hAnsi="Times New Roman" w:cs="Times New Roman"/>
          <w:sz w:val="24"/>
          <w:szCs w:val="24"/>
        </w:rPr>
      </w:pPr>
    </w:p>
    <w:p w14:paraId="72E2067E" w14:textId="77777777" w:rsidR="006426F5" w:rsidRDefault="006426F5" w:rsidP="006426F5">
      <w:pPr>
        <w:pStyle w:val="ListParagraph"/>
        <w:numPr>
          <w:ilvl w:val="0"/>
          <w:numId w:val="9"/>
        </w:numPr>
        <w:rPr>
          <w:rFonts w:ascii="Times New Roman" w:hAnsi="Times New Roman" w:cs="Times New Roman"/>
          <w:sz w:val="24"/>
          <w:szCs w:val="24"/>
        </w:rPr>
      </w:pPr>
      <w:r w:rsidRPr="006426F5">
        <w:rPr>
          <w:rFonts w:ascii="Times New Roman" w:hAnsi="Times New Roman" w:cs="Times New Roman"/>
          <w:sz w:val="24"/>
          <w:szCs w:val="24"/>
        </w:rPr>
        <w:t>“Owner” shall mean, collectively, the HDFC and the Company.</w:t>
      </w:r>
    </w:p>
    <w:p w14:paraId="7C44E015" w14:textId="77777777" w:rsidR="006426F5" w:rsidRPr="006426F5" w:rsidRDefault="006426F5" w:rsidP="006426F5">
      <w:pPr>
        <w:pStyle w:val="ListParagraph"/>
        <w:rPr>
          <w:rFonts w:ascii="Times New Roman" w:hAnsi="Times New Roman" w:cs="Times New Roman"/>
          <w:sz w:val="24"/>
          <w:szCs w:val="24"/>
        </w:rPr>
      </w:pPr>
    </w:p>
    <w:p w14:paraId="64D3BE80" w14:textId="420A7EBC" w:rsidR="008539DC" w:rsidRPr="006426F5" w:rsidRDefault="006426F5" w:rsidP="006426F5">
      <w:pPr>
        <w:pStyle w:val="ListParagraph"/>
        <w:numPr>
          <w:ilvl w:val="0"/>
          <w:numId w:val="9"/>
        </w:numPr>
        <w:rPr>
          <w:rFonts w:ascii="Times New Roman" w:hAnsi="Times New Roman" w:cs="Times New Roman"/>
          <w:sz w:val="24"/>
          <w:szCs w:val="24"/>
        </w:rPr>
      </w:pPr>
      <w:r w:rsidRPr="006426F5">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1312A690"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6426F5" w:rsidRPr="006426F5">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4D3A9E03" w14:textId="77777777" w:rsidR="006426F5" w:rsidRPr="006426F5" w:rsidRDefault="00D56BCF" w:rsidP="006426F5">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6426F5" w:rsidRPr="006426F5">
        <w:rPr>
          <w:rFonts w:ascii="Times New Roman" w:hAnsi="Times New Roman" w:cs="Times New Roman"/>
          <w:sz w:val="24"/>
          <w:szCs w:val="24"/>
        </w:rPr>
        <w:t xml:space="preserve">Commencing upon the Effective Date, and during each year thereafter until the Expiration Date, the Owner shall make real property tax payments in the sum of the Gross Rent Tax. Notwithstanding the foregoing, the total annual real property tax payment by the Owner shall not </w:t>
      </w:r>
      <w:r w:rsidR="006426F5" w:rsidRPr="006426F5">
        <w:rPr>
          <w:rFonts w:ascii="Times New Roman" w:hAnsi="Times New Roman" w:cs="Times New Roman"/>
          <w:sz w:val="24"/>
          <w:szCs w:val="24"/>
        </w:rPr>
        <w:lastRenderedPageBreak/>
        <w:t xml:space="preserve">at any time exceed the amount of real property taxes that would otherwise be due in the absence of any form of exemption from or abatement of real property taxation provided by an existing or future local, state, or federal law, rule, or regulation. </w:t>
      </w:r>
    </w:p>
    <w:p w14:paraId="030BB081" w14:textId="5A5E3EF3" w:rsidR="008539DC" w:rsidRDefault="008539DC" w:rsidP="00D56BCF">
      <w:pPr>
        <w:ind w:left="0" w:firstLine="0"/>
        <w:rPr>
          <w:rFonts w:ascii="Times New Roman" w:hAnsi="Times New Roman" w:cs="Times New Roman"/>
          <w:sz w:val="24"/>
          <w:szCs w:val="24"/>
        </w:rPr>
      </w:pPr>
    </w:p>
    <w:p w14:paraId="304120DB" w14:textId="11FE6389" w:rsidR="00702785" w:rsidRDefault="008539DC"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17361AE4" w14:textId="77777777" w:rsidR="003B680C" w:rsidRPr="00702785" w:rsidRDefault="003B680C" w:rsidP="00D56BCF">
      <w:pPr>
        <w:ind w:left="0" w:firstLine="0"/>
        <w:rPr>
          <w:rFonts w:ascii="Times New Roman" w:hAnsi="Times New Roman" w:cs="Times New Roman"/>
          <w:sz w:val="24"/>
          <w:szCs w:val="24"/>
        </w:rPr>
      </w:pPr>
    </w:p>
    <w:p w14:paraId="4D963EF6" w14:textId="3E172C28" w:rsidR="00702785" w:rsidRDefault="006426F5" w:rsidP="0070278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8539DC">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77777777" w:rsidR="006426F5" w:rsidRDefault="006426F5" w:rsidP="006426F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The Exemption shall apply to all land in the Exemption Area, but shall only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5E1EB4E6" w:rsidR="008539DC" w:rsidRPr="006426F5" w:rsidRDefault="006426F5" w:rsidP="006426F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2059FCF1" w14:textId="5AB3BC0C" w:rsidR="008659EA" w:rsidRPr="00EB36BF" w:rsidRDefault="008539DC"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6426F5" w:rsidRPr="006426F5">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(i) the Exemption shall be reduced by the amount of such J-51 Benefits, and (ii) the Gross Rent Tax shall not be reduced by such J-51 Benefits</w:t>
      </w:r>
      <w:r w:rsidRPr="008539DC">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D86E49F" w14:textId="62023C32" w:rsidR="006426F5" w:rsidRPr="006426F5" w:rsidRDefault="000956FB"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Pr>
          <w:rFonts w:ascii="Arial" w:eastAsia="Times New Roman" w:hAnsi="Arial" w:cs="Arial"/>
          <w:b/>
          <w:color w:val="auto"/>
          <w:sz w:val="20"/>
          <w:szCs w:val="20"/>
        </w:rPr>
        <w:t xml:space="preserve">HP </w:t>
      </w:r>
      <w:r w:rsidR="006426F5" w:rsidRPr="006426F5">
        <w:rPr>
          <w:rFonts w:ascii="Arial" w:eastAsia="Times New Roman" w:hAnsi="Arial" w:cs="Arial"/>
          <w:b/>
          <w:color w:val="auto"/>
          <w:sz w:val="20"/>
          <w:szCs w:val="20"/>
        </w:rPr>
        <w:t>CSP Third Street.HPO.FY26</w:t>
      </w:r>
    </w:p>
    <w:p w14:paraId="4AFD98C1"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6426F5">
        <w:rPr>
          <w:rFonts w:ascii="Arial" w:eastAsia="Times New Roman" w:hAnsi="Arial" w:cs="Arial"/>
          <w:b/>
          <w:color w:val="auto"/>
          <w:sz w:val="20"/>
          <w:szCs w:val="20"/>
        </w:rPr>
        <w:t>Schedule A</w:t>
      </w:r>
    </w:p>
    <w:p w14:paraId="7DD9FAA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6426F5">
        <w:rPr>
          <w:rFonts w:ascii="Arial" w:eastAsia="Times New Roman" w:hAnsi="Arial" w:cs="Arial"/>
          <w:b/>
          <w:color w:val="auto"/>
          <w:sz w:val="20"/>
          <w:szCs w:val="20"/>
        </w:rPr>
        <w:t>Boroughs of Manhattan and the Bronx</w:t>
      </w:r>
    </w:p>
    <w:p w14:paraId="2E71D101" w14:textId="77777777" w:rsidR="006426F5" w:rsidRPr="006426F5" w:rsidRDefault="006426F5" w:rsidP="006426F5">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tbl>
      <w:tblPr>
        <w:tblStyle w:val="TableGrid"/>
        <w:tblW w:w="0" w:type="auto"/>
        <w:tblInd w:w="-5" w:type="dxa"/>
        <w:tblLook w:val="04A0" w:firstRow="1" w:lastRow="0" w:firstColumn="1" w:lastColumn="0" w:noHBand="0" w:noVBand="1"/>
      </w:tblPr>
      <w:tblGrid>
        <w:gridCol w:w="1162"/>
        <w:gridCol w:w="4564"/>
      </w:tblGrid>
      <w:tr w:rsidR="006426F5" w:rsidRPr="006426F5" w14:paraId="65E19E72" w14:textId="77777777">
        <w:tc>
          <w:tcPr>
            <w:tcW w:w="1162" w:type="dxa"/>
            <w:tcBorders>
              <w:top w:val="single" w:sz="4" w:space="0" w:color="auto"/>
              <w:left w:val="single" w:sz="4" w:space="0" w:color="auto"/>
              <w:bottom w:val="single" w:sz="4" w:space="0" w:color="auto"/>
              <w:right w:val="single" w:sz="4" w:space="0" w:color="auto"/>
            </w:tcBorders>
            <w:hideMark/>
          </w:tcPr>
          <w:p w14:paraId="5F6BE269"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color w:val="auto"/>
              </w:rPr>
            </w:pPr>
            <w:r w:rsidRPr="006426F5">
              <w:rPr>
                <w:rFonts w:ascii="Arial" w:eastAsia="Times New Roman" w:hAnsi="Arial" w:cs="Arial"/>
                <w:b/>
                <w:color w:val="auto"/>
              </w:rPr>
              <w:t>Block</w:t>
            </w:r>
          </w:p>
        </w:tc>
        <w:tc>
          <w:tcPr>
            <w:tcW w:w="4564" w:type="dxa"/>
            <w:tcBorders>
              <w:top w:val="single" w:sz="4" w:space="0" w:color="auto"/>
              <w:left w:val="single" w:sz="4" w:space="0" w:color="auto"/>
              <w:bottom w:val="single" w:sz="4" w:space="0" w:color="auto"/>
              <w:right w:val="single" w:sz="4" w:space="0" w:color="auto"/>
            </w:tcBorders>
            <w:hideMark/>
          </w:tcPr>
          <w:p w14:paraId="48D9C82F"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color w:val="auto"/>
              </w:rPr>
            </w:pPr>
            <w:r w:rsidRPr="006426F5">
              <w:rPr>
                <w:rFonts w:ascii="Arial" w:eastAsia="Times New Roman" w:hAnsi="Arial" w:cs="Arial"/>
                <w:b/>
                <w:color w:val="auto"/>
              </w:rPr>
              <w:t>Lot(s)</w:t>
            </w:r>
          </w:p>
        </w:tc>
      </w:tr>
      <w:tr w:rsidR="006426F5" w:rsidRPr="006426F5" w14:paraId="59E7BD04"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1B88606C"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bCs/>
                <w:color w:val="auto"/>
              </w:rPr>
            </w:pPr>
            <w:r w:rsidRPr="006426F5">
              <w:rPr>
                <w:rFonts w:ascii="Arial" w:eastAsia="Times New Roman" w:hAnsi="Arial" w:cs="Arial"/>
                <w:b/>
                <w:bCs/>
                <w:color w:val="auto"/>
              </w:rPr>
              <w:t>Manhattan</w:t>
            </w:r>
          </w:p>
        </w:tc>
      </w:tr>
      <w:tr w:rsidR="006426F5" w:rsidRPr="006426F5" w14:paraId="312C69BF" w14:textId="77777777">
        <w:tc>
          <w:tcPr>
            <w:tcW w:w="1162" w:type="dxa"/>
            <w:tcBorders>
              <w:top w:val="single" w:sz="4" w:space="0" w:color="auto"/>
              <w:left w:val="single" w:sz="4" w:space="0" w:color="auto"/>
              <w:bottom w:val="single" w:sz="4" w:space="0" w:color="auto"/>
              <w:right w:val="single" w:sz="4" w:space="0" w:color="auto"/>
            </w:tcBorders>
            <w:hideMark/>
          </w:tcPr>
          <w:p w14:paraId="2A4B1B9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2174</w:t>
            </w:r>
          </w:p>
        </w:tc>
        <w:tc>
          <w:tcPr>
            <w:tcW w:w="4564" w:type="dxa"/>
            <w:tcBorders>
              <w:top w:val="single" w:sz="4" w:space="0" w:color="auto"/>
              <w:left w:val="single" w:sz="4" w:space="0" w:color="auto"/>
              <w:bottom w:val="single" w:sz="4" w:space="0" w:color="auto"/>
              <w:right w:val="single" w:sz="4" w:space="0" w:color="auto"/>
            </w:tcBorders>
            <w:hideMark/>
          </w:tcPr>
          <w:p w14:paraId="1E6F5C16"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154</w:t>
            </w:r>
          </w:p>
        </w:tc>
      </w:tr>
      <w:tr w:rsidR="006426F5" w:rsidRPr="006426F5" w14:paraId="680DE047" w14:textId="77777777">
        <w:tc>
          <w:tcPr>
            <w:tcW w:w="1162" w:type="dxa"/>
            <w:tcBorders>
              <w:top w:val="single" w:sz="4" w:space="0" w:color="auto"/>
              <w:left w:val="single" w:sz="4" w:space="0" w:color="auto"/>
              <w:bottom w:val="single" w:sz="4" w:space="0" w:color="auto"/>
              <w:right w:val="single" w:sz="4" w:space="0" w:color="auto"/>
            </w:tcBorders>
            <w:hideMark/>
          </w:tcPr>
          <w:p w14:paraId="0FE18F3E"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2175</w:t>
            </w:r>
          </w:p>
        </w:tc>
        <w:tc>
          <w:tcPr>
            <w:tcW w:w="4564" w:type="dxa"/>
            <w:tcBorders>
              <w:top w:val="single" w:sz="4" w:space="0" w:color="auto"/>
              <w:left w:val="single" w:sz="4" w:space="0" w:color="auto"/>
              <w:bottom w:val="single" w:sz="4" w:space="0" w:color="auto"/>
              <w:right w:val="single" w:sz="4" w:space="0" w:color="auto"/>
            </w:tcBorders>
            <w:hideMark/>
          </w:tcPr>
          <w:p w14:paraId="5B41029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202</w:t>
            </w:r>
          </w:p>
        </w:tc>
      </w:tr>
      <w:tr w:rsidR="006426F5" w:rsidRPr="006426F5" w14:paraId="04C79041"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7761FA2D"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color w:val="auto"/>
              </w:rPr>
            </w:pPr>
            <w:r w:rsidRPr="006426F5">
              <w:rPr>
                <w:rFonts w:ascii="Arial" w:eastAsia="Times New Roman" w:hAnsi="Arial" w:cs="Arial"/>
                <w:b/>
                <w:bCs/>
                <w:color w:val="auto"/>
              </w:rPr>
              <w:t>Bronx</w:t>
            </w:r>
          </w:p>
        </w:tc>
      </w:tr>
      <w:tr w:rsidR="006426F5" w:rsidRPr="006426F5" w14:paraId="784D5F95" w14:textId="77777777">
        <w:tc>
          <w:tcPr>
            <w:tcW w:w="1162" w:type="dxa"/>
            <w:tcBorders>
              <w:top w:val="single" w:sz="4" w:space="0" w:color="auto"/>
              <w:left w:val="single" w:sz="4" w:space="0" w:color="auto"/>
              <w:bottom w:val="single" w:sz="4" w:space="0" w:color="auto"/>
              <w:right w:val="single" w:sz="4" w:space="0" w:color="auto"/>
            </w:tcBorders>
            <w:hideMark/>
          </w:tcPr>
          <w:p w14:paraId="76F5C37C"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2426</w:t>
            </w:r>
          </w:p>
        </w:tc>
        <w:tc>
          <w:tcPr>
            <w:tcW w:w="4564" w:type="dxa"/>
            <w:tcBorders>
              <w:top w:val="single" w:sz="4" w:space="0" w:color="auto"/>
              <w:left w:val="single" w:sz="4" w:space="0" w:color="auto"/>
              <w:bottom w:val="single" w:sz="4" w:space="0" w:color="auto"/>
              <w:right w:val="single" w:sz="4" w:space="0" w:color="auto"/>
            </w:tcBorders>
            <w:hideMark/>
          </w:tcPr>
          <w:p w14:paraId="4D595CE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54</w:t>
            </w:r>
          </w:p>
        </w:tc>
      </w:tr>
      <w:tr w:rsidR="006426F5" w:rsidRPr="006426F5" w14:paraId="20B55874" w14:textId="77777777">
        <w:tc>
          <w:tcPr>
            <w:tcW w:w="1162" w:type="dxa"/>
            <w:tcBorders>
              <w:top w:val="single" w:sz="4" w:space="0" w:color="auto"/>
              <w:left w:val="single" w:sz="4" w:space="0" w:color="auto"/>
              <w:bottom w:val="single" w:sz="4" w:space="0" w:color="auto"/>
              <w:right w:val="single" w:sz="4" w:space="0" w:color="auto"/>
            </w:tcBorders>
            <w:hideMark/>
          </w:tcPr>
          <w:p w14:paraId="4B58BF4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3074</w:t>
            </w:r>
          </w:p>
        </w:tc>
        <w:tc>
          <w:tcPr>
            <w:tcW w:w="4564" w:type="dxa"/>
            <w:tcBorders>
              <w:top w:val="single" w:sz="4" w:space="0" w:color="auto"/>
              <w:left w:val="single" w:sz="4" w:space="0" w:color="auto"/>
              <w:bottom w:val="single" w:sz="4" w:space="0" w:color="auto"/>
              <w:right w:val="single" w:sz="4" w:space="0" w:color="auto"/>
            </w:tcBorders>
            <w:hideMark/>
          </w:tcPr>
          <w:p w14:paraId="26AEF33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50</w:t>
            </w:r>
          </w:p>
        </w:tc>
      </w:tr>
      <w:tr w:rsidR="006426F5" w:rsidRPr="006426F5" w14:paraId="128B8478" w14:textId="77777777">
        <w:tc>
          <w:tcPr>
            <w:tcW w:w="1162" w:type="dxa"/>
            <w:tcBorders>
              <w:top w:val="single" w:sz="4" w:space="0" w:color="auto"/>
              <w:left w:val="single" w:sz="4" w:space="0" w:color="auto"/>
              <w:bottom w:val="single" w:sz="4" w:space="0" w:color="auto"/>
              <w:right w:val="single" w:sz="4" w:space="0" w:color="auto"/>
            </w:tcBorders>
            <w:hideMark/>
          </w:tcPr>
          <w:p w14:paraId="680F1AF4"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3219</w:t>
            </w:r>
          </w:p>
        </w:tc>
        <w:tc>
          <w:tcPr>
            <w:tcW w:w="4564" w:type="dxa"/>
            <w:tcBorders>
              <w:top w:val="single" w:sz="4" w:space="0" w:color="auto"/>
              <w:left w:val="single" w:sz="4" w:space="0" w:color="auto"/>
              <w:bottom w:val="single" w:sz="4" w:space="0" w:color="auto"/>
              <w:right w:val="single" w:sz="4" w:space="0" w:color="auto"/>
            </w:tcBorders>
            <w:hideMark/>
          </w:tcPr>
          <w:p w14:paraId="2689E10D"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91</w:t>
            </w:r>
          </w:p>
        </w:tc>
      </w:tr>
      <w:tr w:rsidR="006426F5" w:rsidRPr="006426F5" w14:paraId="77CA1D9F" w14:textId="77777777">
        <w:tc>
          <w:tcPr>
            <w:tcW w:w="1162" w:type="dxa"/>
            <w:tcBorders>
              <w:top w:val="single" w:sz="4" w:space="0" w:color="auto"/>
              <w:left w:val="single" w:sz="4" w:space="0" w:color="auto"/>
              <w:bottom w:val="single" w:sz="4" w:space="0" w:color="auto"/>
              <w:right w:val="single" w:sz="4" w:space="0" w:color="auto"/>
            </w:tcBorders>
            <w:hideMark/>
          </w:tcPr>
          <w:p w14:paraId="0D65B3C8"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3221</w:t>
            </w:r>
          </w:p>
        </w:tc>
        <w:tc>
          <w:tcPr>
            <w:tcW w:w="4564" w:type="dxa"/>
            <w:tcBorders>
              <w:top w:val="single" w:sz="4" w:space="0" w:color="auto"/>
              <w:left w:val="single" w:sz="4" w:space="0" w:color="auto"/>
              <w:bottom w:val="single" w:sz="4" w:space="0" w:color="auto"/>
              <w:right w:val="single" w:sz="4" w:space="0" w:color="auto"/>
            </w:tcBorders>
            <w:hideMark/>
          </w:tcPr>
          <w:p w14:paraId="11AEBE60"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78 and 84</w:t>
            </w:r>
          </w:p>
        </w:tc>
      </w:tr>
      <w:tr w:rsidR="006426F5" w:rsidRPr="006426F5" w14:paraId="61884CAD" w14:textId="77777777">
        <w:tc>
          <w:tcPr>
            <w:tcW w:w="1162" w:type="dxa"/>
            <w:tcBorders>
              <w:top w:val="single" w:sz="4" w:space="0" w:color="auto"/>
              <w:left w:val="single" w:sz="4" w:space="0" w:color="auto"/>
              <w:bottom w:val="single" w:sz="4" w:space="0" w:color="auto"/>
              <w:right w:val="single" w:sz="4" w:space="0" w:color="auto"/>
            </w:tcBorders>
            <w:hideMark/>
          </w:tcPr>
          <w:p w14:paraId="1FDF582C"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3225</w:t>
            </w:r>
          </w:p>
        </w:tc>
        <w:tc>
          <w:tcPr>
            <w:tcW w:w="4564" w:type="dxa"/>
            <w:tcBorders>
              <w:top w:val="single" w:sz="4" w:space="0" w:color="auto"/>
              <w:left w:val="single" w:sz="4" w:space="0" w:color="auto"/>
              <w:bottom w:val="single" w:sz="4" w:space="0" w:color="auto"/>
              <w:right w:val="single" w:sz="4" w:space="0" w:color="auto"/>
            </w:tcBorders>
            <w:hideMark/>
          </w:tcPr>
          <w:p w14:paraId="564649C1"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72, 103, and 173</w:t>
            </w:r>
          </w:p>
        </w:tc>
      </w:tr>
      <w:tr w:rsidR="006426F5" w:rsidRPr="006426F5" w14:paraId="3B5C8708" w14:textId="77777777">
        <w:tc>
          <w:tcPr>
            <w:tcW w:w="1162" w:type="dxa"/>
            <w:tcBorders>
              <w:top w:val="single" w:sz="4" w:space="0" w:color="auto"/>
              <w:left w:val="single" w:sz="4" w:space="0" w:color="auto"/>
              <w:bottom w:val="single" w:sz="4" w:space="0" w:color="auto"/>
              <w:right w:val="single" w:sz="4" w:space="0" w:color="auto"/>
            </w:tcBorders>
            <w:hideMark/>
          </w:tcPr>
          <w:p w14:paraId="44F2615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3333</w:t>
            </w:r>
          </w:p>
        </w:tc>
        <w:tc>
          <w:tcPr>
            <w:tcW w:w="4564" w:type="dxa"/>
            <w:tcBorders>
              <w:top w:val="single" w:sz="4" w:space="0" w:color="auto"/>
              <w:left w:val="single" w:sz="4" w:space="0" w:color="auto"/>
              <w:bottom w:val="single" w:sz="4" w:space="0" w:color="auto"/>
              <w:right w:val="single" w:sz="4" w:space="0" w:color="auto"/>
            </w:tcBorders>
            <w:hideMark/>
          </w:tcPr>
          <w:p w14:paraId="218D0DF0"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9</w:t>
            </w:r>
          </w:p>
        </w:tc>
      </w:tr>
      <w:tr w:rsidR="006426F5" w:rsidRPr="006426F5" w14:paraId="5EA9DDA0" w14:textId="77777777">
        <w:tc>
          <w:tcPr>
            <w:tcW w:w="1162" w:type="dxa"/>
            <w:tcBorders>
              <w:top w:val="single" w:sz="4" w:space="0" w:color="auto"/>
              <w:left w:val="single" w:sz="4" w:space="0" w:color="auto"/>
              <w:bottom w:val="single" w:sz="4" w:space="0" w:color="auto"/>
              <w:right w:val="single" w:sz="4" w:space="0" w:color="auto"/>
            </w:tcBorders>
            <w:hideMark/>
          </w:tcPr>
          <w:p w14:paraId="67B5056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3738</w:t>
            </w:r>
          </w:p>
        </w:tc>
        <w:tc>
          <w:tcPr>
            <w:tcW w:w="4564" w:type="dxa"/>
            <w:tcBorders>
              <w:top w:val="single" w:sz="4" w:space="0" w:color="auto"/>
              <w:left w:val="single" w:sz="4" w:space="0" w:color="auto"/>
              <w:bottom w:val="single" w:sz="4" w:space="0" w:color="auto"/>
              <w:right w:val="single" w:sz="4" w:space="0" w:color="auto"/>
            </w:tcBorders>
            <w:hideMark/>
          </w:tcPr>
          <w:p w14:paraId="269C8BB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10</w:t>
            </w:r>
          </w:p>
        </w:tc>
      </w:tr>
      <w:tr w:rsidR="006426F5" w:rsidRPr="006426F5" w14:paraId="36672CC0" w14:textId="77777777">
        <w:tc>
          <w:tcPr>
            <w:tcW w:w="1162" w:type="dxa"/>
            <w:tcBorders>
              <w:top w:val="single" w:sz="4" w:space="0" w:color="auto"/>
              <w:left w:val="single" w:sz="4" w:space="0" w:color="auto"/>
              <w:bottom w:val="single" w:sz="4" w:space="0" w:color="auto"/>
              <w:right w:val="single" w:sz="4" w:space="0" w:color="auto"/>
            </w:tcBorders>
            <w:hideMark/>
          </w:tcPr>
          <w:p w14:paraId="35A828A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3812</w:t>
            </w:r>
          </w:p>
        </w:tc>
        <w:tc>
          <w:tcPr>
            <w:tcW w:w="4564" w:type="dxa"/>
            <w:tcBorders>
              <w:top w:val="single" w:sz="4" w:space="0" w:color="auto"/>
              <w:left w:val="single" w:sz="4" w:space="0" w:color="auto"/>
              <w:bottom w:val="single" w:sz="4" w:space="0" w:color="auto"/>
              <w:right w:val="single" w:sz="4" w:space="0" w:color="auto"/>
            </w:tcBorders>
            <w:hideMark/>
          </w:tcPr>
          <w:p w14:paraId="0F2C6D3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w:t>
            </w:r>
          </w:p>
        </w:tc>
      </w:tr>
      <w:tr w:rsidR="006426F5" w:rsidRPr="006426F5" w14:paraId="0476EF15" w14:textId="77777777">
        <w:tc>
          <w:tcPr>
            <w:tcW w:w="1162" w:type="dxa"/>
            <w:tcBorders>
              <w:top w:val="single" w:sz="4" w:space="0" w:color="auto"/>
              <w:left w:val="single" w:sz="4" w:space="0" w:color="auto"/>
              <w:bottom w:val="single" w:sz="4" w:space="0" w:color="auto"/>
              <w:right w:val="single" w:sz="4" w:space="0" w:color="auto"/>
            </w:tcBorders>
            <w:hideMark/>
          </w:tcPr>
          <w:p w14:paraId="2F2CA40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3899</w:t>
            </w:r>
          </w:p>
        </w:tc>
        <w:tc>
          <w:tcPr>
            <w:tcW w:w="4564" w:type="dxa"/>
            <w:tcBorders>
              <w:top w:val="single" w:sz="4" w:space="0" w:color="auto"/>
              <w:left w:val="single" w:sz="4" w:space="0" w:color="auto"/>
              <w:bottom w:val="single" w:sz="4" w:space="0" w:color="auto"/>
              <w:right w:val="single" w:sz="4" w:space="0" w:color="auto"/>
            </w:tcBorders>
            <w:hideMark/>
          </w:tcPr>
          <w:p w14:paraId="5E9E92E9"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25, 37, and 55</w:t>
            </w:r>
          </w:p>
        </w:tc>
      </w:tr>
      <w:tr w:rsidR="006426F5" w:rsidRPr="006426F5" w14:paraId="58B06C39" w14:textId="77777777">
        <w:tc>
          <w:tcPr>
            <w:tcW w:w="1162" w:type="dxa"/>
            <w:tcBorders>
              <w:top w:val="single" w:sz="4" w:space="0" w:color="auto"/>
              <w:left w:val="single" w:sz="4" w:space="0" w:color="auto"/>
              <w:bottom w:val="single" w:sz="4" w:space="0" w:color="auto"/>
              <w:right w:val="single" w:sz="4" w:space="0" w:color="auto"/>
            </w:tcBorders>
            <w:hideMark/>
          </w:tcPr>
          <w:p w14:paraId="61BEA476"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3926</w:t>
            </w:r>
          </w:p>
        </w:tc>
        <w:tc>
          <w:tcPr>
            <w:tcW w:w="4564" w:type="dxa"/>
            <w:tcBorders>
              <w:top w:val="single" w:sz="4" w:space="0" w:color="auto"/>
              <w:left w:val="single" w:sz="4" w:space="0" w:color="auto"/>
              <w:bottom w:val="single" w:sz="4" w:space="0" w:color="auto"/>
              <w:right w:val="single" w:sz="4" w:space="0" w:color="auto"/>
            </w:tcBorders>
            <w:hideMark/>
          </w:tcPr>
          <w:p w14:paraId="69B826A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24 and 31</w:t>
            </w:r>
          </w:p>
        </w:tc>
      </w:tr>
      <w:tr w:rsidR="006426F5" w:rsidRPr="006426F5" w14:paraId="5DE0758B" w14:textId="77777777">
        <w:tc>
          <w:tcPr>
            <w:tcW w:w="1162" w:type="dxa"/>
            <w:tcBorders>
              <w:top w:val="single" w:sz="4" w:space="0" w:color="auto"/>
              <w:left w:val="single" w:sz="4" w:space="0" w:color="auto"/>
              <w:bottom w:val="single" w:sz="4" w:space="0" w:color="auto"/>
              <w:right w:val="single" w:sz="4" w:space="0" w:color="auto"/>
            </w:tcBorders>
            <w:hideMark/>
          </w:tcPr>
          <w:p w14:paraId="0334BB7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4845</w:t>
            </w:r>
          </w:p>
        </w:tc>
        <w:tc>
          <w:tcPr>
            <w:tcW w:w="4564" w:type="dxa"/>
            <w:tcBorders>
              <w:top w:val="single" w:sz="4" w:space="0" w:color="auto"/>
              <w:left w:val="single" w:sz="4" w:space="0" w:color="auto"/>
              <w:bottom w:val="single" w:sz="4" w:space="0" w:color="auto"/>
              <w:right w:val="single" w:sz="4" w:space="0" w:color="auto"/>
            </w:tcBorders>
            <w:hideMark/>
          </w:tcPr>
          <w:p w14:paraId="1907DE1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31</w:t>
            </w:r>
          </w:p>
        </w:tc>
      </w:tr>
    </w:tbl>
    <w:p w14:paraId="08EB440D" w14:textId="77777777" w:rsidR="006426F5" w:rsidRPr="00CD27D5" w:rsidRDefault="006426F5" w:rsidP="00C57AF3">
      <w:pPr>
        <w:shd w:val="clear" w:color="auto" w:fill="FFFFFF"/>
        <w:spacing w:after="240" w:line="240" w:lineRule="auto"/>
        <w:ind w:left="5040" w:firstLine="0"/>
        <w:rPr>
          <w:rFonts w:ascii="Times New Roman" w:hAnsi="Times New Roman" w:cs="Times New Roman"/>
          <w:sz w:val="24"/>
          <w:szCs w:val="24"/>
        </w:rPr>
      </w:pPr>
    </w:p>
    <w:sectPr w:rsidR="006426F5"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5B5EC" w14:textId="77777777" w:rsidR="00AA5687" w:rsidRDefault="00AA5687">
      <w:pPr>
        <w:spacing w:after="0" w:line="240" w:lineRule="auto"/>
      </w:pPr>
      <w:r>
        <w:separator/>
      </w:r>
    </w:p>
  </w:endnote>
  <w:endnote w:type="continuationSeparator" w:id="0">
    <w:p w14:paraId="06191433" w14:textId="77777777" w:rsidR="00AA5687" w:rsidRDefault="00AA5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1800F" w14:textId="77777777" w:rsidR="00AA5687" w:rsidRDefault="00AA5687">
      <w:pPr>
        <w:spacing w:after="0" w:line="240" w:lineRule="auto"/>
      </w:pPr>
      <w:r>
        <w:separator/>
      </w:r>
    </w:p>
  </w:footnote>
  <w:footnote w:type="continuationSeparator" w:id="0">
    <w:p w14:paraId="7394619E" w14:textId="77777777" w:rsidR="00AA5687" w:rsidRDefault="00AA5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32ECE"/>
    <w:rsid w:val="000469C7"/>
    <w:rsid w:val="000550FC"/>
    <w:rsid w:val="0007661F"/>
    <w:rsid w:val="00086CEB"/>
    <w:rsid w:val="00087478"/>
    <w:rsid w:val="000956FB"/>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285"/>
    <w:rsid w:val="0017331D"/>
    <w:rsid w:val="00176B6F"/>
    <w:rsid w:val="00195BEA"/>
    <w:rsid w:val="001B3041"/>
    <w:rsid w:val="001D2A9A"/>
    <w:rsid w:val="00235A67"/>
    <w:rsid w:val="002554CB"/>
    <w:rsid w:val="002559AB"/>
    <w:rsid w:val="00274924"/>
    <w:rsid w:val="00280C98"/>
    <w:rsid w:val="0028371C"/>
    <w:rsid w:val="00296DB9"/>
    <w:rsid w:val="002A1C2F"/>
    <w:rsid w:val="002B3482"/>
    <w:rsid w:val="002B4499"/>
    <w:rsid w:val="002C5429"/>
    <w:rsid w:val="002D1250"/>
    <w:rsid w:val="002D3CC1"/>
    <w:rsid w:val="002F0ADA"/>
    <w:rsid w:val="00326F49"/>
    <w:rsid w:val="003365F1"/>
    <w:rsid w:val="00341301"/>
    <w:rsid w:val="003438A9"/>
    <w:rsid w:val="00370C25"/>
    <w:rsid w:val="0037354F"/>
    <w:rsid w:val="00383B3C"/>
    <w:rsid w:val="00394529"/>
    <w:rsid w:val="003A234F"/>
    <w:rsid w:val="003A37E6"/>
    <w:rsid w:val="003B253C"/>
    <w:rsid w:val="003B680C"/>
    <w:rsid w:val="003C58FD"/>
    <w:rsid w:val="004060A6"/>
    <w:rsid w:val="004323D3"/>
    <w:rsid w:val="00441BA0"/>
    <w:rsid w:val="00441F57"/>
    <w:rsid w:val="004643A9"/>
    <w:rsid w:val="004A1498"/>
    <w:rsid w:val="004B115E"/>
    <w:rsid w:val="004B5C53"/>
    <w:rsid w:val="004C6963"/>
    <w:rsid w:val="004D3C58"/>
    <w:rsid w:val="004D5950"/>
    <w:rsid w:val="004D73D6"/>
    <w:rsid w:val="004E1617"/>
    <w:rsid w:val="004F1662"/>
    <w:rsid w:val="00503C10"/>
    <w:rsid w:val="005048C2"/>
    <w:rsid w:val="00506787"/>
    <w:rsid w:val="00512C0A"/>
    <w:rsid w:val="005303FB"/>
    <w:rsid w:val="00547EDF"/>
    <w:rsid w:val="00550EA8"/>
    <w:rsid w:val="00570D78"/>
    <w:rsid w:val="00573F62"/>
    <w:rsid w:val="005858F0"/>
    <w:rsid w:val="005A2EF0"/>
    <w:rsid w:val="005B0A12"/>
    <w:rsid w:val="005B7A47"/>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3F50"/>
    <w:rsid w:val="006B7FBC"/>
    <w:rsid w:val="006C69A9"/>
    <w:rsid w:val="006C7541"/>
    <w:rsid w:val="006D4EBA"/>
    <w:rsid w:val="006D5EC4"/>
    <w:rsid w:val="006D7615"/>
    <w:rsid w:val="006F21BE"/>
    <w:rsid w:val="006F67A3"/>
    <w:rsid w:val="0070072A"/>
    <w:rsid w:val="00702785"/>
    <w:rsid w:val="007045B4"/>
    <w:rsid w:val="007330FC"/>
    <w:rsid w:val="00743B5D"/>
    <w:rsid w:val="00744575"/>
    <w:rsid w:val="007618BF"/>
    <w:rsid w:val="007734A3"/>
    <w:rsid w:val="0079516A"/>
    <w:rsid w:val="007A0315"/>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4AA5"/>
    <w:rsid w:val="008B61F7"/>
    <w:rsid w:val="008D591D"/>
    <w:rsid w:val="008D70C7"/>
    <w:rsid w:val="008E4236"/>
    <w:rsid w:val="008E53F9"/>
    <w:rsid w:val="008E78F5"/>
    <w:rsid w:val="008E7AFD"/>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3343F"/>
    <w:rsid w:val="00A45133"/>
    <w:rsid w:val="00A6234E"/>
    <w:rsid w:val="00A630EB"/>
    <w:rsid w:val="00A73E80"/>
    <w:rsid w:val="00A83041"/>
    <w:rsid w:val="00A86E3F"/>
    <w:rsid w:val="00A92383"/>
    <w:rsid w:val="00AA5687"/>
    <w:rsid w:val="00AB765A"/>
    <w:rsid w:val="00AD650E"/>
    <w:rsid w:val="00AE5BED"/>
    <w:rsid w:val="00AF3804"/>
    <w:rsid w:val="00B03BF8"/>
    <w:rsid w:val="00B04AC0"/>
    <w:rsid w:val="00B06BB5"/>
    <w:rsid w:val="00B1481B"/>
    <w:rsid w:val="00B22042"/>
    <w:rsid w:val="00B2356F"/>
    <w:rsid w:val="00B476F8"/>
    <w:rsid w:val="00B54C37"/>
    <w:rsid w:val="00B658A8"/>
    <w:rsid w:val="00B731A5"/>
    <w:rsid w:val="00B9070C"/>
    <w:rsid w:val="00B967EA"/>
    <w:rsid w:val="00B972AB"/>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553A4"/>
    <w:rsid w:val="00E77702"/>
    <w:rsid w:val="00EB36BF"/>
    <w:rsid w:val="00EC021E"/>
    <w:rsid w:val="00EC6EF8"/>
    <w:rsid w:val="00ED01D4"/>
    <w:rsid w:val="00EF4C28"/>
    <w:rsid w:val="00EF6703"/>
    <w:rsid w:val="00F038F0"/>
    <w:rsid w:val="00F05CAC"/>
    <w:rsid w:val="00F114AE"/>
    <w:rsid w:val="00F239CE"/>
    <w:rsid w:val="00F304B3"/>
    <w:rsid w:val="00F3497C"/>
    <w:rsid w:val="00F35848"/>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2026-06-05T23:09:00Z</dcterms:created>
  <dcterms:modified xsi:type="dcterms:W3CDTF">2026-06-11T17:59:00Z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