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4B992E8B"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E26EA6">
        <w:rPr>
          <w:rFonts w:ascii="Times New Roman" w:eastAsia="Times New Roman" w:hAnsi="Times New Roman" w:cs="Times New Roman"/>
          <w:sz w:val="24"/>
          <w:szCs w:val="24"/>
        </w:rPr>
        <w:t xml:space="preserve"> </w:t>
      </w:r>
      <w:r w:rsidR="003969F0">
        <w:rPr>
          <w:rFonts w:ascii="Times New Roman" w:eastAsia="Times New Roman" w:hAnsi="Times New Roman" w:cs="Times New Roman"/>
          <w:sz w:val="24"/>
          <w:szCs w:val="24"/>
        </w:rPr>
        <w:t>522</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46385EA0"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 xml:space="preserve">Resolution approving an exemption from real property taxes for property located at </w:t>
      </w:r>
      <w:r w:rsidR="00573F62" w:rsidRPr="0037354F">
        <w:rPr>
          <w:rFonts w:ascii="Times New Roman" w:eastAsia="Times New Roman" w:hAnsi="Times New Roman" w:cs="Times New Roman"/>
          <w:bCs/>
          <w:sz w:val="24"/>
          <w:szCs w:val="24"/>
        </w:rPr>
        <w:t>Block</w:t>
      </w:r>
      <w:r w:rsidR="003A234F">
        <w:rPr>
          <w:rFonts w:ascii="Times New Roman" w:eastAsia="Times New Roman" w:hAnsi="Times New Roman" w:cs="Times New Roman"/>
          <w:bCs/>
          <w:sz w:val="24"/>
          <w:szCs w:val="24"/>
        </w:rPr>
        <w:t xml:space="preserve"> </w:t>
      </w:r>
      <w:r w:rsidR="008539DC">
        <w:rPr>
          <w:rFonts w:ascii="Times New Roman" w:eastAsia="Times New Roman" w:hAnsi="Times New Roman" w:cs="Times New Roman"/>
          <w:bCs/>
          <w:sz w:val="24"/>
          <w:szCs w:val="24"/>
        </w:rPr>
        <w:t>2149</w:t>
      </w:r>
      <w:r w:rsidR="008659EA">
        <w:rPr>
          <w:rFonts w:ascii="Times New Roman" w:eastAsia="Times New Roman" w:hAnsi="Times New Roman" w:cs="Times New Roman"/>
          <w:bCs/>
          <w:sz w:val="24"/>
          <w:szCs w:val="24"/>
        </w:rPr>
        <w:t>,</w:t>
      </w:r>
      <w:r w:rsidR="003A234F">
        <w:rPr>
          <w:rFonts w:ascii="Times New Roman" w:eastAsia="Times New Roman" w:hAnsi="Times New Roman" w:cs="Times New Roman"/>
          <w:bCs/>
          <w:sz w:val="24"/>
          <w:szCs w:val="24"/>
        </w:rPr>
        <w:t xml:space="preserve"> Lot</w:t>
      </w:r>
      <w:r w:rsidR="008539DC">
        <w:rPr>
          <w:rFonts w:ascii="Times New Roman" w:eastAsia="Times New Roman" w:hAnsi="Times New Roman" w:cs="Times New Roman"/>
          <w:bCs/>
          <w:sz w:val="24"/>
          <w:szCs w:val="24"/>
        </w:rPr>
        <w:t>s</w:t>
      </w:r>
      <w:r w:rsidR="008659EA">
        <w:rPr>
          <w:rFonts w:ascii="Times New Roman" w:eastAsia="Times New Roman" w:hAnsi="Times New Roman" w:cs="Times New Roman"/>
          <w:bCs/>
          <w:sz w:val="24"/>
          <w:szCs w:val="24"/>
        </w:rPr>
        <w:t xml:space="preserve"> </w:t>
      </w:r>
      <w:r w:rsidR="008539DC">
        <w:rPr>
          <w:rFonts w:ascii="Times New Roman" w:eastAsia="Times New Roman" w:hAnsi="Times New Roman" w:cs="Times New Roman"/>
          <w:bCs/>
          <w:sz w:val="24"/>
          <w:szCs w:val="24"/>
        </w:rPr>
        <w:t>3</w:t>
      </w:r>
      <w:r w:rsidR="00DC6C41" w:rsidRPr="0037354F">
        <w:rPr>
          <w:rFonts w:ascii="Times New Roman" w:eastAsia="Times New Roman" w:hAnsi="Times New Roman" w:cs="Times New Roman"/>
          <w:sz w:val="24"/>
          <w:szCs w:val="24"/>
        </w:rPr>
        <w:t>,</w:t>
      </w:r>
      <w:r w:rsidR="008539DC">
        <w:rPr>
          <w:rFonts w:ascii="Times New Roman" w:eastAsia="Times New Roman" w:hAnsi="Times New Roman" w:cs="Times New Roman"/>
          <w:sz w:val="24"/>
          <w:szCs w:val="24"/>
        </w:rPr>
        <w:t xml:space="preserve"> 84, 101, and 104; Block 2156, Lots 22, 33, 35, and 37; Block 2157</w:t>
      </w:r>
      <w:r w:rsidR="00E46FF6">
        <w:rPr>
          <w:rFonts w:ascii="Times New Roman" w:eastAsia="Times New Roman" w:hAnsi="Times New Roman" w:cs="Times New Roman"/>
          <w:sz w:val="24"/>
          <w:szCs w:val="24"/>
        </w:rPr>
        <w:t>,</w:t>
      </w:r>
      <w:r w:rsidR="008539DC">
        <w:rPr>
          <w:rFonts w:ascii="Times New Roman" w:eastAsia="Times New Roman" w:hAnsi="Times New Roman" w:cs="Times New Roman"/>
          <w:sz w:val="24"/>
          <w:szCs w:val="24"/>
        </w:rPr>
        <w:t xml:space="preserve"> Lots 13 and 56</w:t>
      </w:r>
      <w:r w:rsidR="003A6742">
        <w:rPr>
          <w:rFonts w:ascii="Times New Roman" w:eastAsia="Times New Roman" w:hAnsi="Times New Roman" w:cs="Times New Roman"/>
          <w:sz w:val="24"/>
          <w:szCs w:val="24"/>
        </w:rPr>
        <w:t>,</w:t>
      </w:r>
      <w:r w:rsidR="00DC6C41"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Manhattan</w:t>
      </w:r>
      <w:r w:rsidRPr="0037354F">
        <w:rPr>
          <w:rFonts w:ascii="Times New Roman" w:eastAsia="Times New Roman" w:hAnsi="Times New Roman" w:cs="Times New Roman"/>
          <w:sz w:val="24"/>
          <w:szCs w:val="24"/>
        </w:rPr>
        <w:t>,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3969F0">
        <w:rPr>
          <w:rFonts w:ascii="Times New Roman" w:eastAsia="Times New Roman" w:hAnsi="Times New Roman" w:cs="Times New Roman"/>
          <w:sz w:val="24"/>
          <w:szCs w:val="24"/>
        </w:rPr>
        <w:t>89</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1FD5DDE5"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8539DC">
        <w:rPr>
          <w:rFonts w:ascii="Times New Roman" w:eastAsia="Times New Roman" w:hAnsi="Times New Roman" w:cs="Times New Roman"/>
          <w:sz w:val="24"/>
          <w:szCs w:val="24"/>
        </w:rPr>
        <w:t>27</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8539DC" w:rsidRPr="0037354F">
        <w:rPr>
          <w:rFonts w:ascii="Times New Roman" w:eastAsia="Times New Roman" w:hAnsi="Times New Roman" w:cs="Times New Roman"/>
          <w:bCs/>
          <w:sz w:val="24"/>
          <w:szCs w:val="24"/>
        </w:rPr>
        <w:t>Block</w:t>
      </w:r>
      <w:r w:rsidR="008539DC">
        <w:rPr>
          <w:rFonts w:ascii="Times New Roman" w:eastAsia="Times New Roman" w:hAnsi="Times New Roman" w:cs="Times New Roman"/>
          <w:bCs/>
          <w:sz w:val="24"/>
          <w:szCs w:val="24"/>
        </w:rPr>
        <w:t xml:space="preserve"> 2149, Lots 3</w:t>
      </w:r>
      <w:r w:rsidR="008539DC" w:rsidRPr="0037354F">
        <w:rPr>
          <w:rFonts w:ascii="Times New Roman" w:eastAsia="Times New Roman" w:hAnsi="Times New Roman" w:cs="Times New Roman"/>
          <w:sz w:val="24"/>
          <w:szCs w:val="24"/>
        </w:rPr>
        <w:t>,</w:t>
      </w:r>
      <w:r w:rsidR="008539DC">
        <w:rPr>
          <w:rFonts w:ascii="Times New Roman" w:eastAsia="Times New Roman" w:hAnsi="Times New Roman" w:cs="Times New Roman"/>
          <w:sz w:val="24"/>
          <w:szCs w:val="24"/>
        </w:rPr>
        <w:t xml:space="preserve"> 84, 101, and 104; Block 2156, Lots 22, 33, 35, and 37; Block 2157</w:t>
      </w:r>
      <w:r w:rsidR="00372520">
        <w:rPr>
          <w:rFonts w:ascii="Times New Roman" w:eastAsia="Times New Roman" w:hAnsi="Times New Roman" w:cs="Times New Roman"/>
          <w:sz w:val="24"/>
          <w:szCs w:val="24"/>
        </w:rPr>
        <w:t>,</w:t>
      </w:r>
      <w:r w:rsidR="008539DC">
        <w:rPr>
          <w:rFonts w:ascii="Times New Roman" w:eastAsia="Times New Roman" w:hAnsi="Times New Roman" w:cs="Times New Roman"/>
          <w:sz w:val="24"/>
          <w:szCs w:val="24"/>
        </w:rPr>
        <w:t xml:space="preserve"> Lots 13 and 56</w:t>
      </w:r>
      <w:r w:rsidR="00E150F2">
        <w:rPr>
          <w:rFonts w:ascii="Times New Roman" w:eastAsia="Times New Roman" w:hAnsi="Times New Roman" w:cs="Times New Roman"/>
          <w:sz w:val="24"/>
          <w:szCs w:val="24"/>
        </w:rPr>
        <w:t>,</w:t>
      </w:r>
      <w:r w:rsidR="008539DC" w:rsidRPr="0037354F">
        <w:rPr>
          <w:rFonts w:ascii="Times New Roman" w:eastAsia="Times New Roman" w:hAnsi="Times New Roman" w:cs="Times New Roman"/>
          <w:sz w:val="24"/>
          <w:szCs w:val="24"/>
        </w:rPr>
        <w:t xml:space="preserve"> </w:t>
      </w:r>
      <w:r w:rsidR="008539DC">
        <w:rPr>
          <w:rFonts w:ascii="Times New Roman" w:eastAsia="Times New Roman" w:hAnsi="Times New Roman" w:cs="Times New Roman"/>
          <w:sz w:val="24"/>
          <w:szCs w:val="24"/>
        </w:rPr>
        <w:t>Manhattan</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333C48A3" w14:textId="77777777" w:rsidR="008539DC" w:rsidRPr="008539DC" w:rsidRDefault="008539DC" w:rsidP="008539DC">
      <w:pPr>
        <w:numPr>
          <w:ilvl w:val="0"/>
          <w:numId w:val="7"/>
        </w:numPr>
        <w:rPr>
          <w:rFonts w:ascii="Times New Roman" w:hAnsi="Times New Roman" w:cs="Times New Roman"/>
          <w:sz w:val="24"/>
          <w:szCs w:val="24"/>
        </w:rPr>
      </w:pPr>
      <w:r w:rsidRPr="008539DC">
        <w:rPr>
          <w:rFonts w:ascii="Times New Roman" w:hAnsi="Times New Roman" w:cs="Times New Roman"/>
          <w:sz w:val="24"/>
          <w:szCs w:val="24"/>
        </w:rPr>
        <w:t>“Company” shall mean DY Heights LLC or any other entity that acquires the beneficial interest in the Exemption Area with the prior written consent of HPD.</w:t>
      </w:r>
    </w:p>
    <w:p w14:paraId="1E556492" w14:textId="77777777" w:rsidR="00D56BCF" w:rsidRPr="00D56BCF" w:rsidRDefault="00D56BCF" w:rsidP="00D56BCF">
      <w:pPr>
        <w:rPr>
          <w:rFonts w:ascii="Times New Roman" w:hAnsi="Times New Roman" w:cs="Times New Roman"/>
          <w:sz w:val="24"/>
          <w:szCs w:val="24"/>
        </w:rPr>
      </w:pPr>
    </w:p>
    <w:p w14:paraId="527A4849" w14:textId="77777777" w:rsidR="008539DC" w:rsidRDefault="00D56BCF" w:rsidP="008539DC">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 xml:space="preserve"> </w:t>
      </w:r>
      <w:r w:rsidR="008539DC" w:rsidRPr="008539DC">
        <w:rPr>
          <w:rFonts w:ascii="Times New Roman" w:hAnsi="Times New Roman" w:cs="Times New Roman"/>
          <w:sz w:val="24"/>
          <w:szCs w:val="24"/>
        </w:rPr>
        <w:t xml:space="preserve">“Effective Date” shall mean the later of (i) the date of conveyance of the Exemption Area to the HDFC, or (ii) the date that HPD and the Owner enter into the Regulatory Agreement. </w:t>
      </w:r>
    </w:p>
    <w:p w14:paraId="77A70F97" w14:textId="77777777" w:rsidR="008539DC" w:rsidRPr="008539DC" w:rsidRDefault="008539DC" w:rsidP="008539DC">
      <w:pPr>
        <w:pStyle w:val="ListParagraph"/>
        <w:ind w:firstLine="0"/>
        <w:rPr>
          <w:rFonts w:ascii="Times New Roman" w:hAnsi="Times New Roman" w:cs="Times New Roman"/>
          <w:sz w:val="24"/>
          <w:szCs w:val="24"/>
        </w:rPr>
      </w:pPr>
    </w:p>
    <w:p w14:paraId="359FD092" w14:textId="77777777"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“Exemption” shall mean the exemption from real property taxation provided hereunder.</w:t>
      </w:r>
    </w:p>
    <w:p w14:paraId="62E9FED8" w14:textId="77777777" w:rsidR="008539DC" w:rsidRPr="008539DC" w:rsidRDefault="008539DC" w:rsidP="008539DC">
      <w:pPr>
        <w:pStyle w:val="ListParagraph"/>
        <w:rPr>
          <w:rFonts w:ascii="Times New Roman" w:hAnsi="Times New Roman" w:cs="Times New Roman"/>
          <w:sz w:val="24"/>
          <w:szCs w:val="24"/>
        </w:rPr>
      </w:pPr>
    </w:p>
    <w:p w14:paraId="37F10D11" w14:textId="6C77710F" w:rsidR="008539DC" w:rsidRP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“Exemption Area” shall mean the real property located in the Borough of Manhattan, City and State of New York, identified as Block 2149, Lots 3, 84, 101 and 104, Block 2156, Lots 22, 33, 35 and 37, and Block 2157, Lots 13 and 56 on the Tax Map of the City of New York.</w:t>
      </w:r>
      <w:r>
        <w:rPr>
          <w:rFonts w:ascii="Times New Roman" w:hAnsi="Times New Roman" w:cs="Times New Roman"/>
          <w:sz w:val="24"/>
          <w:szCs w:val="24"/>
        </w:rPr>
        <w:br/>
      </w:r>
    </w:p>
    <w:p w14:paraId="0A939CE9" w14:textId="070B9732"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p>
    <w:p w14:paraId="3135F72A" w14:textId="77777777" w:rsidR="008539DC" w:rsidRPr="008539DC" w:rsidRDefault="008539DC" w:rsidP="008539DC">
      <w:pPr>
        <w:rPr>
          <w:rFonts w:ascii="Times New Roman" w:hAnsi="Times New Roman" w:cs="Times New Roman"/>
          <w:sz w:val="24"/>
          <w:szCs w:val="24"/>
        </w:rPr>
      </w:pPr>
    </w:p>
    <w:p w14:paraId="4CCE3271" w14:textId="77777777"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lastRenderedPageBreak/>
        <w:t xml:space="preserve">“Gross Rent” shall mean the gross potential rents from all residential, commercial, and community facility units on the Exemption Area without regard to whether such units are occupied or vacant, including, but not limited to, Section 8, rent supplements, rental assistance, or any other subsidy. </w:t>
      </w:r>
    </w:p>
    <w:p w14:paraId="7F334108" w14:textId="77777777" w:rsidR="008539DC" w:rsidRPr="008539DC" w:rsidRDefault="008539DC" w:rsidP="008539DC">
      <w:pPr>
        <w:pStyle w:val="ListParagraph"/>
        <w:rPr>
          <w:rFonts w:ascii="Times New Roman" w:hAnsi="Times New Roman" w:cs="Times New Roman"/>
          <w:sz w:val="24"/>
          <w:szCs w:val="24"/>
        </w:rPr>
      </w:pPr>
    </w:p>
    <w:p w14:paraId="148A572D" w14:textId="77777777"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 xml:space="preserve">“Gross Rent Deadline” shall mean three hundred and sixty-five (365) days from the date of the HPD letter requesting the information that HPD needs to calculate the Gross Rent Tax for the applicable tax year. </w:t>
      </w:r>
    </w:p>
    <w:p w14:paraId="310C37D9" w14:textId="77777777" w:rsidR="008539DC" w:rsidRPr="008539DC" w:rsidRDefault="008539DC" w:rsidP="008539DC">
      <w:pPr>
        <w:pStyle w:val="ListParagraph"/>
        <w:rPr>
          <w:rFonts w:ascii="Times New Roman" w:hAnsi="Times New Roman" w:cs="Times New Roman"/>
          <w:sz w:val="24"/>
          <w:szCs w:val="24"/>
        </w:rPr>
      </w:pPr>
    </w:p>
    <w:p w14:paraId="182CDE54" w14:textId="77777777"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 xml:space="preserve">“Gross Rent Tax” shall mean, with respect to any tax year, an amount equal to five percent (5.0%) of the Gross Rent in such tax year; provided, however, that if the Owner fails to provide the Gross Rent on or before the Gross Rent Deadline, Gross Rent Tax shall mean an amount equal to real property taxes that would otherwise be due in such tax year in the absence of any form of exemption from or abatement of real property taxation. </w:t>
      </w:r>
    </w:p>
    <w:p w14:paraId="6DB0F838" w14:textId="77777777" w:rsidR="008539DC" w:rsidRPr="008539DC" w:rsidRDefault="008539DC" w:rsidP="008539DC">
      <w:pPr>
        <w:pStyle w:val="ListParagraph"/>
        <w:rPr>
          <w:rFonts w:ascii="Times New Roman" w:hAnsi="Times New Roman" w:cs="Times New Roman"/>
          <w:sz w:val="24"/>
          <w:szCs w:val="24"/>
        </w:rPr>
      </w:pPr>
    </w:p>
    <w:p w14:paraId="6DAFFFF6" w14:textId="77777777"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“HDFC” shall mean HP DY Heights Housing Development Fund Corporation or a housing development fund company that acquires the Exemption Area with the prior written consent of HPD.</w:t>
      </w:r>
    </w:p>
    <w:p w14:paraId="1CA61A29" w14:textId="77777777" w:rsidR="008539DC" w:rsidRPr="008539DC" w:rsidRDefault="008539DC" w:rsidP="008539DC">
      <w:pPr>
        <w:pStyle w:val="ListParagraph"/>
        <w:rPr>
          <w:rFonts w:ascii="Times New Roman" w:hAnsi="Times New Roman" w:cs="Times New Roman"/>
          <w:sz w:val="24"/>
          <w:szCs w:val="24"/>
        </w:rPr>
      </w:pPr>
    </w:p>
    <w:p w14:paraId="6B429A35" w14:textId="77777777"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“HPD” shall mean the Department of Housing Preservation and Development of the City of New York.</w:t>
      </w:r>
    </w:p>
    <w:p w14:paraId="4A5740DE" w14:textId="77777777" w:rsidR="008539DC" w:rsidRPr="008539DC" w:rsidRDefault="008539DC" w:rsidP="008539DC">
      <w:pPr>
        <w:pStyle w:val="ListParagraph"/>
        <w:rPr>
          <w:rFonts w:ascii="Times New Roman" w:hAnsi="Times New Roman" w:cs="Times New Roman"/>
          <w:sz w:val="24"/>
          <w:szCs w:val="24"/>
        </w:rPr>
      </w:pPr>
    </w:p>
    <w:p w14:paraId="03330E2B" w14:textId="77777777"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“Owner” shall mean, collectively, the HDFC and the Company.</w:t>
      </w:r>
    </w:p>
    <w:p w14:paraId="6093D251" w14:textId="77777777" w:rsidR="008539DC" w:rsidRPr="008539DC" w:rsidRDefault="008539DC" w:rsidP="008539DC">
      <w:pPr>
        <w:pStyle w:val="ListParagraph"/>
        <w:rPr>
          <w:rFonts w:ascii="Times New Roman" w:hAnsi="Times New Roman" w:cs="Times New Roman"/>
          <w:sz w:val="24"/>
          <w:szCs w:val="24"/>
        </w:rPr>
      </w:pPr>
    </w:p>
    <w:p w14:paraId="64D3BE80" w14:textId="77777777"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 xml:space="preserve">“Regulatory Agreement” shall mean the regulatory agreement between HPD and the Owner establishing certain controls upon the operation of the Exemption Area during the term of the Exemption. </w:t>
      </w:r>
    </w:p>
    <w:p w14:paraId="47708801" w14:textId="77777777" w:rsidR="00702785" w:rsidRPr="00702785" w:rsidRDefault="00702785" w:rsidP="00702785">
      <w:pPr>
        <w:ind w:left="0" w:firstLine="0"/>
        <w:rPr>
          <w:rFonts w:ascii="Times New Roman" w:hAnsi="Times New Roman" w:cs="Times New Roman"/>
          <w:sz w:val="24"/>
          <w:szCs w:val="24"/>
        </w:rPr>
      </w:pPr>
    </w:p>
    <w:p w14:paraId="707725CD" w14:textId="295ED400" w:rsidR="008659EA" w:rsidRPr="008659EA" w:rsidRDefault="008659EA" w:rsidP="00AF3804">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2.</w:t>
      </w:r>
      <w:r w:rsidR="00702785">
        <w:rPr>
          <w:rFonts w:ascii="Times New Roman" w:hAnsi="Times New Roman" w:cs="Times New Roman"/>
          <w:sz w:val="24"/>
          <w:szCs w:val="24"/>
        </w:rPr>
        <w:t xml:space="preserve"> </w:t>
      </w:r>
      <w:r w:rsidR="008539DC" w:rsidRPr="008539DC">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r w:rsidR="00A02D8F">
        <w:rPr>
          <w:rFonts w:ascii="Times New Roman" w:hAnsi="Times New Roman" w:cs="Times New Roman"/>
          <w:sz w:val="24"/>
          <w:szCs w:val="24"/>
        </w:rPr>
        <w:t>.</w:t>
      </w:r>
    </w:p>
    <w:p w14:paraId="1DD7D324" w14:textId="77777777" w:rsidR="00D56BCF" w:rsidRDefault="00D56BCF" w:rsidP="00D56BCF">
      <w:pPr>
        <w:ind w:left="0" w:firstLine="0"/>
        <w:rPr>
          <w:rFonts w:ascii="Times New Roman" w:hAnsi="Times New Roman" w:cs="Times New Roman"/>
          <w:sz w:val="24"/>
          <w:szCs w:val="24"/>
        </w:rPr>
      </w:pPr>
    </w:p>
    <w:p w14:paraId="02DC4318" w14:textId="77777777" w:rsidR="008539DC" w:rsidRPr="008539DC" w:rsidRDefault="00D56BCF" w:rsidP="008539DC">
      <w:pPr>
        <w:ind w:left="0" w:firstLine="0"/>
        <w:rPr>
          <w:rFonts w:ascii="Times New Roman" w:hAnsi="Times New Roman" w:cs="Times New Roman"/>
          <w:sz w:val="24"/>
          <w:szCs w:val="24"/>
        </w:rPr>
      </w:pPr>
      <w:r>
        <w:rPr>
          <w:rFonts w:ascii="Times New Roman" w:hAnsi="Times New Roman" w:cs="Times New Roman"/>
          <w:sz w:val="24"/>
          <w:szCs w:val="24"/>
        </w:rPr>
        <w:t xml:space="preserve">3. </w:t>
      </w:r>
      <w:r w:rsidR="008539DC" w:rsidRPr="008539DC">
        <w:rPr>
          <w:rFonts w:ascii="Times New Roman" w:hAnsi="Times New Roman" w:cs="Times New Roman"/>
          <w:sz w:val="24"/>
          <w:szCs w:val="24"/>
        </w:rPr>
        <w:t xml:space="preserve">Commencing upon the Effective Date, and during each year thereafter until the Expiration Date, the Owner shall make real property tax payments in the sum of the Gross Rent Tax. Notwithstanding the foregoing, the total annual real property tax payment by the Owner shall not at any time exceed the amount of real property taxes that would otherwise be due in the absence of any form of exemption from or abatement of real property taxation provided by an existing or future local, state, or federal law, rule, or regulation. </w:t>
      </w:r>
    </w:p>
    <w:p w14:paraId="030BB081" w14:textId="77777777" w:rsidR="008539DC" w:rsidRDefault="008539DC" w:rsidP="00D56BCF">
      <w:pPr>
        <w:ind w:left="0" w:firstLine="0"/>
        <w:rPr>
          <w:rFonts w:ascii="Times New Roman" w:hAnsi="Times New Roman" w:cs="Times New Roman"/>
          <w:sz w:val="24"/>
          <w:szCs w:val="24"/>
        </w:rPr>
      </w:pPr>
    </w:p>
    <w:p w14:paraId="304120DB" w14:textId="11FE6389" w:rsidR="00702785" w:rsidRDefault="008539DC" w:rsidP="00D56BCF">
      <w:pPr>
        <w:ind w:left="0" w:firstLine="0"/>
        <w:rPr>
          <w:rFonts w:ascii="Times New Roman" w:hAnsi="Times New Roman" w:cs="Times New Roman"/>
          <w:sz w:val="24"/>
          <w:szCs w:val="24"/>
        </w:rPr>
      </w:pPr>
      <w:r>
        <w:rPr>
          <w:rFonts w:ascii="Times New Roman" w:hAnsi="Times New Roman" w:cs="Times New Roman"/>
          <w:sz w:val="24"/>
          <w:szCs w:val="24"/>
        </w:rPr>
        <w:t xml:space="preserve">4. </w:t>
      </w:r>
      <w:r w:rsidR="00702785" w:rsidRPr="00702785">
        <w:rPr>
          <w:rFonts w:ascii="Times New Roman" w:hAnsi="Times New Roman" w:cs="Times New Roman"/>
          <w:sz w:val="24"/>
          <w:szCs w:val="24"/>
        </w:rPr>
        <w:t>Notwithstanding any provision hereof to the contrary:</w:t>
      </w:r>
    </w:p>
    <w:p w14:paraId="360298D1" w14:textId="77777777" w:rsidR="00E150F2" w:rsidRPr="00702785" w:rsidRDefault="00E150F2" w:rsidP="00D56BCF">
      <w:pPr>
        <w:ind w:left="0" w:firstLine="0"/>
        <w:rPr>
          <w:rFonts w:ascii="Times New Roman" w:hAnsi="Times New Roman" w:cs="Times New Roman"/>
          <w:sz w:val="24"/>
          <w:szCs w:val="24"/>
        </w:rPr>
      </w:pPr>
    </w:p>
    <w:p w14:paraId="4D963EF6" w14:textId="32CFD42D" w:rsidR="00702785" w:rsidRDefault="008539DC" w:rsidP="00702785">
      <w:pPr>
        <w:pStyle w:val="ListParagraph"/>
        <w:numPr>
          <w:ilvl w:val="0"/>
          <w:numId w:val="25"/>
        </w:numPr>
        <w:rPr>
          <w:rFonts w:ascii="Times New Roman" w:hAnsi="Times New Roman" w:cs="Times New Roman"/>
          <w:sz w:val="24"/>
          <w:szCs w:val="24"/>
        </w:rPr>
      </w:pPr>
      <w:r w:rsidRPr="008539DC">
        <w:rPr>
          <w:rFonts w:ascii="Times New Roman" w:hAnsi="Times New Roman" w:cs="Times New Roman"/>
          <w:sz w:val="24"/>
          <w:szCs w:val="24"/>
        </w:rPr>
        <w:t xml:space="preserve">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in the Exemption Area is conveyed or </w:t>
      </w:r>
      <w:r w:rsidRPr="008539DC">
        <w:rPr>
          <w:rFonts w:ascii="Times New Roman" w:hAnsi="Times New Roman" w:cs="Times New Roman"/>
          <w:sz w:val="24"/>
          <w:szCs w:val="24"/>
        </w:rPr>
        <w:lastRenderedPageBreak/>
        <w:t>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Exemption shall prospectively terminate.</w:t>
      </w:r>
    </w:p>
    <w:p w14:paraId="35CFD965" w14:textId="77777777" w:rsidR="00702785" w:rsidRDefault="00702785" w:rsidP="00702785">
      <w:pPr>
        <w:pStyle w:val="ListParagraph"/>
        <w:ind w:firstLine="0"/>
        <w:rPr>
          <w:rFonts w:ascii="Times New Roman" w:hAnsi="Times New Roman" w:cs="Times New Roman"/>
          <w:sz w:val="24"/>
          <w:szCs w:val="24"/>
        </w:rPr>
      </w:pPr>
    </w:p>
    <w:p w14:paraId="7D36F907" w14:textId="2D4E51EB" w:rsidR="00D56BCF" w:rsidRDefault="008539DC" w:rsidP="008539DC">
      <w:pPr>
        <w:pStyle w:val="ListParagraph"/>
        <w:numPr>
          <w:ilvl w:val="0"/>
          <w:numId w:val="25"/>
        </w:numPr>
        <w:rPr>
          <w:rFonts w:ascii="Times New Roman" w:hAnsi="Times New Roman" w:cs="Times New Roman"/>
          <w:sz w:val="24"/>
          <w:szCs w:val="24"/>
        </w:rPr>
      </w:pPr>
      <w:r w:rsidRPr="008539DC">
        <w:rPr>
          <w:rFonts w:ascii="Times New Roman" w:hAnsi="Times New Roman" w:cs="Times New Roman"/>
          <w:sz w:val="24"/>
          <w:szCs w:val="24"/>
        </w:rPr>
        <w:t>The Exemption shall apply to all land in the Exemption Area, but shall only apply to buildings on the Exemption Area that exist on the Effective Date.</w:t>
      </w:r>
    </w:p>
    <w:p w14:paraId="6F61C60C" w14:textId="77777777" w:rsidR="008539DC" w:rsidRPr="008539DC" w:rsidRDefault="008539DC" w:rsidP="008539DC">
      <w:pPr>
        <w:ind w:left="0" w:firstLine="0"/>
        <w:rPr>
          <w:rFonts w:ascii="Times New Roman" w:hAnsi="Times New Roman" w:cs="Times New Roman"/>
          <w:sz w:val="24"/>
          <w:szCs w:val="24"/>
        </w:rPr>
      </w:pPr>
    </w:p>
    <w:p w14:paraId="0E16EB9F" w14:textId="23EC60CD" w:rsidR="008659EA" w:rsidRDefault="008539DC" w:rsidP="004C7545">
      <w:pPr>
        <w:pStyle w:val="ListParagraph"/>
        <w:numPr>
          <w:ilvl w:val="0"/>
          <w:numId w:val="25"/>
        </w:numPr>
        <w:rPr>
          <w:rFonts w:ascii="Times New Roman" w:hAnsi="Times New Roman" w:cs="Times New Roman"/>
          <w:sz w:val="24"/>
          <w:szCs w:val="24"/>
        </w:rPr>
      </w:pPr>
      <w:r w:rsidRPr="008539DC">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p>
    <w:p w14:paraId="036D1AFB" w14:textId="77777777" w:rsidR="008539DC" w:rsidRPr="00D56BCF" w:rsidRDefault="008539DC" w:rsidP="00D56BCF">
      <w:pPr>
        <w:pStyle w:val="ListParagraph"/>
        <w:ind w:firstLine="0"/>
        <w:rPr>
          <w:rFonts w:ascii="Times New Roman" w:hAnsi="Times New Roman" w:cs="Times New Roman"/>
          <w:sz w:val="24"/>
          <w:szCs w:val="24"/>
        </w:rPr>
      </w:pPr>
    </w:p>
    <w:p w14:paraId="2059FCF1" w14:textId="32AC6D82" w:rsidR="008659EA" w:rsidRPr="00EB36BF" w:rsidRDefault="008539DC" w:rsidP="00EB36BF">
      <w:pPr>
        <w:ind w:left="0" w:firstLine="0"/>
        <w:rPr>
          <w:rFonts w:ascii="Times New Roman" w:hAnsi="Times New Roman" w:cs="Times New Roman"/>
          <w:sz w:val="24"/>
          <w:szCs w:val="24"/>
        </w:rPr>
      </w:pPr>
      <w:r>
        <w:rPr>
          <w:rFonts w:ascii="Times New Roman" w:hAnsi="Times New Roman" w:cs="Times New Roman"/>
          <w:sz w:val="24"/>
          <w:szCs w:val="24"/>
        </w:rPr>
        <w:t>5</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Pr="008539DC">
        <w:rPr>
          <w:rFonts w:ascii="Times New Roman" w:hAnsi="Times New Roman" w:cs="Times New Roman"/>
          <w:sz w:val="24"/>
          <w:szCs w:val="24"/>
        </w:rPr>
        <w:t>In 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nothing herein shall prohibit the granting of any real property tax abatement pursuant to Sections 467-b or 467-c of the Real Property Tax Law to real property occupied by senior citizens or persons with disabilities.</w:t>
      </w:r>
    </w:p>
    <w:p w14:paraId="75386C5F" w14:textId="77777777" w:rsidR="0064284C" w:rsidRPr="0037354F" w:rsidRDefault="0064284C" w:rsidP="00296DB9">
      <w:pPr>
        <w:pStyle w:val="ListParagraph"/>
        <w:ind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494B6559"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Pr="00CD27D5" w:rsidRDefault="0064609E" w:rsidP="00C57AF3">
      <w:pPr>
        <w:shd w:val="clear" w:color="auto" w:fill="FFFFFF"/>
        <w:spacing w:after="240" w:line="240" w:lineRule="auto"/>
        <w:ind w:left="5040" w:firstLine="0"/>
        <w:rPr>
          <w:rFonts w:ascii="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sectPr w:rsidR="00F771FF" w:rsidRPr="00CD27D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4B6C3" w14:textId="77777777" w:rsidR="00334B96" w:rsidRDefault="00334B96">
      <w:pPr>
        <w:spacing w:after="0" w:line="240" w:lineRule="auto"/>
      </w:pPr>
      <w:r>
        <w:separator/>
      </w:r>
    </w:p>
  </w:endnote>
  <w:endnote w:type="continuationSeparator" w:id="0">
    <w:p w14:paraId="0381201F" w14:textId="77777777" w:rsidR="00334B96" w:rsidRDefault="00334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D529A" w14:textId="77777777" w:rsidR="00334B96" w:rsidRDefault="00334B96">
      <w:pPr>
        <w:spacing w:after="0" w:line="240" w:lineRule="auto"/>
      </w:pPr>
      <w:r>
        <w:separator/>
      </w:r>
    </w:p>
  </w:footnote>
  <w:footnote w:type="continuationSeparator" w:id="0">
    <w:p w14:paraId="331F2B52" w14:textId="77777777" w:rsidR="00334B96" w:rsidRDefault="00334B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469C7"/>
    <w:rsid w:val="000550FC"/>
    <w:rsid w:val="0007661F"/>
    <w:rsid w:val="00086CEB"/>
    <w:rsid w:val="00087478"/>
    <w:rsid w:val="000A0A15"/>
    <w:rsid w:val="000B36B6"/>
    <w:rsid w:val="000B4BBF"/>
    <w:rsid w:val="000B7A70"/>
    <w:rsid w:val="000C45A5"/>
    <w:rsid w:val="000D569C"/>
    <w:rsid w:val="000D66F0"/>
    <w:rsid w:val="0010747D"/>
    <w:rsid w:val="001227D8"/>
    <w:rsid w:val="00124664"/>
    <w:rsid w:val="0013019E"/>
    <w:rsid w:val="00144446"/>
    <w:rsid w:val="00144D7F"/>
    <w:rsid w:val="00152BB2"/>
    <w:rsid w:val="00164E2F"/>
    <w:rsid w:val="00170B8F"/>
    <w:rsid w:val="00171BB4"/>
    <w:rsid w:val="0017253E"/>
    <w:rsid w:val="0017331D"/>
    <w:rsid w:val="00176B6F"/>
    <w:rsid w:val="001B3041"/>
    <w:rsid w:val="001D2A9A"/>
    <w:rsid w:val="00235A67"/>
    <w:rsid w:val="002554CB"/>
    <w:rsid w:val="00274924"/>
    <w:rsid w:val="00280C98"/>
    <w:rsid w:val="0028371C"/>
    <w:rsid w:val="002964CC"/>
    <w:rsid w:val="00296DB9"/>
    <w:rsid w:val="002A1C2F"/>
    <w:rsid w:val="002B3482"/>
    <w:rsid w:val="002B4499"/>
    <w:rsid w:val="002C5429"/>
    <w:rsid w:val="002D1250"/>
    <w:rsid w:val="002D3CC1"/>
    <w:rsid w:val="002F0ADA"/>
    <w:rsid w:val="00326F49"/>
    <w:rsid w:val="00334B96"/>
    <w:rsid w:val="00341301"/>
    <w:rsid w:val="003438A9"/>
    <w:rsid w:val="00370C25"/>
    <w:rsid w:val="00372520"/>
    <w:rsid w:val="0037354F"/>
    <w:rsid w:val="00394529"/>
    <w:rsid w:val="003969F0"/>
    <w:rsid w:val="003A234F"/>
    <w:rsid w:val="003A37E6"/>
    <w:rsid w:val="003A6742"/>
    <w:rsid w:val="003B253C"/>
    <w:rsid w:val="003C58FD"/>
    <w:rsid w:val="004060A6"/>
    <w:rsid w:val="004323D3"/>
    <w:rsid w:val="00441BA0"/>
    <w:rsid w:val="00441F57"/>
    <w:rsid w:val="004643A9"/>
    <w:rsid w:val="004A1498"/>
    <w:rsid w:val="004B115E"/>
    <w:rsid w:val="004B5C53"/>
    <w:rsid w:val="004C6963"/>
    <w:rsid w:val="004C7545"/>
    <w:rsid w:val="004D3C58"/>
    <w:rsid w:val="004D73D6"/>
    <w:rsid w:val="004E1617"/>
    <w:rsid w:val="00503C10"/>
    <w:rsid w:val="005048C2"/>
    <w:rsid w:val="00506787"/>
    <w:rsid w:val="00512C0A"/>
    <w:rsid w:val="00520BEF"/>
    <w:rsid w:val="00547EDF"/>
    <w:rsid w:val="00570D78"/>
    <w:rsid w:val="00573F62"/>
    <w:rsid w:val="005858F0"/>
    <w:rsid w:val="005A2EF0"/>
    <w:rsid w:val="005B0A12"/>
    <w:rsid w:val="005B7A47"/>
    <w:rsid w:val="005D6096"/>
    <w:rsid w:val="005E4BED"/>
    <w:rsid w:val="005F1AB6"/>
    <w:rsid w:val="005F5F3D"/>
    <w:rsid w:val="006005EF"/>
    <w:rsid w:val="006033B6"/>
    <w:rsid w:val="0064284C"/>
    <w:rsid w:val="0064609E"/>
    <w:rsid w:val="0065136A"/>
    <w:rsid w:val="00654FC1"/>
    <w:rsid w:val="00661E56"/>
    <w:rsid w:val="0066423D"/>
    <w:rsid w:val="00670EF9"/>
    <w:rsid w:val="006A3F50"/>
    <w:rsid w:val="006B7FBC"/>
    <w:rsid w:val="006C7541"/>
    <w:rsid w:val="006D4EBA"/>
    <w:rsid w:val="006D5EC4"/>
    <w:rsid w:val="006D7615"/>
    <w:rsid w:val="006F21BE"/>
    <w:rsid w:val="006F67A3"/>
    <w:rsid w:val="0070072A"/>
    <w:rsid w:val="00702785"/>
    <w:rsid w:val="007045B4"/>
    <w:rsid w:val="007108AF"/>
    <w:rsid w:val="007330FC"/>
    <w:rsid w:val="00743B5D"/>
    <w:rsid w:val="007618BF"/>
    <w:rsid w:val="007734A3"/>
    <w:rsid w:val="0079516A"/>
    <w:rsid w:val="007A73F6"/>
    <w:rsid w:val="007C2DE4"/>
    <w:rsid w:val="007C5499"/>
    <w:rsid w:val="007D2960"/>
    <w:rsid w:val="007E5C51"/>
    <w:rsid w:val="00820B41"/>
    <w:rsid w:val="00827948"/>
    <w:rsid w:val="00830FA9"/>
    <w:rsid w:val="0084314A"/>
    <w:rsid w:val="008539DC"/>
    <w:rsid w:val="0085666E"/>
    <w:rsid w:val="00864E60"/>
    <w:rsid w:val="008659EA"/>
    <w:rsid w:val="00874218"/>
    <w:rsid w:val="00896A30"/>
    <w:rsid w:val="008B2095"/>
    <w:rsid w:val="008B61F7"/>
    <w:rsid w:val="008D591D"/>
    <w:rsid w:val="008E4236"/>
    <w:rsid w:val="008E53F9"/>
    <w:rsid w:val="008E78F5"/>
    <w:rsid w:val="008F1D1C"/>
    <w:rsid w:val="00901C82"/>
    <w:rsid w:val="0090208A"/>
    <w:rsid w:val="0090597D"/>
    <w:rsid w:val="00915763"/>
    <w:rsid w:val="009419D7"/>
    <w:rsid w:val="009673B9"/>
    <w:rsid w:val="00980C40"/>
    <w:rsid w:val="009B0710"/>
    <w:rsid w:val="009B64A7"/>
    <w:rsid w:val="009C163D"/>
    <w:rsid w:val="009C300E"/>
    <w:rsid w:val="009D5153"/>
    <w:rsid w:val="009E6D4C"/>
    <w:rsid w:val="00A02D8F"/>
    <w:rsid w:val="00A04C22"/>
    <w:rsid w:val="00A3343F"/>
    <w:rsid w:val="00A45133"/>
    <w:rsid w:val="00A512E4"/>
    <w:rsid w:val="00A6234E"/>
    <w:rsid w:val="00A630EB"/>
    <w:rsid w:val="00A73E80"/>
    <w:rsid w:val="00A83041"/>
    <w:rsid w:val="00A86E3F"/>
    <w:rsid w:val="00A92383"/>
    <w:rsid w:val="00AB765A"/>
    <w:rsid w:val="00AF3804"/>
    <w:rsid w:val="00B03BF8"/>
    <w:rsid w:val="00B04AC0"/>
    <w:rsid w:val="00B06BB5"/>
    <w:rsid w:val="00B1481B"/>
    <w:rsid w:val="00B22042"/>
    <w:rsid w:val="00B2356F"/>
    <w:rsid w:val="00B476F8"/>
    <w:rsid w:val="00B54C37"/>
    <w:rsid w:val="00B658A8"/>
    <w:rsid w:val="00B731A5"/>
    <w:rsid w:val="00B9070C"/>
    <w:rsid w:val="00B967EA"/>
    <w:rsid w:val="00BC7BD2"/>
    <w:rsid w:val="00BD40B4"/>
    <w:rsid w:val="00BD616D"/>
    <w:rsid w:val="00BE62B6"/>
    <w:rsid w:val="00BF2BC0"/>
    <w:rsid w:val="00C0197C"/>
    <w:rsid w:val="00C03F99"/>
    <w:rsid w:val="00C14CC4"/>
    <w:rsid w:val="00C2198F"/>
    <w:rsid w:val="00C321C4"/>
    <w:rsid w:val="00C3799C"/>
    <w:rsid w:val="00C47CC8"/>
    <w:rsid w:val="00C57AF3"/>
    <w:rsid w:val="00C70258"/>
    <w:rsid w:val="00C71E38"/>
    <w:rsid w:val="00C81AD1"/>
    <w:rsid w:val="00C85A42"/>
    <w:rsid w:val="00CB51DB"/>
    <w:rsid w:val="00CB70AE"/>
    <w:rsid w:val="00CD27D5"/>
    <w:rsid w:val="00CE268C"/>
    <w:rsid w:val="00CE2A11"/>
    <w:rsid w:val="00CF7345"/>
    <w:rsid w:val="00D07B72"/>
    <w:rsid w:val="00D136FF"/>
    <w:rsid w:val="00D178BA"/>
    <w:rsid w:val="00D23896"/>
    <w:rsid w:val="00D307EE"/>
    <w:rsid w:val="00D41AFA"/>
    <w:rsid w:val="00D52503"/>
    <w:rsid w:val="00D56BCF"/>
    <w:rsid w:val="00D84A43"/>
    <w:rsid w:val="00D86217"/>
    <w:rsid w:val="00D91B72"/>
    <w:rsid w:val="00D956A4"/>
    <w:rsid w:val="00D97AA5"/>
    <w:rsid w:val="00DB6E72"/>
    <w:rsid w:val="00DC6C41"/>
    <w:rsid w:val="00DD186D"/>
    <w:rsid w:val="00DE0000"/>
    <w:rsid w:val="00DE52E7"/>
    <w:rsid w:val="00DF0587"/>
    <w:rsid w:val="00DF7A16"/>
    <w:rsid w:val="00E150F2"/>
    <w:rsid w:val="00E216D7"/>
    <w:rsid w:val="00E21B7D"/>
    <w:rsid w:val="00E26EA6"/>
    <w:rsid w:val="00E34B1F"/>
    <w:rsid w:val="00E46FF6"/>
    <w:rsid w:val="00E542C4"/>
    <w:rsid w:val="00E5483E"/>
    <w:rsid w:val="00E77702"/>
    <w:rsid w:val="00EB36BF"/>
    <w:rsid w:val="00EC021E"/>
    <w:rsid w:val="00EC6EF8"/>
    <w:rsid w:val="00ED01D4"/>
    <w:rsid w:val="00EF4C28"/>
    <w:rsid w:val="00EF6703"/>
    <w:rsid w:val="00F038F0"/>
    <w:rsid w:val="00F05CAC"/>
    <w:rsid w:val="00F239CE"/>
    <w:rsid w:val="00F266D8"/>
    <w:rsid w:val="00F304B3"/>
    <w:rsid w:val="00F3497C"/>
    <w:rsid w:val="00F41442"/>
    <w:rsid w:val="00F45F61"/>
    <w:rsid w:val="00F46C78"/>
    <w:rsid w:val="00F52330"/>
    <w:rsid w:val="00F771FF"/>
    <w:rsid w:val="00FA0F8C"/>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semiHidden/>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semiHidden/>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1054</Words>
  <Characters>6012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2026-06-05T23:04:00Z</dcterms:created>
  <dcterms:modified xsi:type="dcterms:W3CDTF">2026-06-11T17:58:00Z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