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BE1B7" w14:textId="4DBF3F2B" w:rsidR="00C768B4" w:rsidRDefault="61F7EF54">
      <w:pPr>
        <w:spacing w:after="0" w:line="240" w:lineRule="auto"/>
        <w:jc w:val="center"/>
        <w:rPr>
          <w:rFonts w:ascii="Times New Roman" w:eastAsia="Times New Roman" w:hAnsi="Times New Roman" w:cs="Times New Roman"/>
          <w:sz w:val="24"/>
          <w:szCs w:val="24"/>
        </w:rPr>
      </w:pPr>
      <w:r w:rsidRPr="61F7EF54">
        <w:rPr>
          <w:rFonts w:ascii="Times New Roman" w:eastAsia="Times New Roman" w:hAnsi="Times New Roman" w:cs="Times New Roman"/>
          <w:sz w:val="24"/>
          <w:szCs w:val="24"/>
        </w:rPr>
        <w:t>Res. No.</w:t>
      </w:r>
      <w:r w:rsidR="004A1D8B">
        <w:rPr>
          <w:rFonts w:ascii="Times New Roman" w:eastAsia="Times New Roman" w:hAnsi="Times New Roman" w:cs="Times New Roman"/>
          <w:sz w:val="24"/>
          <w:szCs w:val="24"/>
        </w:rPr>
        <w:t xml:space="preserve"> 213</w:t>
      </w:r>
    </w:p>
    <w:p w14:paraId="318EEFB1" w14:textId="77777777" w:rsidR="00C768B4" w:rsidRDefault="009623E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3E9C8DB" w14:textId="77777777" w:rsidR="007C6F5C" w:rsidRPr="007C6F5C" w:rsidRDefault="007C6F5C">
      <w:pPr>
        <w:spacing w:after="0" w:line="240" w:lineRule="auto"/>
        <w:jc w:val="both"/>
        <w:rPr>
          <w:rFonts w:ascii="Times New Roman" w:eastAsia="Times New Roman" w:hAnsi="Times New Roman" w:cs="Times New Roman"/>
          <w:vanish/>
          <w:sz w:val="24"/>
          <w:szCs w:val="24"/>
        </w:rPr>
      </w:pPr>
      <w:proofErr w:type="gramStart"/>
      <w:r w:rsidRPr="007C6F5C">
        <w:rPr>
          <w:rFonts w:ascii="Times New Roman" w:eastAsia="Times New Roman" w:hAnsi="Times New Roman" w:cs="Times New Roman"/>
          <w:vanish/>
          <w:sz w:val="24"/>
          <w:szCs w:val="24"/>
        </w:rPr>
        <w:t>..</w:t>
      </w:r>
      <w:proofErr w:type="gramEnd"/>
      <w:r w:rsidRPr="007C6F5C">
        <w:rPr>
          <w:rFonts w:ascii="Times New Roman" w:eastAsia="Times New Roman" w:hAnsi="Times New Roman" w:cs="Times New Roman"/>
          <w:vanish/>
          <w:sz w:val="24"/>
          <w:szCs w:val="24"/>
        </w:rPr>
        <w:t>Title</w:t>
      </w:r>
    </w:p>
    <w:p w14:paraId="538E1458" w14:textId="5CC5DB6B" w:rsidR="00C768B4" w:rsidRDefault="009623E6">
      <w:pPr>
        <w:spacing w:after="0" w:line="24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sz w:val="24"/>
          <w:szCs w:val="24"/>
        </w:rPr>
        <w:t xml:space="preserve">Resolution calling on </w:t>
      </w:r>
      <w:r>
        <w:rPr>
          <w:rFonts w:ascii="Times New Roman" w:eastAsia="Times New Roman" w:hAnsi="Times New Roman" w:cs="Times New Roman"/>
          <w:color w:val="212529"/>
          <w:sz w:val="24"/>
          <w:szCs w:val="24"/>
        </w:rPr>
        <w:t xml:space="preserve">the New York State Legislature to pass, and the Governor to sign, A.6362, to authorize localities to provide for an additional real property tax exemption for </w:t>
      </w:r>
      <w:r w:rsidR="00A70702">
        <w:rPr>
          <w:rFonts w:ascii="Times New Roman" w:eastAsia="Times New Roman" w:hAnsi="Times New Roman" w:cs="Times New Roman"/>
          <w:color w:val="212529"/>
          <w:sz w:val="24"/>
          <w:szCs w:val="24"/>
        </w:rPr>
        <w:t xml:space="preserve">eligible </w:t>
      </w:r>
      <w:r w:rsidR="00825B7A">
        <w:rPr>
          <w:rFonts w:ascii="Times New Roman" w:eastAsia="Times New Roman" w:hAnsi="Times New Roman" w:cs="Times New Roman"/>
          <w:color w:val="212529"/>
          <w:sz w:val="24"/>
          <w:szCs w:val="24"/>
        </w:rPr>
        <w:t>persons</w:t>
      </w:r>
      <w:r>
        <w:rPr>
          <w:rFonts w:ascii="Times New Roman" w:eastAsia="Times New Roman" w:hAnsi="Times New Roman" w:cs="Times New Roman"/>
          <w:color w:val="212529"/>
          <w:sz w:val="24"/>
          <w:szCs w:val="24"/>
        </w:rPr>
        <w:t xml:space="preserve"> who are</w:t>
      </w:r>
      <w:r w:rsidR="00825B7A">
        <w:rPr>
          <w:rFonts w:ascii="Times New Roman" w:eastAsia="Times New Roman" w:hAnsi="Times New Roman" w:cs="Times New Roman"/>
          <w:color w:val="212529"/>
          <w:sz w:val="24"/>
          <w:szCs w:val="24"/>
        </w:rPr>
        <w:t xml:space="preserve"> </w:t>
      </w:r>
      <w:r w:rsidR="00851BEC">
        <w:rPr>
          <w:rFonts w:ascii="Times New Roman" w:eastAsia="Times New Roman" w:hAnsi="Times New Roman" w:cs="Times New Roman"/>
          <w:color w:val="212529"/>
          <w:sz w:val="24"/>
          <w:szCs w:val="24"/>
        </w:rPr>
        <w:t>65</w:t>
      </w:r>
      <w:r w:rsidR="00825B7A">
        <w:rPr>
          <w:rFonts w:ascii="Times New Roman" w:eastAsia="Times New Roman" w:hAnsi="Times New Roman" w:cs="Times New Roman"/>
          <w:color w:val="212529"/>
          <w:sz w:val="24"/>
          <w:szCs w:val="24"/>
        </w:rPr>
        <w:t xml:space="preserve"> years of age </w:t>
      </w:r>
      <w:r w:rsidR="00C60DBB">
        <w:rPr>
          <w:rFonts w:ascii="Times New Roman" w:eastAsia="Times New Roman" w:hAnsi="Times New Roman" w:cs="Times New Roman"/>
          <w:color w:val="212529"/>
          <w:sz w:val="24"/>
          <w:szCs w:val="24"/>
        </w:rPr>
        <w:t>and</w:t>
      </w:r>
      <w:r w:rsidR="00825B7A">
        <w:rPr>
          <w:rFonts w:ascii="Times New Roman" w:eastAsia="Times New Roman" w:hAnsi="Times New Roman" w:cs="Times New Roman"/>
          <w:color w:val="212529"/>
          <w:sz w:val="24"/>
          <w:szCs w:val="24"/>
        </w:rPr>
        <w:t xml:space="preserve"> older</w:t>
      </w:r>
    </w:p>
    <w:p w14:paraId="188BF3EF" w14:textId="06A609D3" w:rsidR="007C6F5C" w:rsidRPr="007C6F5C" w:rsidRDefault="007C6F5C">
      <w:pPr>
        <w:spacing w:after="0" w:line="240" w:lineRule="auto"/>
        <w:jc w:val="both"/>
        <w:rPr>
          <w:rFonts w:ascii="Times New Roman" w:eastAsia="Times New Roman" w:hAnsi="Times New Roman" w:cs="Times New Roman"/>
          <w:vanish/>
          <w:color w:val="212529"/>
          <w:sz w:val="24"/>
          <w:szCs w:val="24"/>
        </w:rPr>
      </w:pPr>
      <w:proofErr w:type="gramStart"/>
      <w:r w:rsidRPr="007C6F5C">
        <w:rPr>
          <w:rFonts w:ascii="Times New Roman" w:eastAsia="Times New Roman" w:hAnsi="Times New Roman" w:cs="Times New Roman"/>
          <w:vanish/>
          <w:color w:val="212529"/>
          <w:sz w:val="24"/>
          <w:szCs w:val="24"/>
        </w:rPr>
        <w:t>..</w:t>
      </w:r>
      <w:proofErr w:type="gramEnd"/>
      <w:r w:rsidRPr="007C6F5C">
        <w:rPr>
          <w:rFonts w:ascii="Times New Roman" w:eastAsia="Times New Roman" w:hAnsi="Times New Roman" w:cs="Times New Roman"/>
          <w:vanish/>
          <w:color w:val="212529"/>
          <w:sz w:val="24"/>
          <w:szCs w:val="24"/>
        </w:rPr>
        <w:t>Body</w:t>
      </w:r>
    </w:p>
    <w:p w14:paraId="0CAF52E8" w14:textId="77777777" w:rsidR="00C768B4" w:rsidRDefault="00C768B4">
      <w:pPr>
        <w:spacing w:after="0" w:line="240" w:lineRule="auto"/>
        <w:jc w:val="both"/>
      </w:pPr>
    </w:p>
    <w:p w14:paraId="507FF8CC" w14:textId="16ACCC61" w:rsidR="00CD76B9" w:rsidRDefault="00CD76B9" w:rsidP="00CD76B9">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By Council Member</w:t>
      </w:r>
      <w:r w:rsidR="004A1D8B">
        <w:rPr>
          <w:rFonts w:ascii="Times New Roman" w:hAnsi="Times New Roman" w:cs="Times New Roman"/>
          <w:sz w:val="24"/>
          <w:szCs w:val="24"/>
        </w:rPr>
        <w:t>s</w:t>
      </w:r>
      <w:r>
        <w:rPr>
          <w:rFonts w:ascii="Times New Roman" w:hAnsi="Times New Roman" w:cs="Times New Roman"/>
          <w:sz w:val="24"/>
          <w:szCs w:val="24"/>
        </w:rPr>
        <w:t xml:space="preserve"> Hudson</w:t>
      </w:r>
      <w:r w:rsidR="004A1D8B">
        <w:rPr>
          <w:rFonts w:ascii="Times New Roman" w:hAnsi="Times New Roman" w:cs="Times New Roman"/>
          <w:sz w:val="24"/>
          <w:szCs w:val="24"/>
        </w:rPr>
        <w:t xml:space="preserve"> and Louis</w:t>
      </w:r>
    </w:p>
    <w:p w14:paraId="1B0F97F8" w14:textId="1B09081F" w:rsidR="00C768B4" w:rsidRDefault="009623E6" w:rsidP="00877FD3">
      <w:pPr>
        <w:spacing w:after="0" w:line="480" w:lineRule="auto"/>
        <w:ind w:firstLine="720"/>
        <w:jc w:val="both"/>
      </w:pPr>
      <w:proofErr w:type="gramStart"/>
      <w:r>
        <w:rPr>
          <w:rFonts w:ascii="Times New Roman" w:hAnsi="Times New Roman" w:cs="Times New Roman"/>
          <w:sz w:val="24"/>
          <w:szCs w:val="24"/>
        </w:rPr>
        <w:t>Whereas,</w:t>
      </w:r>
      <w:proofErr w:type="gramEnd"/>
      <w:r>
        <w:t xml:space="preserve"> </w:t>
      </w:r>
      <w:r w:rsidR="00851BEC">
        <w:rPr>
          <w:rFonts w:ascii="Times New Roman" w:hAnsi="Times New Roman" w:cs="Times New Roman"/>
          <w:sz w:val="24"/>
          <w:szCs w:val="24"/>
        </w:rPr>
        <w:t>R</w:t>
      </w:r>
      <w:r>
        <w:rPr>
          <w:rFonts w:ascii="Times New Roman" w:hAnsi="Times New Roman" w:cs="Times New Roman"/>
          <w:sz w:val="24"/>
          <w:szCs w:val="24"/>
        </w:rPr>
        <w:t xml:space="preserve">ecent U.S. Census Bureau </w:t>
      </w:r>
      <w:r w:rsidR="00851BEC">
        <w:rPr>
          <w:rFonts w:ascii="Times New Roman" w:hAnsi="Times New Roman" w:cs="Times New Roman"/>
          <w:sz w:val="24"/>
          <w:szCs w:val="24"/>
        </w:rPr>
        <w:t xml:space="preserve">data </w:t>
      </w:r>
      <w:r>
        <w:rPr>
          <w:rFonts w:ascii="Times New Roman" w:hAnsi="Times New Roman" w:cs="Times New Roman"/>
          <w:sz w:val="24"/>
          <w:szCs w:val="24"/>
        </w:rPr>
        <w:t>show that the median</w:t>
      </w:r>
      <w:r w:rsidR="00851BEC">
        <w:rPr>
          <w:rFonts w:ascii="Times New Roman" w:hAnsi="Times New Roman" w:cs="Times New Roman"/>
          <w:sz w:val="24"/>
          <w:szCs w:val="24"/>
        </w:rPr>
        <w:t xml:space="preserve"> annual</w:t>
      </w:r>
      <w:r>
        <w:rPr>
          <w:rFonts w:ascii="Times New Roman" w:hAnsi="Times New Roman" w:cs="Times New Roman"/>
          <w:sz w:val="24"/>
          <w:szCs w:val="24"/>
        </w:rPr>
        <w:t xml:space="preserve"> income among Americans aged 65 years and older decreased by 2.6 percent between 2020 and 2021, from an estimated $48,866 to an estimated $47,620; and</w:t>
      </w:r>
    </w:p>
    <w:p w14:paraId="4045C66E" w14:textId="1B8615C7" w:rsidR="00C768B4" w:rsidRDefault="009623E6" w:rsidP="00877FD3">
      <w:pPr>
        <w:spacing w:after="0" w:line="480" w:lineRule="auto"/>
        <w:ind w:firstLine="720"/>
        <w:jc w:val="both"/>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The prevalence of poverty among U.S. adults aged 65 years and older increased between 2020 and 2021, from 8.9 percent, or over 4.8 million people, to 10.3 percent, or more than 5.8 million </w:t>
      </w:r>
      <w:r w:rsidR="00851BEC">
        <w:rPr>
          <w:rFonts w:ascii="Times New Roman" w:hAnsi="Times New Roman" w:cs="Times New Roman"/>
          <w:sz w:val="24"/>
          <w:szCs w:val="24"/>
        </w:rPr>
        <w:t>people</w:t>
      </w:r>
      <w:r>
        <w:rPr>
          <w:rFonts w:ascii="Times New Roman" w:hAnsi="Times New Roman" w:cs="Times New Roman"/>
          <w:sz w:val="24"/>
          <w:szCs w:val="24"/>
        </w:rPr>
        <w:t>; and</w:t>
      </w:r>
    </w:p>
    <w:p w14:paraId="4FDA52C9" w14:textId="1644D372" w:rsidR="00C768B4" w:rsidRDefault="009623E6" w:rsidP="00877FD3">
      <w:pPr>
        <w:spacing w:after="0" w:line="480" w:lineRule="auto"/>
        <w:ind w:firstLine="720"/>
        <w:jc w:val="both"/>
      </w:pPr>
      <w:r>
        <w:rPr>
          <w:rFonts w:ascii="Times New Roman" w:hAnsi="Times New Roman" w:cs="Times New Roman"/>
          <w:sz w:val="24"/>
          <w:szCs w:val="24"/>
        </w:rPr>
        <w:t>Whereas, Moreover, 4.2 percent</w:t>
      </w:r>
      <w:r w:rsidR="00C60DBB">
        <w:rPr>
          <w:rFonts w:ascii="Times New Roman" w:hAnsi="Times New Roman" w:cs="Times New Roman"/>
          <w:sz w:val="24"/>
          <w:szCs w:val="24"/>
        </w:rPr>
        <w:t xml:space="preserve"> of Americans aged 65 years and older</w:t>
      </w:r>
      <w:r>
        <w:rPr>
          <w:rFonts w:ascii="Times New Roman" w:hAnsi="Times New Roman" w:cs="Times New Roman"/>
          <w:sz w:val="24"/>
          <w:szCs w:val="24"/>
        </w:rPr>
        <w:t>, or over 2.3 million</w:t>
      </w:r>
      <w:r w:rsidR="00C60DBB">
        <w:rPr>
          <w:rFonts w:ascii="Times New Roman" w:hAnsi="Times New Roman" w:cs="Times New Roman"/>
          <w:sz w:val="24"/>
          <w:szCs w:val="24"/>
        </w:rPr>
        <w:t xml:space="preserve"> people</w:t>
      </w:r>
      <w:r>
        <w:rPr>
          <w:rFonts w:ascii="Times New Roman" w:hAnsi="Times New Roman" w:cs="Times New Roman"/>
          <w:sz w:val="24"/>
          <w:szCs w:val="24"/>
        </w:rPr>
        <w:t>, lived in deep poverty in 2021; and</w:t>
      </w:r>
    </w:p>
    <w:p w14:paraId="05A6C749" w14:textId="72D83DC7" w:rsidR="00C768B4" w:rsidRDefault="009623E6" w:rsidP="00877FD3">
      <w:pPr>
        <w:spacing w:after="0" w:line="480" w:lineRule="auto"/>
        <w:ind w:firstLine="720"/>
        <w:jc w:val="both"/>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According</w:t>
      </w:r>
      <w:proofErr w:type="gramEnd"/>
      <w:r>
        <w:rPr>
          <w:rFonts w:ascii="Times New Roman" w:hAnsi="Times New Roman" w:cs="Times New Roman"/>
          <w:sz w:val="24"/>
          <w:szCs w:val="24"/>
        </w:rPr>
        <w:t xml:space="preserve"> to the New York State Office of Temporary and Disability Assistance, as of November 2021, 631,101 people in New York State and 372,302 </w:t>
      </w:r>
      <w:r w:rsidR="00C60DBB">
        <w:rPr>
          <w:rFonts w:ascii="Times New Roman" w:hAnsi="Times New Roman" w:cs="Times New Roman"/>
          <w:sz w:val="24"/>
          <w:szCs w:val="24"/>
        </w:rPr>
        <w:t xml:space="preserve">people </w:t>
      </w:r>
      <w:r>
        <w:rPr>
          <w:rFonts w:ascii="Times New Roman" w:hAnsi="Times New Roman" w:cs="Times New Roman"/>
          <w:sz w:val="24"/>
          <w:szCs w:val="24"/>
        </w:rPr>
        <w:t xml:space="preserve">in New York City received Supplemental Security Income; and </w:t>
      </w:r>
    </w:p>
    <w:p w14:paraId="689565DC" w14:textId="77777777" w:rsidR="00C768B4" w:rsidRDefault="009623E6" w:rsidP="00877FD3">
      <w:pPr>
        <w:spacing w:after="0" w:line="480" w:lineRule="auto"/>
        <w:ind w:firstLine="720"/>
        <w:jc w:val="both"/>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According</w:t>
      </w:r>
      <w:proofErr w:type="gramEnd"/>
      <w:r>
        <w:rPr>
          <w:rFonts w:ascii="Times New Roman" w:hAnsi="Times New Roman" w:cs="Times New Roman"/>
          <w:sz w:val="24"/>
          <w:szCs w:val="24"/>
        </w:rPr>
        <w:t xml:space="preserve"> to the U.S. Bureau of Labor Statistics, between April 2022 and April 2023, prices paid by urban consumers for all items, as measured by the Consumer Price Index, increased by 4.9 percent nationally and by 3.7 percent in New York State; and </w:t>
      </w:r>
    </w:p>
    <w:p w14:paraId="46718B27" w14:textId="77777777" w:rsidR="00C768B4" w:rsidRDefault="009623E6" w:rsidP="00877FD3">
      <w:pPr>
        <w:spacing w:after="0" w:line="480" w:lineRule="auto"/>
        <w:ind w:firstLine="720"/>
        <w:jc w:val="both"/>
      </w:pPr>
      <w:r>
        <w:rPr>
          <w:rFonts w:ascii="Times New Roman" w:hAnsi="Times New Roman" w:cs="Times New Roman"/>
          <w:sz w:val="24"/>
          <w:szCs w:val="24"/>
        </w:rPr>
        <w:t>Whereas, Between May 2022 and May 2023, housing costs in the New York Metropolitan Area expanded by 4.2 percent; and</w:t>
      </w:r>
    </w:p>
    <w:p w14:paraId="0CF43608" w14:textId="77777777" w:rsidR="00C768B4" w:rsidRDefault="009623E6" w:rsidP="00877FD3">
      <w:pPr>
        <w:spacing w:after="0" w:line="480" w:lineRule="auto"/>
        <w:ind w:firstLine="720"/>
        <w:jc w:val="both"/>
      </w:pPr>
      <w:proofErr w:type="gramStart"/>
      <w:r>
        <w:rPr>
          <w:rFonts w:ascii="Times New Roman" w:hAnsi="Times New Roman" w:cs="Times New Roman"/>
          <w:sz w:val="24"/>
          <w:szCs w:val="24"/>
        </w:rPr>
        <w:lastRenderedPageBreak/>
        <w:t>Whereas,</w:t>
      </w:r>
      <w:proofErr w:type="gramEnd"/>
      <w:r>
        <w:rPr>
          <w:rFonts w:ascii="Times New Roman" w:hAnsi="Times New Roman" w:cs="Times New Roman"/>
          <w:sz w:val="24"/>
          <w:szCs w:val="24"/>
        </w:rPr>
        <w:t xml:space="preserve"> The U.S. Census Bureau calculated that in New York State, the median homeowner costs, inclusive of a mortgage, were $2,267 per month or $27,204 per year in 2021; and</w:t>
      </w:r>
    </w:p>
    <w:p w14:paraId="0FC982BD" w14:textId="77777777" w:rsidR="00C768B4" w:rsidRDefault="009623E6" w:rsidP="00877FD3">
      <w:pPr>
        <w:spacing w:after="0" w:line="480" w:lineRule="auto"/>
        <w:ind w:firstLine="720"/>
        <w:jc w:val="both"/>
      </w:pPr>
      <w:r>
        <w:rPr>
          <w:rFonts w:ascii="Times New Roman" w:hAnsi="Times New Roman" w:cs="Times New Roman"/>
          <w:sz w:val="24"/>
          <w:szCs w:val="24"/>
        </w:rPr>
        <w:t>Whereas, In New York City, the median homeowner costs, inclusive of a mortgage, amounted to $2,913 per month or $34,956 per year in 2021; and</w:t>
      </w:r>
    </w:p>
    <w:p w14:paraId="40A9381E" w14:textId="3569E0D4" w:rsidR="00C768B4" w:rsidRDefault="009623E6" w:rsidP="00877FD3">
      <w:pPr>
        <w:spacing w:after="0" w:line="480" w:lineRule="auto"/>
        <w:ind w:firstLine="720"/>
        <w:jc w:val="both"/>
      </w:pPr>
      <w:r>
        <w:rPr>
          <w:rFonts w:ascii="Times New Roman" w:hAnsi="Times New Roman" w:cs="Times New Roman"/>
          <w:sz w:val="24"/>
          <w:szCs w:val="24"/>
        </w:rPr>
        <w:t xml:space="preserve">Whereas, </w:t>
      </w:r>
      <w:proofErr w:type="gramStart"/>
      <w:r w:rsidR="00C60DBB">
        <w:rPr>
          <w:rFonts w:ascii="Times New Roman" w:hAnsi="Times New Roman" w:cs="Times New Roman"/>
          <w:sz w:val="24"/>
          <w:szCs w:val="24"/>
        </w:rPr>
        <w:t>A</w:t>
      </w:r>
      <w:r>
        <w:rPr>
          <w:rFonts w:ascii="Times New Roman" w:hAnsi="Times New Roman" w:cs="Times New Roman"/>
          <w:sz w:val="24"/>
          <w:szCs w:val="24"/>
        </w:rPr>
        <w:t>s</w:t>
      </w:r>
      <w:proofErr w:type="gramEnd"/>
      <w:r>
        <w:rPr>
          <w:rFonts w:ascii="Times New Roman" w:hAnsi="Times New Roman" w:cs="Times New Roman"/>
          <w:sz w:val="24"/>
          <w:szCs w:val="24"/>
        </w:rPr>
        <w:t xml:space="preserve"> of 2021, the median value of owner-occupied housing units was $340,600 in New York State and $660,700 in New York City; and</w:t>
      </w:r>
    </w:p>
    <w:p w14:paraId="36DABE3A" w14:textId="77777777" w:rsidR="00C768B4" w:rsidRDefault="009623E6" w:rsidP="00877FD3">
      <w:pPr>
        <w:spacing w:after="0" w:line="480" w:lineRule="auto"/>
        <w:ind w:firstLine="720"/>
        <w:jc w:val="both"/>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The New York City Department of Finance noted that as of January 2023, assessed values of one-, </w:t>
      </w:r>
      <w:proofErr w:type="gramStart"/>
      <w:r>
        <w:rPr>
          <w:rFonts w:ascii="Times New Roman" w:hAnsi="Times New Roman" w:cs="Times New Roman"/>
          <w:sz w:val="24"/>
          <w:szCs w:val="24"/>
        </w:rPr>
        <w:t>two-,</w:t>
      </w:r>
      <w:proofErr w:type="gramEnd"/>
      <w:r>
        <w:rPr>
          <w:rFonts w:ascii="Times New Roman" w:hAnsi="Times New Roman" w:cs="Times New Roman"/>
          <w:sz w:val="24"/>
          <w:szCs w:val="24"/>
        </w:rPr>
        <w:t xml:space="preserve"> and three-family homes in New York City increased by 6 percent, while the tax rate for Tax Year 2023 for this property class was 20.31 percent of the assessed value; and</w:t>
      </w:r>
    </w:p>
    <w:p w14:paraId="00C07D0F" w14:textId="0CBE4AD0" w:rsidR="00C768B4" w:rsidRDefault="009623E6" w:rsidP="00877FD3">
      <w:pPr>
        <w:spacing w:after="0" w:line="480" w:lineRule="auto"/>
        <w:ind w:firstLine="720"/>
        <w:jc w:val="both"/>
      </w:pPr>
      <w:r>
        <w:rPr>
          <w:rFonts w:ascii="Times New Roman" w:hAnsi="Times New Roman" w:cs="Times New Roman"/>
          <w:sz w:val="24"/>
          <w:szCs w:val="24"/>
        </w:rPr>
        <w:t>Whereas, Similarly, as of January 2023, assessed values of cooperative and condominium apartments in New York City grew by 3.1 percent, while the tax rate for this property class was 12.27 percent of the assessed value</w:t>
      </w:r>
      <w:r w:rsidR="00C60DBB">
        <w:rPr>
          <w:rFonts w:ascii="Times New Roman" w:hAnsi="Times New Roman" w:cs="Times New Roman"/>
          <w:sz w:val="24"/>
          <w:szCs w:val="24"/>
        </w:rPr>
        <w:t xml:space="preserve"> for Tax Year 2023</w:t>
      </w:r>
      <w:r>
        <w:rPr>
          <w:rFonts w:ascii="Times New Roman" w:hAnsi="Times New Roman" w:cs="Times New Roman"/>
          <w:sz w:val="24"/>
          <w:szCs w:val="24"/>
        </w:rPr>
        <w:t>; and</w:t>
      </w:r>
    </w:p>
    <w:p w14:paraId="738A4E96" w14:textId="77777777" w:rsidR="00C768B4" w:rsidRDefault="009623E6" w:rsidP="00877FD3">
      <w:pPr>
        <w:spacing w:after="0" w:line="480" w:lineRule="auto"/>
        <w:ind w:firstLine="720"/>
        <w:jc w:val="both"/>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According</w:t>
      </w:r>
      <w:proofErr w:type="gramEnd"/>
      <w:r>
        <w:rPr>
          <w:rFonts w:ascii="Times New Roman" w:hAnsi="Times New Roman" w:cs="Times New Roman"/>
          <w:sz w:val="24"/>
          <w:szCs w:val="24"/>
        </w:rPr>
        <w:t xml:space="preserve"> to the U.S. Internal Revenue Service, as of 2023, the median property tax in New York State was $3,755</w:t>
      </w:r>
      <w:r>
        <w:t xml:space="preserve"> </w:t>
      </w:r>
      <w:r>
        <w:rPr>
          <w:rFonts w:ascii="Times New Roman" w:hAnsi="Times New Roman" w:cs="Times New Roman"/>
          <w:sz w:val="24"/>
          <w:szCs w:val="24"/>
        </w:rPr>
        <w:t>per year; and</w:t>
      </w:r>
    </w:p>
    <w:p w14:paraId="1BF5BBCB" w14:textId="45947EF9" w:rsidR="00C768B4" w:rsidRDefault="009623E6" w:rsidP="00877FD3">
      <w:pPr>
        <w:spacing w:after="0" w:line="480" w:lineRule="auto"/>
        <w:ind w:firstLine="720"/>
        <w:jc w:val="both"/>
      </w:pPr>
      <w:r>
        <w:rPr>
          <w:rFonts w:ascii="Times New Roman" w:hAnsi="Times New Roman" w:cs="Times New Roman"/>
          <w:sz w:val="24"/>
          <w:szCs w:val="24"/>
        </w:rPr>
        <w:t>Whereas, Among the counties encompassed by New York City, as of 2023, the median</w:t>
      </w:r>
      <w:r w:rsidR="009E6EAE">
        <w:rPr>
          <w:rFonts w:ascii="Times New Roman" w:hAnsi="Times New Roman" w:cs="Times New Roman"/>
          <w:sz w:val="24"/>
          <w:szCs w:val="24"/>
        </w:rPr>
        <w:t xml:space="preserve"> annual</w:t>
      </w:r>
      <w:r>
        <w:rPr>
          <w:rFonts w:ascii="Times New Roman" w:hAnsi="Times New Roman" w:cs="Times New Roman"/>
          <w:sz w:val="24"/>
          <w:szCs w:val="24"/>
        </w:rPr>
        <w:t xml:space="preserve"> property tax was $2,653 in Bronx County, $2,903 in Kings County, $5,873 in New York County, $2,914 in Queens County, and $2,842 in Richmond County; and</w:t>
      </w:r>
    </w:p>
    <w:p w14:paraId="3D321DF5" w14:textId="77777777" w:rsidR="00C768B4" w:rsidRDefault="009623E6" w:rsidP="00877FD3">
      <w:pPr>
        <w:spacing w:after="0" w:line="480" w:lineRule="auto"/>
        <w:ind w:firstLine="720"/>
        <w:jc w:val="both"/>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A report for Fiscal Year 2022 by the New York City Department of Finance highlighted that the rate of property tax delinquency for Class One property in New York City, including one-, two-, and three-family homes, increased between 2019 and 2021, from 3.34 percent to 3.45 percent; and</w:t>
      </w:r>
    </w:p>
    <w:p w14:paraId="46B41738" w14:textId="77777777" w:rsidR="00C768B4" w:rsidRDefault="009623E6" w:rsidP="00877FD3">
      <w:pPr>
        <w:spacing w:after="0" w:line="480" w:lineRule="auto"/>
        <w:ind w:firstLine="720"/>
        <w:jc w:val="both"/>
      </w:pPr>
      <w:r>
        <w:rPr>
          <w:rFonts w:ascii="Times New Roman" w:hAnsi="Times New Roman" w:cs="Times New Roman"/>
          <w:sz w:val="24"/>
          <w:szCs w:val="24"/>
        </w:rPr>
        <w:lastRenderedPageBreak/>
        <w:t xml:space="preserve">Whereas, Likewise, the rate of property tax delinquency for Class Two property in New York City, including cooperative and condominium apartments, grew between 2019 and 2021, from 1.66 percent to 2.28 percent; and </w:t>
      </w:r>
    </w:p>
    <w:p w14:paraId="05EBA9AC" w14:textId="29F42FBF" w:rsidR="00C768B4" w:rsidRDefault="009623E6" w:rsidP="00877FD3">
      <w:pPr>
        <w:spacing w:after="0" w:line="480" w:lineRule="auto"/>
        <w:ind w:firstLine="720"/>
        <w:jc w:val="both"/>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w:t>
      </w:r>
      <w:r w:rsidR="00C60DBB">
        <w:rPr>
          <w:rFonts w:ascii="Times New Roman" w:hAnsi="Times New Roman" w:cs="Times New Roman"/>
          <w:sz w:val="24"/>
          <w:szCs w:val="24"/>
        </w:rPr>
        <w:t xml:space="preserve">The </w:t>
      </w:r>
      <w:r>
        <w:rPr>
          <w:rFonts w:ascii="Times New Roman" w:hAnsi="Times New Roman" w:cs="Times New Roman"/>
          <w:sz w:val="24"/>
          <w:szCs w:val="24"/>
        </w:rPr>
        <w:t xml:space="preserve">Senior Citizen Homeowners’ Exemption (SCHE) program in New York State provides a property tax exemption for eligible </w:t>
      </w:r>
      <w:proofErr w:type="gramStart"/>
      <w:r w:rsidR="00C60DBB">
        <w:rPr>
          <w:rFonts w:ascii="Times New Roman" w:hAnsi="Times New Roman" w:cs="Times New Roman"/>
          <w:sz w:val="24"/>
          <w:szCs w:val="24"/>
        </w:rPr>
        <w:t>persons</w:t>
      </w:r>
      <w:proofErr w:type="gramEnd"/>
      <w:r>
        <w:rPr>
          <w:rFonts w:ascii="Times New Roman" w:hAnsi="Times New Roman" w:cs="Times New Roman"/>
          <w:sz w:val="24"/>
          <w:szCs w:val="24"/>
        </w:rPr>
        <w:t xml:space="preserve"> aged 65 years and older, who own one-, </w:t>
      </w:r>
      <w:proofErr w:type="gramStart"/>
      <w:r>
        <w:rPr>
          <w:rFonts w:ascii="Times New Roman" w:hAnsi="Times New Roman" w:cs="Times New Roman"/>
          <w:sz w:val="24"/>
          <w:szCs w:val="24"/>
        </w:rPr>
        <w:t>two-,</w:t>
      </w:r>
      <w:proofErr w:type="gramEnd"/>
      <w:r>
        <w:rPr>
          <w:rFonts w:ascii="Times New Roman" w:hAnsi="Times New Roman" w:cs="Times New Roman"/>
          <w:sz w:val="24"/>
          <w:szCs w:val="24"/>
        </w:rPr>
        <w:t xml:space="preserve"> or three-family homes, condominiums, or cooperative apartments, provided that the total combined annual income of the property owner and spouse or co-owner does not exceed $58,399; and </w:t>
      </w:r>
    </w:p>
    <w:p w14:paraId="3CD8D54B" w14:textId="1525D01E" w:rsidR="00C768B4" w:rsidRDefault="009623E6" w:rsidP="00877FD3">
      <w:pPr>
        <w:spacing w:after="0" w:line="480" w:lineRule="auto"/>
        <w:ind w:firstLine="720"/>
        <w:jc w:val="both"/>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of 2023, to be eligible for the largest tax exemption of 50 percent of the assessed property </w:t>
      </w:r>
      <w:r>
        <w:rPr>
          <w:rFonts w:ascii="Times New Roman" w:eastAsia="Times New Roman" w:hAnsi="Times New Roman" w:cs="Times New Roman"/>
          <w:color w:val="212529"/>
          <w:sz w:val="24"/>
          <w:szCs w:val="24"/>
        </w:rPr>
        <w:t>value under SCHE in New York City, a</w:t>
      </w:r>
      <w:r w:rsidR="00C60DBB">
        <w:rPr>
          <w:rFonts w:ascii="Times New Roman" w:eastAsia="Times New Roman" w:hAnsi="Times New Roman" w:cs="Times New Roman"/>
          <w:color w:val="212529"/>
          <w:sz w:val="24"/>
          <w:szCs w:val="24"/>
        </w:rPr>
        <w:t>n eligible</w:t>
      </w:r>
      <w:r>
        <w:rPr>
          <w:rFonts w:ascii="Times New Roman" w:eastAsia="Times New Roman" w:hAnsi="Times New Roman" w:cs="Times New Roman"/>
          <w:color w:val="212529"/>
          <w:sz w:val="24"/>
          <w:szCs w:val="24"/>
        </w:rPr>
        <w:t xml:space="preserve"> homeowner’s total combined annual income must be $50,000 or less; and </w:t>
      </w:r>
    </w:p>
    <w:p w14:paraId="657B85B8" w14:textId="6BD16E69" w:rsidR="00C768B4" w:rsidRDefault="009623E6" w:rsidP="00877FD3">
      <w:pPr>
        <w:spacing w:after="0" w:line="480" w:lineRule="auto"/>
        <w:ind w:firstLine="720"/>
        <w:jc w:val="both"/>
      </w:pPr>
      <w:r>
        <w:rPr>
          <w:rFonts w:ascii="Times New Roman" w:hAnsi="Times New Roman" w:cs="Times New Roman"/>
          <w:sz w:val="24"/>
          <w:szCs w:val="24"/>
        </w:rPr>
        <w:t>Whereas, With the aim of providing additional relief for older New Yorkers from the burden of real property tax, thereby reducing their risk of housing dislocation and homelessness,</w:t>
      </w:r>
      <w:r>
        <w:t xml:space="preserve"> </w:t>
      </w:r>
      <w:r>
        <w:rPr>
          <w:rFonts w:ascii="Times New Roman" w:hAnsi="Times New Roman" w:cs="Times New Roman"/>
          <w:sz w:val="24"/>
          <w:szCs w:val="24"/>
        </w:rPr>
        <w:t xml:space="preserve">Assembly Member David Weprin introduced A.6362 in the New York State Assembly, which would authorize localities to provide for an additional real property tax exemption for </w:t>
      </w:r>
      <w:r w:rsidR="00C60DBB">
        <w:rPr>
          <w:rFonts w:ascii="Times New Roman" w:hAnsi="Times New Roman" w:cs="Times New Roman"/>
          <w:sz w:val="24"/>
          <w:szCs w:val="24"/>
        </w:rPr>
        <w:t>persons aged 65 years and older</w:t>
      </w:r>
      <w:r>
        <w:rPr>
          <w:rFonts w:ascii="Times New Roman" w:hAnsi="Times New Roman" w:cs="Times New Roman"/>
          <w:sz w:val="24"/>
          <w:szCs w:val="24"/>
        </w:rPr>
        <w:t xml:space="preserve"> who meet the income eligibility limits and other criteria to the extent of 60 percent of the assessed valuation of such real property; and</w:t>
      </w:r>
    </w:p>
    <w:p w14:paraId="4EC5DE20" w14:textId="15169905" w:rsidR="00C768B4" w:rsidRDefault="009623E6" w:rsidP="00877FD3">
      <w:pPr>
        <w:spacing w:after="0" w:line="480" w:lineRule="auto"/>
        <w:ind w:firstLine="720"/>
        <w:jc w:val="both"/>
      </w:pPr>
      <w:r>
        <w:rPr>
          <w:rFonts w:ascii="Times New Roman" w:hAnsi="Times New Roman" w:cs="Times New Roman"/>
          <w:sz w:val="24"/>
          <w:szCs w:val="24"/>
        </w:rPr>
        <w:t>Whereas, Specifically, A.6362 would authorize localities in New York State to offer a property tax exemption of 60 percent of the assessed property value for homeowners</w:t>
      </w:r>
      <w:r w:rsidR="009E6EAE">
        <w:rPr>
          <w:rFonts w:ascii="Times New Roman" w:hAnsi="Times New Roman" w:cs="Times New Roman"/>
          <w:sz w:val="24"/>
          <w:szCs w:val="24"/>
        </w:rPr>
        <w:t xml:space="preserve"> who are 65 years and older</w:t>
      </w:r>
      <w:r>
        <w:rPr>
          <w:rFonts w:ascii="Times New Roman" w:hAnsi="Times New Roman" w:cs="Times New Roman"/>
          <w:sz w:val="24"/>
          <w:szCs w:val="24"/>
        </w:rPr>
        <w:t xml:space="preserve"> with a combined annual income between $3,000 and $22,000</w:t>
      </w:r>
      <w:r w:rsidR="009E6EAE">
        <w:rPr>
          <w:rFonts w:ascii="Times New Roman" w:hAnsi="Times New Roman" w:cs="Times New Roman"/>
          <w:sz w:val="24"/>
          <w:szCs w:val="24"/>
        </w:rPr>
        <w:t>;</w:t>
      </w:r>
      <w:r>
        <w:rPr>
          <w:rFonts w:ascii="Times New Roman" w:hAnsi="Times New Roman" w:cs="Times New Roman"/>
          <w:sz w:val="24"/>
          <w:szCs w:val="24"/>
        </w:rPr>
        <w:t xml:space="preserve"> 55 percent of the assessed property value for homeowners </w:t>
      </w:r>
      <w:r w:rsidR="009E6EAE">
        <w:rPr>
          <w:rFonts w:ascii="Times New Roman" w:hAnsi="Times New Roman" w:cs="Times New Roman"/>
          <w:sz w:val="24"/>
          <w:szCs w:val="24"/>
        </w:rPr>
        <w:t xml:space="preserve">who are 65 years and older </w:t>
      </w:r>
      <w:r>
        <w:rPr>
          <w:rFonts w:ascii="Times New Roman" w:hAnsi="Times New Roman" w:cs="Times New Roman"/>
          <w:sz w:val="24"/>
          <w:szCs w:val="24"/>
        </w:rPr>
        <w:t>with a combined annual income of over $22,000, but less than $23,000</w:t>
      </w:r>
      <w:r w:rsidR="009E6EAE">
        <w:rPr>
          <w:rFonts w:ascii="Times New Roman" w:hAnsi="Times New Roman" w:cs="Times New Roman"/>
          <w:sz w:val="24"/>
          <w:szCs w:val="24"/>
        </w:rPr>
        <w:t>;</w:t>
      </w:r>
      <w:r>
        <w:rPr>
          <w:rFonts w:ascii="Times New Roman" w:hAnsi="Times New Roman" w:cs="Times New Roman"/>
          <w:sz w:val="24"/>
          <w:szCs w:val="24"/>
        </w:rPr>
        <w:t xml:space="preserve"> and 50 percent of the assessed property value for </w:t>
      </w:r>
      <w:r>
        <w:rPr>
          <w:rFonts w:ascii="Times New Roman" w:hAnsi="Times New Roman" w:cs="Times New Roman"/>
          <w:sz w:val="24"/>
          <w:szCs w:val="24"/>
        </w:rPr>
        <w:lastRenderedPageBreak/>
        <w:t>homeowners</w:t>
      </w:r>
      <w:r w:rsidR="009E6EAE">
        <w:rPr>
          <w:rFonts w:ascii="Times New Roman" w:hAnsi="Times New Roman" w:cs="Times New Roman"/>
          <w:sz w:val="24"/>
          <w:szCs w:val="24"/>
        </w:rPr>
        <w:t xml:space="preserve"> who are 65 years and older</w:t>
      </w:r>
      <w:r>
        <w:rPr>
          <w:rFonts w:ascii="Times New Roman" w:hAnsi="Times New Roman" w:cs="Times New Roman"/>
          <w:sz w:val="24"/>
          <w:szCs w:val="24"/>
        </w:rPr>
        <w:t xml:space="preserve"> with a combined annual income of more than $23,000, but less than $24,000; now, therefore, be it</w:t>
      </w:r>
    </w:p>
    <w:p w14:paraId="17E75C40" w14:textId="51ED6D38" w:rsidR="00C768B4" w:rsidRDefault="61F7EF54" w:rsidP="00877FD3">
      <w:pPr>
        <w:spacing w:after="0" w:line="480" w:lineRule="auto"/>
        <w:ind w:firstLine="720"/>
        <w:jc w:val="both"/>
      </w:pPr>
      <w:r w:rsidRPr="61F7EF54">
        <w:rPr>
          <w:rFonts w:ascii="Times New Roman" w:hAnsi="Times New Roman" w:cs="Times New Roman"/>
          <w:sz w:val="24"/>
          <w:szCs w:val="24"/>
        </w:rPr>
        <w:t xml:space="preserve">Resolved, That the Council of the City of New York calls </w:t>
      </w:r>
      <w:r w:rsidRPr="61F7EF54">
        <w:rPr>
          <w:rFonts w:ascii="Times New Roman" w:eastAsia="Times New Roman" w:hAnsi="Times New Roman" w:cs="Times New Roman"/>
          <w:color w:val="212529"/>
          <w:sz w:val="24"/>
          <w:szCs w:val="24"/>
        </w:rPr>
        <w:t>on the New York State Legislature to pass, and the Governor to sign, A.6362, to authorize localities to provide for an additional real property tax exemption for eligible persons who are 65 years of age and older</w:t>
      </w:r>
      <w:r w:rsidRPr="61F7EF54">
        <w:rPr>
          <w:rFonts w:ascii="Times New Roman" w:eastAsia="Times New Roman" w:hAnsi="Times New Roman" w:cs="Times New Roman"/>
          <w:sz w:val="24"/>
          <w:szCs w:val="24"/>
        </w:rPr>
        <w:t>.</w:t>
      </w:r>
    </w:p>
    <w:p w14:paraId="6E23C5D5" w14:textId="5FB465B1" w:rsidR="61F7EF54" w:rsidRDefault="61F7EF54" w:rsidP="61F7EF54">
      <w:pPr>
        <w:spacing w:after="0" w:line="240" w:lineRule="auto"/>
        <w:jc w:val="both"/>
        <w:rPr>
          <w:rFonts w:ascii="Times New Roman" w:eastAsia="Times New Roman" w:hAnsi="Times New Roman" w:cs="Times New Roman"/>
          <w:sz w:val="24"/>
          <w:szCs w:val="24"/>
        </w:rPr>
      </w:pPr>
    </w:p>
    <w:p w14:paraId="631ABAB7" w14:textId="77777777" w:rsidR="00DB1F19" w:rsidRDefault="00DB1F19" w:rsidP="00DB1F19">
      <w:pPr>
        <w:spacing w:after="0" w:line="240" w:lineRule="auto"/>
        <w:jc w:val="both"/>
        <w:rPr>
          <w:rFonts w:ascii="Times New Roman" w:eastAsia="Times New Roman" w:hAnsi="Times New Roman" w:cs="Times New Roman"/>
          <w:sz w:val="20"/>
          <w:szCs w:val="20"/>
        </w:rPr>
      </w:pPr>
      <w:r w:rsidRPr="61F7EF54">
        <w:rPr>
          <w:rFonts w:ascii="Times New Roman" w:eastAsia="Times New Roman" w:hAnsi="Times New Roman" w:cs="Times New Roman"/>
          <w:sz w:val="20"/>
          <w:szCs w:val="20"/>
        </w:rPr>
        <w:t xml:space="preserve">AZ </w:t>
      </w:r>
    </w:p>
    <w:p w14:paraId="52A23E81" w14:textId="77777777" w:rsidR="00C768B4" w:rsidRDefault="61F7EF54" w:rsidP="61F7EF54">
      <w:pPr>
        <w:spacing w:after="0" w:line="240" w:lineRule="auto"/>
        <w:jc w:val="both"/>
        <w:rPr>
          <w:rFonts w:ascii="Times New Roman" w:eastAsia="Times New Roman" w:hAnsi="Times New Roman" w:cs="Times New Roman"/>
          <w:color w:val="222222"/>
          <w:sz w:val="20"/>
          <w:szCs w:val="20"/>
        </w:rPr>
      </w:pPr>
      <w:r w:rsidRPr="61F7EF54">
        <w:rPr>
          <w:rFonts w:ascii="Times New Roman" w:eastAsia="Times New Roman" w:hAnsi="Times New Roman" w:cs="Times New Roman"/>
          <w:sz w:val="20"/>
          <w:szCs w:val="20"/>
        </w:rPr>
        <w:t>LS #</w:t>
      </w:r>
      <w:r w:rsidRPr="61F7EF54">
        <w:rPr>
          <w:rFonts w:ascii="Times New Roman" w:eastAsia="Times New Roman" w:hAnsi="Times New Roman" w:cs="Times New Roman"/>
          <w:color w:val="222222"/>
          <w:sz w:val="20"/>
          <w:szCs w:val="20"/>
        </w:rPr>
        <w:t>12913</w:t>
      </w:r>
    </w:p>
    <w:p w14:paraId="516CD851" w14:textId="618CC78C" w:rsidR="00DB1F19" w:rsidRDefault="00DB1F19" w:rsidP="61F7EF54">
      <w:pPr>
        <w:spacing w:after="0" w:line="240" w:lineRule="auto"/>
        <w:jc w:val="both"/>
        <w:rPr>
          <w:rFonts w:ascii="Times New Roman" w:eastAsia="Times New Roman" w:hAnsi="Times New Roman" w:cs="Times New Roman"/>
          <w:sz w:val="20"/>
          <w:szCs w:val="20"/>
        </w:rPr>
      </w:pPr>
      <w:proofErr w:type="gramStart"/>
      <w:r>
        <w:rPr>
          <w:rFonts w:ascii="Times New Roman" w:eastAsia="Times New Roman" w:hAnsi="Times New Roman" w:cs="Times New Roman"/>
          <w:color w:val="222222"/>
          <w:sz w:val="20"/>
          <w:szCs w:val="20"/>
        </w:rPr>
        <w:t>Res. #</w:t>
      </w:r>
      <w:proofErr w:type="gramEnd"/>
      <w:r>
        <w:rPr>
          <w:rFonts w:ascii="Times New Roman" w:eastAsia="Times New Roman" w:hAnsi="Times New Roman" w:cs="Times New Roman"/>
          <w:color w:val="222222"/>
          <w:sz w:val="20"/>
          <w:szCs w:val="20"/>
        </w:rPr>
        <w:t>0099-2024</w:t>
      </w:r>
    </w:p>
    <w:p w14:paraId="658CC045" w14:textId="43A0F10C" w:rsidR="00C768B4" w:rsidRDefault="00DB1F19">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20"/>
          <w:szCs w:val="20"/>
        </w:rPr>
        <w:t>12/31/2025 10:10 AM</w:t>
      </w:r>
    </w:p>
    <w:sectPr w:rsidR="00C768B4">
      <w:footerReference w:type="default" r:id="rId6"/>
      <w:pgSz w:w="12240" w:h="15840"/>
      <w:pgMar w:top="1440" w:right="1440" w:bottom="1440" w:left="1440" w:header="0" w:footer="720" w:gutter="0"/>
      <w:cols w:space="720"/>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5023B" w14:textId="77777777" w:rsidR="00647024" w:rsidRDefault="00647024">
      <w:pPr>
        <w:spacing w:after="0" w:line="240" w:lineRule="auto"/>
      </w:pPr>
      <w:r>
        <w:separator/>
      </w:r>
    </w:p>
  </w:endnote>
  <w:endnote w:type="continuationSeparator" w:id="0">
    <w:p w14:paraId="2E5BC994" w14:textId="77777777" w:rsidR="00647024" w:rsidRDefault="00647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Mono">
    <w:altName w:val="Courier New"/>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9F105" w14:textId="24D1F747" w:rsidR="00C768B4" w:rsidRDefault="009623E6">
    <w:pPr>
      <w:pStyle w:val="Footer"/>
      <w:jc w:val="center"/>
    </w:pPr>
    <w:r>
      <w:fldChar w:fldCharType="begin"/>
    </w:r>
    <w:r>
      <w:instrText xml:space="preserve"> PAGE </w:instrText>
    </w:r>
    <w:r>
      <w:fldChar w:fldCharType="separate"/>
    </w:r>
    <w:r w:rsidR="00CD76B9">
      <w:rPr>
        <w:noProof/>
      </w:rPr>
      <w:t>1</w:t>
    </w:r>
    <w:r>
      <w:fldChar w:fldCharType="end"/>
    </w:r>
  </w:p>
  <w:p w14:paraId="67C05170" w14:textId="77777777" w:rsidR="00C768B4" w:rsidRDefault="00C76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DE0FB" w14:textId="77777777" w:rsidR="00647024" w:rsidRDefault="00647024">
      <w:pPr>
        <w:spacing w:after="0" w:line="240" w:lineRule="auto"/>
      </w:pPr>
      <w:r>
        <w:separator/>
      </w:r>
    </w:p>
  </w:footnote>
  <w:footnote w:type="continuationSeparator" w:id="0">
    <w:p w14:paraId="5D8859C3" w14:textId="77777777" w:rsidR="00647024" w:rsidRDefault="006470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8B4"/>
    <w:rsid w:val="00031000"/>
    <w:rsid w:val="00197E49"/>
    <w:rsid w:val="001A5B1D"/>
    <w:rsid w:val="001E2D4F"/>
    <w:rsid w:val="002C4DA8"/>
    <w:rsid w:val="002E3C27"/>
    <w:rsid w:val="00405E86"/>
    <w:rsid w:val="004A1D8B"/>
    <w:rsid w:val="004B2A65"/>
    <w:rsid w:val="00647024"/>
    <w:rsid w:val="00711009"/>
    <w:rsid w:val="007C6F5C"/>
    <w:rsid w:val="00825B7A"/>
    <w:rsid w:val="00851BEC"/>
    <w:rsid w:val="00864ADD"/>
    <w:rsid w:val="00877FD3"/>
    <w:rsid w:val="00907BB4"/>
    <w:rsid w:val="009623E6"/>
    <w:rsid w:val="0096728B"/>
    <w:rsid w:val="009B42D6"/>
    <w:rsid w:val="009E2649"/>
    <w:rsid w:val="009E6EAE"/>
    <w:rsid w:val="00A51223"/>
    <w:rsid w:val="00A70702"/>
    <w:rsid w:val="00AB15DE"/>
    <w:rsid w:val="00AD75FD"/>
    <w:rsid w:val="00B26020"/>
    <w:rsid w:val="00BE137C"/>
    <w:rsid w:val="00C60DBB"/>
    <w:rsid w:val="00C768B4"/>
    <w:rsid w:val="00CD76B9"/>
    <w:rsid w:val="00D83AC0"/>
    <w:rsid w:val="00D93D58"/>
    <w:rsid w:val="00DB1F19"/>
    <w:rsid w:val="00DD43F4"/>
    <w:rsid w:val="00EB7102"/>
    <w:rsid w:val="00EF73C3"/>
    <w:rsid w:val="00EF74D2"/>
    <w:rsid w:val="00FA628B"/>
    <w:rsid w:val="5B4CBDDA"/>
    <w:rsid w:val="61F7EF5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C6CA8"/>
  <w15:docId w15:val="{07543483-6555-4D15-865B-2567A1D05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2">
    <w:name w:val="heading 2"/>
    <w:basedOn w:val="Heading"/>
    <w:next w:val="BodyText"/>
    <w:qFormat/>
    <w:pPr>
      <w:spacing w:before="200"/>
      <w:outlineLvl w:val="1"/>
    </w:pPr>
    <w:rPr>
      <w:rFonts w:ascii="Liberation Serif" w:eastAsia="Segoe UI" w:hAnsi="Liberation Serif" w:cs="Tahoma"/>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qFormat/>
  </w:style>
  <w:style w:type="character" w:customStyle="1" w:styleId="FooterChar">
    <w:name w:val="Footer Char"/>
    <w:basedOn w:val="DefaultParagraphFont"/>
    <w:link w:val="Footer"/>
    <w:qFormat/>
  </w:style>
  <w:style w:type="character" w:customStyle="1" w:styleId="BalloonTextChar">
    <w:name w:val="Balloon Text Char"/>
    <w:basedOn w:val="DefaultParagraphFont"/>
    <w:link w:val="BalloonText"/>
    <w:qFormat/>
    <w:rPr>
      <w:rFonts w:ascii="Segoe UI" w:hAnsi="Segoe UI" w:cs="Segoe UI"/>
      <w:sz w:val="18"/>
      <w:szCs w:val="18"/>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link w:val="CommentText"/>
    <w:qFormat/>
    <w:rPr>
      <w:sz w:val="20"/>
      <w:szCs w:val="20"/>
    </w:rPr>
  </w:style>
  <w:style w:type="character" w:customStyle="1" w:styleId="CommentSubjectChar">
    <w:name w:val="Comment Subject Char"/>
    <w:basedOn w:val="CommentTextChar"/>
    <w:link w:val="CommentSubject"/>
    <w:qFormat/>
    <w:rPr>
      <w:b/>
      <w:bCs/>
      <w:sz w:val="20"/>
      <w:szCs w:val="20"/>
    </w:rPr>
  </w:style>
  <w:style w:type="character" w:customStyle="1" w:styleId="EndnoteTextChar">
    <w:name w:val="Endnote Text Char"/>
    <w:basedOn w:val="DefaultParagraphFont"/>
    <w:link w:val="EndnoteText"/>
    <w:qFormat/>
    <w:rPr>
      <w:sz w:val="20"/>
      <w:szCs w:val="20"/>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styleId="Hyperlink">
    <w:name w:val="Hyperlink"/>
    <w:rPr>
      <w:color w:val="0000FF"/>
      <w:u w:val="single"/>
    </w:rPr>
  </w:style>
  <w:style w:type="character" w:styleId="FollowedHyperlink">
    <w:name w:val="FollowedHyperlink"/>
    <w:basedOn w:val="DefaultParagraphFont"/>
    <w:rPr>
      <w:color w:val="800080"/>
      <w:u w:val="single"/>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NumberingSymbols">
    <w:name w:val="Numbering Symbols"/>
    <w:qFormat/>
  </w:style>
  <w:style w:type="character" w:customStyle="1" w:styleId="HTMLPreformattedChar">
    <w:name w:val="HTML Preformatted Char"/>
    <w:basedOn w:val="DefaultParagraphFont"/>
    <w:link w:val="HTMLPreformatted"/>
    <w:uiPriority w:val="99"/>
    <w:semiHidden/>
    <w:qFormat/>
    <w:rsid w:val="006714BA"/>
    <w:rPr>
      <w:rFonts w:ascii="Consolas" w:hAnsi="Consolas"/>
      <w:sz w:val="20"/>
      <w:szCs w:val="20"/>
    </w:rPr>
  </w:style>
  <w:style w:type="character" w:styleId="LineNumber">
    <w:name w:val="line number"/>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pPr>
      <w:tabs>
        <w:tab w:val="center" w:pos="4680"/>
        <w:tab w:val="right" w:pos="9360"/>
      </w:tabs>
      <w:spacing w:after="0" w:line="240" w:lineRule="auto"/>
    </w:pPr>
  </w:style>
  <w:style w:type="paragraph" w:styleId="Footer">
    <w:name w:val="footer"/>
    <w:basedOn w:val="Normal"/>
    <w:link w:val="FooterChar"/>
    <w:pPr>
      <w:tabs>
        <w:tab w:val="center" w:pos="4680"/>
        <w:tab w:val="right" w:pos="9360"/>
      </w:tabs>
      <w:spacing w:after="0" w:line="240" w:lineRule="auto"/>
    </w:pPr>
  </w:style>
  <w:style w:type="paragraph" w:styleId="BalloonText">
    <w:name w:val="Balloon Text"/>
    <w:basedOn w:val="Normal"/>
    <w:link w:val="BalloonTextChar"/>
    <w:qFormat/>
    <w:pPr>
      <w:spacing w:after="0" w:line="240" w:lineRule="auto"/>
    </w:pPr>
    <w:rPr>
      <w:rFonts w:ascii="Segoe UI" w:hAnsi="Segoe UI" w:cs="Segoe UI"/>
      <w:sz w:val="18"/>
      <w:szCs w:val="18"/>
    </w:rPr>
  </w:style>
  <w:style w:type="paragraph" w:styleId="CommentText">
    <w:name w:val="annotation text"/>
    <w:basedOn w:val="Normal"/>
    <w:link w:val="CommentTextChar"/>
    <w:qFormat/>
    <w:pPr>
      <w:spacing w:line="240" w:lineRule="auto"/>
    </w:pPr>
    <w:rPr>
      <w:sz w:val="20"/>
      <w:szCs w:val="20"/>
    </w:rPr>
  </w:style>
  <w:style w:type="paragraph" w:styleId="CommentSubject">
    <w:name w:val="annotation subject"/>
    <w:basedOn w:val="CommentText"/>
    <w:next w:val="CommentText"/>
    <w:link w:val="CommentSubjectChar"/>
    <w:qFormat/>
    <w:rPr>
      <w:b/>
      <w:bCs/>
    </w:rPr>
  </w:style>
  <w:style w:type="paragraph" w:styleId="EndnoteText">
    <w:name w:val="endnote text"/>
    <w:basedOn w:val="Normal"/>
    <w:link w:val="EndnoteTextChar"/>
    <w:pPr>
      <w:spacing w:after="0" w:line="240" w:lineRule="auto"/>
    </w:pPr>
    <w:rPr>
      <w:sz w:val="20"/>
      <w:szCs w:val="20"/>
    </w:rPr>
  </w:style>
  <w:style w:type="paragraph" w:customStyle="1" w:styleId="PreformattedText">
    <w:name w:val="Preformatted Text"/>
    <w:basedOn w:val="Normal"/>
    <w:qFormat/>
    <w:pPr>
      <w:spacing w:after="0"/>
    </w:pPr>
    <w:rPr>
      <w:rFonts w:ascii="Liberation Mono" w:eastAsia="Liberation Mono" w:hAnsi="Liberation Mono" w:cs="Liberation Mono"/>
      <w:sz w:val="20"/>
      <w:szCs w:val="20"/>
    </w:rPr>
  </w:style>
  <w:style w:type="paragraph" w:styleId="FootnoteText">
    <w:name w:val="footnote text"/>
    <w:basedOn w:val="Normal"/>
    <w:pPr>
      <w:suppressLineNumbers/>
      <w:ind w:left="340" w:hanging="340"/>
    </w:pPr>
    <w:rPr>
      <w:sz w:val="20"/>
      <w:szCs w:val="20"/>
    </w:rPr>
  </w:style>
  <w:style w:type="paragraph" w:styleId="ListParagraph">
    <w:name w:val="List Paragraph"/>
    <w:basedOn w:val="Normal"/>
    <w:qFormat/>
    <w:pPr>
      <w:spacing w:after="0"/>
      <w:ind w:left="720"/>
      <w:contextualSpacing/>
    </w:pPr>
  </w:style>
  <w:style w:type="paragraph" w:styleId="HTMLPreformatted">
    <w:name w:val="HTML Preformatted"/>
    <w:basedOn w:val="Normal"/>
    <w:link w:val="HTMLPreformattedChar"/>
    <w:uiPriority w:val="99"/>
    <w:semiHidden/>
    <w:unhideWhenUsed/>
    <w:qFormat/>
    <w:rsid w:val="006714BA"/>
    <w:pPr>
      <w:spacing w:after="0" w:line="240" w:lineRule="auto"/>
    </w:pPr>
    <w:rPr>
      <w:rFonts w:ascii="Consolas" w:hAnsi="Consolas"/>
      <w:sz w:val="20"/>
      <w:szCs w:val="20"/>
    </w:rPr>
  </w:style>
  <w:style w:type="paragraph" w:customStyle="1" w:styleId="Quotations">
    <w:name w:val="Quotations"/>
    <w:basedOn w:val="Normal"/>
    <w:qFormat/>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798</Words>
  <Characters>4555</Characters>
  <Application>Microsoft Office Word</Application>
  <DocSecurity>0</DocSecurity>
  <Lines>37</Lines>
  <Paragraphs>10</Paragraphs>
  <ScaleCrop>false</ScaleCrop>
  <Company>NYCC</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Anastassia Zimina</dc:creator>
  <dc:description/>
  <cp:lastModifiedBy>Delancey, Thaddea</cp:lastModifiedBy>
  <cp:revision>2</cp:revision>
  <cp:lastPrinted>2018-10-25T21:43:00Z</cp:lastPrinted>
  <dcterms:created xsi:type="dcterms:W3CDTF">2026-03-09T14:48:00Z</dcterms:created>
  <dcterms:modified xsi:type="dcterms:W3CDTF">2026-03-09T14:48:00Z</dcterms:modified>
  <dc:language>en-US</dc:language>
</cp:coreProperties>
</file>