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F641B" w14:textId="77777777" w:rsidR="00160CD3" w:rsidRPr="0072008E" w:rsidRDefault="00160CD3" w:rsidP="00160CD3">
      <w:pPr>
        <w:jc w:val="center"/>
      </w:pPr>
      <w:r w:rsidRPr="0072008E">
        <w:rPr>
          <w:noProof/>
        </w:rPr>
        <w:drawing>
          <wp:inline distT="0" distB="0" distL="0" distR="0" wp14:anchorId="43F768F3" wp14:editId="0581FF9B">
            <wp:extent cx="1047648" cy="105903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7260" cy="1099078"/>
                    </a:xfrm>
                    <a:prstGeom prst="rect">
                      <a:avLst/>
                    </a:prstGeom>
                    <a:noFill/>
                    <a:ln>
                      <a:noFill/>
                    </a:ln>
                  </pic:spPr>
                </pic:pic>
              </a:graphicData>
            </a:graphic>
          </wp:inline>
        </w:drawing>
      </w:r>
    </w:p>
    <w:p w14:paraId="09C026D8" w14:textId="77777777" w:rsidR="00160CD3" w:rsidRPr="0072008E" w:rsidRDefault="00160CD3" w:rsidP="00160CD3">
      <w:pPr>
        <w:jc w:val="both"/>
      </w:pPr>
    </w:p>
    <w:p w14:paraId="2B9EE770" w14:textId="77777777" w:rsidR="00160CD3" w:rsidRPr="00160CD3" w:rsidRDefault="00160CD3" w:rsidP="00160CD3">
      <w:pPr>
        <w:keepNext/>
        <w:autoSpaceDE w:val="0"/>
        <w:autoSpaceDN w:val="0"/>
        <w:adjustRightInd w:val="0"/>
        <w:jc w:val="center"/>
        <w:outlineLvl w:val="4"/>
        <w:rPr>
          <w:rFonts w:ascii="Times New Roman" w:hAnsi="Times New Roman" w:cs="Times New Roman"/>
          <w:b/>
          <w:bCs/>
          <w:sz w:val="24"/>
          <w:szCs w:val="24"/>
          <w:u w:val="single"/>
          <w:lang w:eastAsia="zh-CN"/>
        </w:rPr>
      </w:pPr>
      <w:r w:rsidRPr="00160CD3">
        <w:rPr>
          <w:rFonts w:ascii="Times New Roman" w:hAnsi="Times New Roman" w:cs="Times New Roman"/>
          <w:b/>
          <w:bCs/>
          <w:sz w:val="24"/>
          <w:szCs w:val="24"/>
          <w:u w:val="single"/>
          <w:lang w:eastAsia="zh-CN"/>
        </w:rPr>
        <w:t>THE COUNCIL OF THE CITY OF NEW YORK</w:t>
      </w:r>
    </w:p>
    <w:p w14:paraId="0A218BA8" w14:textId="77777777" w:rsidR="00160CD3" w:rsidRPr="001F60F4" w:rsidRDefault="00160CD3" w:rsidP="00160CD3">
      <w:pPr>
        <w:ind w:firstLine="720"/>
        <w:jc w:val="right"/>
        <w:rPr>
          <w:rFonts w:ascii="Times New Roman" w:hAnsi="Times New Roman" w:cs="Times New Roman"/>
          <w:sz w:val="24"/>
          <w:szCs w:val="24"/>
        </w:rPr>
      </w:pPr>
    </w:p>
    <w:p w14:paraId="58812B7E" w14:textId="70CC46CB" w:rsidR="00356568" w:rsidRPr="001F60F4" w:rsidRDefault="00DC11C6" w:rsidP="00356568">
      <w:pPr>
        <w:ind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May</w:t>
      </w:r>
      <w:r w:rsidR="001278E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001278E9">
        <w:rPr>
          <w:rFonts w:ascii="Times New Roman" w:eastAsia="Times New Roman" w:hAnsi="Times New Roman" w:cs="Times New Roman"/>
          <w:sz w:val="24"/>
          <w:szCs w:val="24"/>
        </w:rPr>
        <w:t>0</w:t>
      </w:r>
      <w:r w:rsidR="00FE12CA">
        <w:rPr>
          <w:rFonts w:ascii="Times New Roman" w:eastAsia="Times New Roman" w:hAnsi="Times New Roman" w:cs="Times New Roman"/>
          <w:sz w:val="24"/>
          <w:szCs w:val="24"/>
        </w:rPr>
        <w:t>, 202</w:t>
      </w:r>
      <w:r w:rsidR="008D36D2">
        <w:rPr>
          <w:rFonts w:ascii="Times New Roman" w:eastAsia="Times New Roman" w:hAnsi="Times New Roman" w:cs="Times New Roman"/>
          <w:sz w:val="24"/>
          <w:szCs w:val="24"/>
        </w:rPr>
        <w:t>6</w:t>
      </w:r>
    </w:p>
    <w:p w14:paraId="1B887FD9" w14:textId="4E1EED2A" w:rsidR="00356568" w:rsidRPr="001F60F4" w:rsidRDefault="00356568" w:rsidP="00356568">
      <w:pPr>
        <w:rPr>
          <w:rFonts w:ascii="Times New Roman" w:eastAsia="Times New Roman" w:hAnsi="Times New Roman" w:cs="Times New Roman"/>
          <w:sz w:val="24"/>
          <w:szCs w:val="24"/>
        </w:rPr>
      </w:pPr>
      <w:r w:rsidRPr="001F60F4">
        <w:rPr>
          <w:rFonts w:ascii="Times New Roman" w:eastAsia="Times New Roman" w:hAnsi="Times New Roman" w:cs="Times New Roman"/>
          <w:sz w:val="24"/>
          <w:szCs w:val="24"/>
        </w:rPr>
        <w:t>TO</w:t>
      </w:r>
      <w:proofErr w:type="gramStart"/>
      <w:r w:rsidRPr="001F60F4">
        <w:rPr>
          <w:rFonts w:ascii="Times New Roman" w:eastAsia="Times New Roman" w:hAnsi="Times New Roman" w:cs="Times New Roman"/>
          <w:sz w:val="24"/>
          <w:szCs w:val="24"/>
        </w:rPr>
        <w:t>:</w:t>
      </w:r>
      <w:r w:rsidRPr="001F60F4">
        <w:rPr>
          <w:rFonts w:ascii="Times New Roman" w:eastAsia="Times New Roman" w:hAnsi="Times New Roman" w:cs="Times New Roman"/>
          <w:sz w:val="24"/>
          <w:szCs w:val="24"/>
        </w:rPr>
        <w:tab/>
      </w:r>
      <w:r w:rsidRPr="001F60F4">
        <w:rPr>
          <w:rFonts w:ascii="Times New Roman" w:eastAsia="Times New Roman" w:hAnsi="Times New Roman" w:cs="Times New Roman"/>
          <w:sz w:val="24"/>
          <w:szCs w:val="24"/>
        </w:rPr>
        <w:tab/>
        <w:t>Hon</w:t>
      </w:r>
      <w:proofErr w:type="gramEnd"/>
      <w:r w:rsidRPr="001F60F4">
        <w:rPr>
          <w:rFonts w:ascii="Times New Roman" w:eastAsia="Times New Roman" w:hAnsi="Times New Roman" w:cs="Times New Roman"/>
          <w:sz w:val="24"/>
          <w:szCs w:val="24"/>
        </w:rPr>
        <w:t>.</w:t>
      </w:r>
      <w:r w:rsidR="001A4DAA">
        <w:rPr>
          <w:rFonts w:ascii="Times New Roman" w:eastAsia="Times New Roman" w:hAnsi="Times New Roman" w:cs="Times New Roman"/>
          <w:sz w:val="24"/>
          <w:szCs w:val="24"/>
        </w:rPr>
        <w:t xml:space="preserve"> Linda Lee</w:t>
      </w:r>
      <w:r w:rsidRPr="001F60F4">
        <w:rPr>
          <w:rFonts w:ascii="Times New Roman" w:eastAsia="Times New Roman" w:hAnsi="Times New Roman" w:cs="Times New Roman"/>
          <w:sz w:val="24"/>
          <w:szCs w:val="24"/>
        </w:rPr>
        <w:t>, Finance Committee</w:t>
      </w:r>
    </w:p>
    <w:p w14:paraId="5E9D5A1B" w14:textId="77777777" w:rsidR="00356568" w:rsidRPr="001F60F4" w:rsidRDefault="00356568" w:rsidP="00356568">
      <w:pPr>
        <w:ind w:left="720" w:firstLine="720"/>
        <w:rPr>
          <w:rFonts w:ascii="Times New Roman" w:eastAsia="Times New Roman" w:hAnsi="Times New Roman" w:cs="Times New Roman"/>
          <w:sz w:val="24"/>
          <w:szCs w:val="24"/>
        </w:rPr>
      </w:pPr>
      <w:r w:rsidRPr="001F60F4">
        <w:rPr>
          <w:rFonts w:ascii="Times New Roman" w:eastAsia="Times New Roman" w:hAnsi="Times New Roman" w:cs="Times New Roman"/>
          <w:sz w:val="24"/>
          <w:szCs w:val="24"/>
        </w:rPr>
        <w:t>Members of the Finance Committee</w:t>
      </w:r>
    </w:p>
    <w:p w14:paraId="5596B970" w14:textId="77777777" w:rsidR="00356568" w:rsidRPr="001F60F4" w:rsidRDefault="00356568" w:rsidP="00356568">
      <w:pPr>
        <w:rPr>
          <w:rFonts w:ascii="Times New Roman" w:eastAsia="Times New Roman" w:hAnsi="Times New Roman" w:cs="Times New Roman"/>
          <w:sz w:val="24"/>
          <w:szCs w:val="24"/>
        </w:rPr>
      </w:pPr>
    </w:p>
    <w:p w14:paraId="3DDB2D4A" w14:textId="2B9D70A5" w:rsidR="0092293C" w:rsidRPr="001F60F4" w:rsidRDefault="00356568" w:rsidP="00A77F7B">
      <w:pPr>
        <w:rPr>
          <w:rFonts w:ascii="Times New Roman" w:eastAsia="Times New Roman" w:hAnsi="Times New Roman" w:cs="Times New Roman"/>
          <w:sz w:val="24"/>
          <w:szCs w:val="24"/>
        </w:rPr>
      </w:pPr>
      <w:r w:rsidRPr="001F60F4">
        <w:rPr>
          <w:rFonts w:ascii="Times New Roman" w:eastAsia="Times New Roman" w:hAnsi="Times New Roman" w:cs="Times New Roman"/>
          <w:sz w:val="24"/>
          <w:szCs w:val="24"/>
        </w:rPr>
        <w:t>FROM:</w:t>
      </w:r>
      <w:r w:rsidRPr="001F60F4">
        <w:rPr>
          <w:rFonts w:ascii="Times New Roman" w:eastAsia="Times New Roman" w:hAnsi="Times New Roman" w:cs="Times New Roman"/>
          <w:sz w:val="24"/>
          <w:szCs w:val="24"/>
        </w:rPr>
        <w:tab/>
      </w:r>
      <w:r w:rsidR="00FE12CA">
        <w:rPr>
          <w:rFonts w:ascii="Times New Roman" w:eastAsia="Times New Roman" w:hAnsi="Times New Roman" w:cs="Times New Roman"/>
          <w:sz w:val="24"/>
          <w:szCs w:val="24"/>
        </w:rPr>
        <w:t>Brian Sarfo</w:t>
      </w:r>
      <w:r w:rsidRPr="001F60F4">
        <w:rPr>
          <w:rFonts w:ascii="Times New Roman" w:eastAsia="Times New Roman" w:hAnsi="Times New Roman" w:cs="Times New Roman"/>
          <w:sz w:val="24"/>
          <w:szCs w:val="24"/>
        </w:rPr>
        <w:t xml:space="preserve">, </w:t>
      </w:r>
      <w:r w:rsidR="00A77F7B">
        <w:rPr>
          <w:rFonts w:ascii="Times New Roman" w:eastAsia="Times New Roman" w:hAnsi="Times New Roman" w:cs="Times New Roman"/>
          <w:sz w:val="24"/>
          <w:szCs w:val="24"/>
        </w:rPr>
        <w:t>Committee</w:t>
      </w:r>
      <w:r w:rsidR="00A77F7B" w:rsidRPr="001F60F4">
        <w:rPr>
          <w:rFonts w:ascii="Times New Roman" w:eastAsia="Times New Roman" w:hAnsi="Times New Roman" w:cs="Times New Roman"/>
          <w:sz w:val="24"/>
          <w:szCs w:val="24"/>
        </w:rPr>
        <w:t xml:space="preserve"> </w:t>
      </w:r>
      <w:r w:rsidR="00A77F7B">
        <w:rPr>
          <w:rFonts w:ascii="Times New Roman" w:eastAsia="Times New Roman" w:hAnsi="Times New Roman" w:cs="Times New Roman"/>
          <w:sz w:val="24"/>
          <w:szCs w:val="24"/>
        </w:rPr>
        <w:t>Counsel</w:t>
      </w:r>
    </w:p>
    <w:p w14:paraId="1C6552A4" w14:textId="77777777" w:rsidR="00356568" w:rsidRPr="001F60F4" w:rsidRDefault="00356568" w:rsidP="00356568">
      <w:pPr>
        <w:rPr>
          <w:rFonts w:ascii="Times New Roman" w:eastAsia="Times New Roman" w:hAnsi="Times New Roman" w:cs="Times New Roman"/>
          <w:sz w:val="24"/>
          <w:szCs w:val="24"/>
        </w:rPr>
      </w:pPr>
      <w:r w:rsidRPr="001F60F4">
        <w:rPr>
          <w:rFonts w:ascii="Times New Roman" w:eastAsia="Times New Roman" w:hAnsi="Times New Roman" w:cs="Times New Roman"/>
          <w:sz w:val="24"/>
          <w:szCs w:val="24"/>
        </w:rPr>
        <w:tab/>
      </w:r>
      <w:r w:rsidRPr="001F60F4">
        <w:rPr>
          <w:rFonts w:ascii="Times New Roman" w:eastAsia="Times New Roman" w:hAnsi="Times New Roman" w:cs="Times New Roman"/>
          <w:sz w:val="24"/>
          <w:szCs w:val="24"/>
        </w:rPr>
        <w:tab/>
      </w:r>
    </w:p>
    <w:p w14:paraId="7620207C" w14:textId="7D8124C3" w:rsidR="00356568" w:rsidRPr="001F60F4" w:rsidRDefault="00356568" w:rsidP="00356568">
      <w:pPr>
        <w:ind w:left="1440" w:hanging="1440"/>
        <w:rPr>
          <w:rFonts w:ascii="Times New Roman" w:eastAsia="Times New Roman" w:hAnsi="Times New Roman" w:cs="Times New Roman"/>
          <w:sz w:val="24"/>
          <w:szCs w:val="24"/>
        </w:rPr>
      </w:pPr>
      <w:r w:rsidRPr="001F60F4">
        <w:rPr>
          <w:rFonts w:ascii="Times New Roman" w:eastAsia="Times New Roman" w:hAnsi="Times New Roman" w:cs="Times New Roman"/>
          <w:sz w:val="24"/>
          <w:szCs w:val="24"/>
        </w:rPr>
        <w:t>RE:</w:t>
      </w:r>
      <w:r w:rsidRPr="001F60F4">
        <w:rPr>
          <w:rFonts w:ascii="Times New Roman" w:eastAsia="Times New Roman" w:hAnsi="Times New Roman" w:cs="Times New Roman"/>
          <w:sz w:val="24"/>
          <w:szCs w:val="24"/>
        </w:rPr>
        <w:tab/>
      </w:r>
      <w:r w:rsidR="00817ECE" w:rsidRPr="001F60F4">
        <w:rPr>
          <w:rFonts w:ascii="Times New Roman" w:eastAsia="Times New Roman" w:hAnsi="Times New Roman" w:cs="Times New Roman"/>
          <w:sz w:val="24"/>
          <w:szCs w:val="24"/>
        </w:rPr>
        <w:t>Resolution</w:t>
      </w:r>
      <w:r w:rsidRPr="001F60F4">
        <w:rPr>
          <w:rFonts w:ascii="Times New Roman" w:eastAsia="Times New Roman" w:hAnsi="Times New Roman" w:cs="Times New Roman"/>
          <w:sz w:val="24"/>
          <w:szCs w:val="24"/>
        </w:rPr>
        <w:t xml:space="preserve"> approving a tax exemption</w:t>
      </w:r>
      <w:r w:rsidR="004538A1">
        <w:rPr>
          <w:rFonts w:ascii="Times New Roman" w:eastAsia="Times New Roman" w:hAnsi="Times New Roman" w:cs="Times New Roman"/>
          <w:sz w:val="24"/>
          <w:szCs w:val="24"/>
        </w:rPr>
        <w:t xml:space="preserve"> for</w:t>
      </w:r>
      <w:r w:rsidRPr="001F60F4">
        <w:rPr>
          <w:rFonts w:ascii="Times New Roman" w:eastAsia="Times New Roman" w:hAnsi="Times New Roman" w:cs="Times New Roman"/>
          <w:sz w:val="24"/>
          <w:szCs w:val="24"/>
        </w:rPr>
        <w:t xml:space="preserve"> </w:t>
      </w:r>
      <w:r w:rsidR="00DC11C6">
        <w:rPr>
          <w:rFonts w:ascii="Times New Roman" w:eastAsia="Times New Roman" w:hAnsi="Times New Roman" w:cs="Times New Roman"/>
          <w:sz w:val="24"/>
          <w:szCs w:val="24"/>
        </w:rPr>
        <w:t>665 New York Ave</w:t>
      </w:r>
      <w:r w:rsidR="00CA4B5B" w:rsidRPr="00CA4B5B">
        <w:rPr>
          <w:rFonts w:ascii="Times New Roman" w:eastAsia="Times New Roman" w:hAnsi="Times New Roman" w:cs="Times New Roman"/>
          <w:sz w:val="24"/>
          <w:szCs w:val="24"/>
        </w:rPr>
        <w:t xml:space="preserve"> </w:t>
      </w:r>
      <w:r w:rsidR="00817ECE" w:rsidRPr="001F60F4">
        <w:rPr>
          <w:rFonts w:ascii="Times New Roman" w:eastAsia="Times New Roman" w:hAnsi="Times New Roman" w:cs="Times New Roman"/>
          <w:sz w:val="24"/>
          <w:szCs w:val="24"/>
        </w:rPr>
        <w:t>(Council District</w:t>
      </w:r>
      <w:r w:rsidR="003F3943">
        <w:rPr>
          <w:rFonts w:ascii="Times New Roman" w:eastAsia="Times New Roman" w:hAnsi="Times New Roman" w:cs="Times New Roman"/>
          <w:sz w:val="24"/>
          <w:szCs w:val="24"/>
        </w:rPr>
        <w:t xml:space="preserve"> </w:t>
      </w:r>
      <w:r w:rsidR="00DC11C6">
        <w:rPr>
          <w:rFonts w:ascii="Times New Roman" w:eastAsia="Times New Roman" w:hAnsi="Times New Roman" w:cs="Times New Roman"/>
          <w:sz w:val="24"/>
          <w:szCs w:val="24"/>
        </w:rPr>
        <w:t>40</w:t>
      </w:r>
      <w:r w:rsidR="004B0461" w:rsidRPr="001F60F4">
        <w:rPr>
          <w:rFonts w:ascii="Times New Roman" w:eastAsia="Times New Roman" w:hAnsi="Times New Roman" w:cs="Times New Roman"/>
          <w:sz w:val="24"/>
          <w:szCs w:val="24"/>
        </w:rPr>
        <w:t>)</w:t>
      </w:r>
    </w:p>
    <w:p w14:paraId="498B3D1E" w14:textId="77777777" w:rsidR="00356568" w:rsidRPr="001F60F4" w:rsidRDefault="00356568" w:rsidP="002244F4">
      <w:pPr>
        <w:rPr>
          <w:rFonts w:ascii="Times New Roman" w:hAnsi="Times New Roman" w:cs="Times New Roman"/>
          <w:b/>
          <w:sz w:val="24"/>
          <w:szCs w:val="24"/>
          <w:u w:val="single"/>
        </w:rPr>
      </w:pPr>
    </w:p>
    <w:p w14:paraId="51F64546" w14:textId="6595AB90" w:rsidR="00B26E3A" w:rsidRPr="00A77F7B" w:rsidRDefault="00B26E3A" w:rsidP="00A375CC">
      <w:pPr>
        <w:rPr>
          <w:rFonts w:ascii="Times New Roman" w:hAnsi="Times New Roman" w:cs="Times New Roman"/>
          <w:sz w:val="24"/>
          <w:szCs w:val="24"/>
        </w:rPr>
      </w:pPr>
      <w:r w:rsidRPr="00A77F7B">
        <w:rPr>
          <w:rFonts w:ascii="Times New Roman" w:hAnsi="Times New Roman" w:cs="Times New Roman"/>
          <w:sz w:val="24"/>
          <w:szCs w:val="24"/>
        </w:rPr>
        <w:t xml:space="preserve">HPD provided the following information to the Council </w:t>
      </w:r>
      <w:r>
        <w:rPr>
          <w:rFonts w:ascii="Times New Roman" w:hAnsi="Times New Roman" w:cs="Times New Roman"/>
          <w:sz w:val="24"/>
          <w:szCs w:val="24"/>
        </w:rPr>
        <w:t>in relation to their request to approve a real property tax exemption for this project:</w:t>
      </w:r>
    </w:p>
    <w:p w14:paraId="508D30CF" w14:textId="77777777" w:rsidR="00B26E3A" w:rsidRDefault="00B26E3A" w:rsidP="00A375CC">
      <w:pPr>
        <w:rPr>
          <w:rFonts w:ascii="Times New Roman" w:hAnsi="Times New Roman" w:cs="Times New Roman"/>
          <w:b/>
          <w:sz w:val="24"/>
          <w:szCs w:val="24"/>
          <w:u w:val="single"/>
        </w:rPr>
      </w:pPr>
    </w:p>
    <w:p w14:paraId="490C3A0E" w14:textId="031B86CC" w:rsidR="00A468AA" w:rsidRPr="001F60F4" w:rsidRDefault="00DC11C6" w:rsidP="00A375CC">
      <w:pPr>
        <w:rPr>
          <w:rFonts w:ascii="Times New Roman" w:hAnsi="Times New Roman" w:cs="Times New Roman"/>
          <w:b/>
          <w:sz w:val="24"/>
          <w:szCs w:val="24"/>
          <w:u w:val="single"/>
        </w:rPr>
      </w:pPr>
      <w:r>
        <w:rPr>
          <w:rFonts w:ascii="Times New Roman" w:hAnsi="Times New Roman" w:cs="Times New Roman"/>
          <w:b/>
          <w:sz w:val="24"/>
          <w:szCs w:val="24"/>
          <w:u w:val="single"/>
        </w:rPr>
        <w:t>665 New York Ave</w:t>
      </w:r>
    </w:p>
    <w:p w14:paraId="4C3539ED" w14:textId="2A84E7B3" w:rsidR="001278E9" w:rsidRDefault="008D36D2" w:rsidP="008D36D2">
      <w:pPr>
        <w:pStyle w:val="MediumGrid1-Accent21"/>
        <w:ind w:left="0"/>
      </w:pPr>
      <w:r w:rsidRPr="008D36D2">
        <w:rPr>
          <w:b/>
          <w:bCs/>
        </w:rPr>
        <w:t>Type of Exemption Requested:</w:t>
      </w:r>
      <w:r>
        <w:t xml:space="preserve"> </w:t>
      </w:r>
      <w:r w:rsidR="00DC11C6">
        <w:t>Partial</w:t>
      </w:r>
      <w:r w:rsidR="001278E9">
        <w:t xml:space="preserve"> Article </w:t>
      </w:r>
      <w:r w:rsidR="00B21C77">
        <w:t>XI</w:t>
      </w:r>
      <w:r w:rsidR="001278E9">
        <w:t xml:space="preserve"> Exemption</w:t>
      </w:r>
    </w:p>
    <w:p w14:paraId="548B9A80" w14:textId="77777777" w:rsidR="001278E9" w:rsidRDefault="001278E9" w:rsidP="008D36D2">
      <w:pPr>
        <w:pStyle w:val="MediumGrid1-Accent21"/>
        <w:ind w:left="0"/>
      </w:pPr>
    </w:p>
    <w:p w14:paraId="4ED1C8EA" w14:textId="77777777" w:rsidR="00DC11C6" w:rsidRDefault="00DC11C6" w:rsidP="00DC11C6">
      <w:pPr>
        <w:pStyle w:val="MediumGrid1-Accent21"/>
        <w:ind w:left="0"/>
      </w:pPr>
      <w:r>
        <w:t xml:space="preserve">665 New York Ave.HPO.FY26 (the “Project”) consists of one six-story building originally constructed in 1960. In 2012, there was a fire at the subject property leaving it wholly uninhabitable. The Project </w:t>
      </w:r>
      <w:proofErr w:type="gramStart"/>
      <w:r>
        <w:t>is located in</w:t>
      </w:r>
      <w:proofErr w:type="gramEnd"/>
      <w:r>
        <w:t xml:space="preserve"> the Wingate neighborhood of Brooklyn and benefits from strong transit access and proximity to key community resources. The Project is located one block from </w:t>
      </w:r>
      <w:proofErr w:type="gramStart"/>
      <w:r>
        <w:t>the Winthrop</w:t>
      </w:r>
      <w:proofErr w:type="gramEnd"/>
      <w:r>
        <w:t xml:space="preserve"> Avenue 2/5 subway stop and four blocks from </w:t>
      </w:r>
      <w:proofErr w:type="gramStart"/>
      <w:r>
        <w:t>the Parkside</w:t>
      </w:r>
      <w:proofErr w:type="gramEnd"/>
      <w:r>
        <w:t xml:space="preserve"> </w:t>
      </w:r>
      <w:proofErr w:type="gramStart"/>
      <w:r>
        <w:t>Q which</w:t>
      </w:r>
      <w:proofErr w:type="gramEnd"/>
      <w:r>
        <w:t xml:space="preserve"> you can take one stop to transfer to the Shuttle and </w:t>
      </w:r>
      <w:proofErr w:type="gramStart"/>
      <w:r>
        <w:t>B train</w:t>
      </w:r>
      <w:proofErr w:type="gramEnd"/>
      <w:r>
        <w:t xml:space="preserve">. There is a Key Food supermarket near the property, and the property is close to both SUNY Downstate and Kings County Hospital. Some nearby attractions include Prospect Park, Brooklyn Botanical Gardens, the Brooklyn Public Library, and Wingate Park. </w:t>
      </w:r>
    </w:p>
    <w:p w14:paraId="6115AAE6" w14:textId="77777777" w:rsidR="00DC11C6" w:rsidRDefault="00DC11C6" w:rsidP="00DC11C6">
      <w:pPr>
        <w:pStyle w:val="MediumGrid1-Accent21"/>
      </w:pPr>
    </w:p>
    <w:p w14:paraId="174A16FE" w14:textId="77777777" w:rsidR="00DC11C6" w:rsidRDefault="00DC11C6" w:rsidP="00DC11C6">
      <w:pPr>
        <w:pStyle w:val="MediumGrid1-Accent21"/>
        <w:ind w:left="0"/>
      </w:pPr>
      <w:r>
        <w:t xml:space="preserve">On July 26, 2012, a lightning strike created a </w:t>
      </w:r>
      <w:proofErr w:type="gramStart"/>
      <w:r>
        <w:t>7 alarm</w:t>
      </w:r>
      <w:proofErr w:type="gramEnd"/>
      <w:r>
        <w:t xml:space="preserve"> fire that destroyed the building’s interior and displaced all tenants. Since then, the structure has remained vacant and requires </w:t>
      </w:r>
      <w:proofErr w:type="gramStart"/>
      <w:r>
        <w:t>a complete</w:t>
      </w:r>
      <w:proofErr w:type="gramEnd"/>
      <w:r>
        <w:t xml:space="preserve"> gut renovation </w:t>
      </w:r>
      <w:proofErr w:type="gramStart"/>
      <w:r>
        <w:t>in order for</w:t>
      </w:r>
      <w:proofErr w:type="gramEnd"/>
      <w:r>
        <w:t xml:space="preserve"> tenants to return. The scope of work includes </w:t>
      </w:r>
      <w:proofErr w:type="gramStart"/>
      <w:r>
        <w:t>a full</w:t>
      </w:r>
      <w:proofErr w:type="gramEnd"/>
      <w:r>
        <w:t xml:space="preserve"> gut rehabilitation including improvements to the </w:t>
      </w:r>
      <w:proofErr w:type="gramStart"/>
      <w:r>
        <w:t>façade</w:t>
      </w:r>
      <w:proofErr w:type="gramEnd"/>
      <w:r>
        <w:t>, roof, CMU corridor walls, and elevator/stair cores. This will include all new MEP systems, electrification, and new in-unit finishes to the kitchens, bathrooms, and living spaces.</w:t>
      </w:r>
    </w:p>
    <w:p w14:paraId="1060D529" w14:textId="77777777" w:rsidR="00DC11C6" w:rsidRDefault="00DC11C6" w:rsidP="00DC11C6">
      <w:pPr>
        <w:pStyle w:val="MediumGrid1-Accent21"/>
      </w:pPr>
    </w:p>
    <w:p w14:paraId="6DDE32ED" w14:textId="77777777" w:rsidR="00DC11C6" w:rsidRDefault="00DC11C6" w:rsidP="00DC11C6">
      <w:pPr>
        <w:pStyle w:val="MediumGrid1-Accent21"/>
        <w:ind w:left="0"/>
      </w:pPr>
      <w:r>
        <w:t xml:space="preserve">The sponsor of the Project is </w:t>
      </w:r>
      <w:proofErr w:type="spellStart"/>
      <w:r>
        <w:t>MSquared</w:t>
      </w:r>
      <w:proofErr w:type="spellEnd"/>
      <w:r>
        <w:t xml:space="preserve"> (“Sponsor”), which is the parent company of the current fee owner, 665 NYA Owner LLC. The principals of </w:t>
      </w:r>
      <w:proofErr w:type="spellStart"/>
      <w:r>
        <w:t>MSquared</w:t>
      </w:r>
      <w:proofErr w:type="spellEnd"/>
      <w:r>
        <w:t xml:space="preserve"> are Alicia Glen and Carolee Fink. The Sponsor acquired the building in March 2025 through a private transaction from Kings &amp; Queens Holdings LLC whose parent company is Urban American. Urban American acquired the property in 2007. As part of this closing, 665 New York Avenue Housing Development Fund </w:t>
      </w:r>
      <w:r>
        <w:lastRenderedPageBreak/>
        <w:t xml:space="preserve">Corporation will acquire the </w:t>
      </w:r>
      <w:proofErr w:type="gramStart"/>
      <w:r>
        <w:t>Project</w:t>
      </w:r>
      <w:proofErr w:type="gramEnd"/>
      <w:r>
        <w:t xml:space="preserve"> and 665 NYA Owner LLC will be the beneficial owner (collectively, “Owner”). </w:t>
      </w:r>
    </w:p>
    <w:p w14:paraId="00548E4F" w14:textId="77777777" w:rsidR="00DC11C6" w:rsidRDefault="00DC11C6" w:rsidP="00DC11C6">
      <w:pPr>
        <w:pStyle w:val="MediumGrid1-Accent21"/>
      </w:pPr>
    </w:p>
    <w:p w14:paraId="452E12E9" w14:textId="77777777" w:rsidR="00DC11C6" w:rsidRDefault="00DC11C6" w:rsidP="00DC11C6">
      <w:pPr>
        <w:pStyle w:val="MediumGrid1-Accent21"/>
        <w:ind w:left="0"/>
      </w:pPr>
      <w:r>
        <w:t xml:space="preserve">The Project is seeking a partial Article XI tax exemption with an annual Gross Rent Tax (“GRT”) of 1.63% through the Housing Preservation Opportunities program (“HPO”). The exemption has been sized in accordance with Method 1 Needs Based </w:t>
      </w:r>
      <w:proofErr w:type="gramStart"/>
      <w:r>
        <w:t>of</w:t>
      </w:r>
      <w:proofErr w:type="gramEnd"/>
      <w:r>
        <w:t xml:space="preserve"> the HPO term-sheet. The tax exemption is sized to preserve the existing affordability across the property and to maintain long-term operational viability. While the Article XI exemption term of 40 years will commence on the date of closing, the 1.63% GRT will commence upon issuance of a certificate of occupancy.  Prior to that, the project will pay no property taxes.  As part of this closing, the Owner will </w:t>
      </w:r>
      <w:proofErr w:type="gramStart"/>
      <w:r>
        <w:t>enter into</w:t>
      </w:r>
      <w:proofErr w:type="gramEnd"/>
      <w:r>
        <w:t xml:space="preserve"> a 99-year HPD Regulatory Agreement that will set rent restrictions at 50%-105% AMI and income restrictions at 60%-125% AMI with a 40-year partial Article XI tax exemption. A total of 90 of the 134 units will be rent-and income-restricted and rent </w:t>
      </w:r>
      <w:proofErr w:type="gramStart"/>
      <w:r>
        <w:t>stabilized</w:t>
      </w:r>
      <w:proofErr w:type="gramEnd"/>
      <w:r>
        <w:t xml:space="preserve">. The remaining 43 units will be market-rate units, and there will be one superintendent unit. The inclusion of these market-rate units enables the financial feasibility of the rehabilitation while preserving long-term affordability across </w:t>
      </w:r>
      <w:proofErr w:type="gramStart"/>
      <w:r>
        <w:t>a majority of</w:t>
      </w:r>
      <w:proofErr w:type="gramEnd"/>
      <w:r>
        <w:t xml:space="preserve"> units. There will also be residential parking.</w:t>
      </w:r>
    </w:p>
    <w:p w14:paraId="024145AE" w14:textId="3A00A105" w:rsidR="00606865" w:rsidRPr="007E4431" w:rsidRDefault="00DF74A3" w:rsidP="00DC11C6">
      <w:pPr>
        <w:pStyle w:val="MediumGrid1-Accent21"/>
        <w:ind w:left="0"/>
        <w:rPr>
          <w:u w:val="single"/>
        </w:rPr>
      </w:pPr>
      <w:r>
        <w:rPr>
          <w:rFonts w:eastAsia="Arial"/>
          <w:u w:val="single"/>
        </w:rPr>
        <w:br/>
      </w:r>
      <w:r w:rsidR="00606865" w:rsidRPr="007E4431">
        <w:rPr>
          <w:u w:val="single"/>
        </w:rPr>
        <w:t xml:space="preserve">Summary: </w:t>
      </w:r>
    </w:p>
    <w:p w14:paraId="1D1AD631" w14:textId="1B8D44AF" w:rsidR="00606865" w:rsidRPr="007E4431" w:rsidRDefault="00606865" w:rsidP="00606865">
      <w:pPr>
        <w:pStyle w:val="ListParagraph"/>
        <w:numPr>
          <w:ilvl w:val="0"/>
          <w:numId w:val="1"/>
        </w:numPr>
        <w:rPr>
          <w:rFonts w:ascii="Times New Roman" w:hAnsi="Times New Roman" w:cs="Times New Roman"/>
          <w:sz w:val="24"/>
          <w:szCs w:val="24"/>
        </w:rPr>
      </w:pPr>
      <w:r w:rsidRPr="007E4431">
        <w:rPr>
          <w:rFonts w:ascii="Times New Roman" w:hAnsi="Times New Roman" w:cs="Times New Roman"/>
          <w:sz w:val="24"/>
          <w:szCs w:val="24"/>
        </w:rPr>
        <w:t>Borough</w:t>
      </w:r>
      <w:r w:rsidR="004B1F3F">
        <w:rPr>
          <w:rFonts w:ascii="Times New Roman" w:hAnsi="Times New Roman" w:cs="Times New Roman"/>
          <w:sz w:val="24"/>
          <w:szCs w:val="24"/>
        </w:rPr>
        <w:t>s</w:t>
      </w:r>
      <w:r w:rsidRPr="007E4431">
        <w:rPr>
          <w:rFonts w:ascii="Times New Roman" w:hAnsi="Times New Roman" w:cs="Times New Roman"/>
          <w:sz w:val="24"/>
          <w:szCs w:val="24"/>
        </w:rPr>
        <w:t xml:space="preserve"> – </w:t>
      </w:r>
      <w:r w:rsidR="00CA4B5B">
        <w:rPr>
          <w:rFonts w:ascii="Times New Roman" w:hAnsi="Times New Roman" w:cs="Times New Roman"/>
          <w:sz w:val="24"/>
          <w:szCs w:val="24"/>
        </w:rPr>
        <w:t>Brooklyn</w:t>
      </w:r>
    </w:p>
    <w:p w14:paraId="5BCE735B" w14:textId="7AF636ED" w:rsidR="00CA4B5B" w:rsidRDefault="00CA4B5B" w:rsidP="00606865">
      <w:pPr>
        <w:pStyle w:val="ListParagraph"/>
        <w:numPr>
          <w:ilvl w:val="0"/>
          <w:numId w:val="1"/>
        </w:numPr>
        <w:rPr>
          <w:rFonts w:ascii="Times New Roman" w:hAnsi="Times New Roman" w:cs="Times New Roman"/>
          <w:sz w:val="24"/>
          <w:szCs w:val="24"/>
        </w:rPr>
      </w:pPr>
      <w:r w:rsidRPr="00CA4B5B">
        <w:rPr>
          <w:rFonts w:ascii="Times New Roman" w:hAnsi="Times New Roman" w:cs="Times New Roman"/>
          <w:sz w:val="24"/>
          <w:szCs w:val="24"/>
        </w:rPr>
        <w:t xml:space="preserve">Block </w:t>
      </w:r>
      <w:r w:rsidR="00DC11C6">
        <w:rPr>
          <w:rFonts w:ascii="Times New Roman" w:hAnsi="Times New Roman" w:cs="Times New Roman"/>
          <w:sz w:val="24"/>
          <w:szCs w:val="24"/>
        </w:rPr>
        <w:t>4820</w:t>
      </w:r>
      <w:r w:rsidRPr="00CA4B5B">
        <w:rPr>
          <w:rFonts w:ascii="Times New Roman" w:hAnsi="Times New Roman" w:cs="Times New Roman"/>
          <w:sz w:val="24"/>
          <w:szCs w:val="24"/>
        </w:rPr>
        <w:t xml:space="preserve">, Lot 1 </w:t>
      </w:r>
    </w:p>
    <w:p w14:paraId="76645B9F" w14:textId="55DBA898" w:rsidR="00606865" w:rsidRPr="007E4431" w:rsidRDefault="00606865" w:rsidP="00606865">
      <w:pPr>
        <w:pStyle w:val="ListParagraph"/>
        <w:numPr>
          <w:ilvl w:val="0"/>
          <w:numId w:val="1"/>
        </w:numPr>
        <w:rPr>
          <w:rFonts w:ascii="Times New Roman" w:hAnsi="Times New Roman" w:cs="Times New Roman"/>
          <w:sz w:val="24"/>
          <w:szCs w:val="24"/>
        </w:rPr>
      </w:pPr>
      <w:r w:rsidRPr="007E4431">
        <w:rPr>
          <w:rFonts w:ascii="Times New Roman" w:hAnsi="Times New Roman" w:cs="Times New Roman"/>
          <w:sz w:val="24"/>
          <w:szCs w:val="24"/>
        </w:rPr>
        <w:t>Council Member –</w:t>
      </w:r>
      <w:r w:rsidR="00AA16C6">
        <w:rPr>
          <w:rFonts w:ascii="Times New Roman" w:hAnsi="Times New Roman" w:cs="Times New Roman"/>
          <w:sz w:val="24"/>
          <w:szCs w:val="24"/>
        </w:rPr>
        <w:t xml:space="preserve"> </w:t>
      </w:r>
      <w:r w:rsidR="00DC11C6">
        <w:rPr>
          <w:rFonts w:ascii="Times New Roman" w:hAnsi="Times New Roman" w:cs="Times New Roman"/>
          <w:sz w:val="24"/>
          <w:szCs w:val="24"/>
        </w:rPr>
        <w:t>Joseph</w:t>
      </w:r>
    </w:p>
    <w:p w14:paraId="031BE8AA" w14:textId="1A13A7AE" w:rsidR="00606865" w:rsidRPr="007E4431" w:rsidRDefault="00606865" w:rsidP="00606865">
      <w:pPr>
        <w:pStyle w:val="ListParagraph"/>
        <w:numPr>
          <w:ilvl w:val="0"/>
          <w:numId w:val="1"/>
        </w:numPr>
        <w:rPr>
          <w:rFonts w:ascii="Times New Roman" w:hAnsi="Times New Roman" w:cs="Times New Roman"/>
          <w:sz w:val="24"/>
          <w:szCs w:val="24"/>
        </w:rPr>
      </w:pPr>
      <w:r w:rsidRPr="007E4431">
        <w:rPr>
          <w:rFonts w:ascii="Times New Roman" w:hAnsi="Times New Roman" w:cs="Times New Roman"/>
          <w:sz w:val="24"/>
          <w:szCs w:val="24"/>
        </w:rPr>
        <w:t xml:space="preserve">Council </w:t>
      </w:r>
      <w:r w:rsidR="00A43C38">
        <w:rPr>
          <w:rFonts w:ascii="Times New Roman" w:hAnsi="Times New Roman" w:cs="Times New Roman"/>
          <w:sz w:val="24"/>
          <w:szCs w:val="24"/>
        </w:rPr>
        <w:t>Members'</w:t>
      </w:r>
      <w:r w:rsidRPr="007E4431">
        <w:rPr>
          <w:rFonts w:ascii="Times New Roman" w:hAnsi="Times New Roman" w:cs="Times New Roman"/>
          <w:sz w:val="24"/>
          <w:szCs w:val="24"/>
        </w:rPr>
        <w:t xml:space="preserve"> approval –Yes</w:t>
      </w:r>
    </w:p>
    <w:p w14:paraId="60B965A6" w14:textId="6BC97B80" w:rsidR="00606865" w:rsidRPr="007E4431" w:rsidRDefault="00FF312D" w:rsidP="006068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Number of buildings – </w:t>
      </w:r>
      <w:r w:rsidR="00CA4B5B">
        <w:rPr>
          <w:rFonts w:ascii="Times New Roman" w:hAnsi="Times New Roman" w:cs="Times New Roman"/>
          <w:sz w:val="24"/>
          <w:szCs w:val="24"/>
        </w:rPr>
        <w:t>1</w:t>
      </w:r>
    </w:p>
    <w:p w14:paraId="437D6B5F" w14:textId="4B5152C6" w:rsidR="00606865" w:rsidRPr="007E4431" w:rsidRDefault="00606865" w:rsidP="00606865">
      <w:pPr>
        <w:pStyle w:val="ListParagraph"/>
        <w:numPr>
          <w:ilvl w:val="0"/>
          <w:numId w:val="1"/>
        </w:numPr>
        <w:rPr>
          <w:rFonts w:ascii="Times New Roman" w:hAnsi="Times New Roman" w:cs="Times New Roman"/>
          <w:sz w:val="24"/>
          <w:szCs w:val="24"/>
        </w:rPr>
      </w:pPr>
      <w:r w:rsidRPr="007E4431">
        <w:rPr>
          <w:rFonts w:ascii="Times New Roman" w:hAnsi="Times New Roman" w:cs="Times New Roman"/>
          <w:sz w:val="24"/>
          <w:szCs w:val="24"/>
        </w:rPr>
        <w:t>Number of units –</w:t>
      </w:r>
      <w:r w:rsidR="00CA4B5B">
        <w:rPr>
          <w:rFonts w:ascii="Times New Roman" w:hAnsi="Times New Roman" w:cs="Times New Roman"/>
          <w:sz w:val="24"/>
          <w:szCs w:val="24"/>
        </w:rPr>
        <w:t xml:space="preserve"> </w:t>
      </w:r>
      <w:r w:rsidR="00DC11C6">
        <w:rPr>
          <w:rFonts w:ascii="Times New Roman" w:hAnsi="Times New Roman" w:cs="Times New Roman"/>
          <w:sz w:val="24"/>
          <w:szCs w:val="24"/>
        </w:rPr>
        <w:t>134</w:t>
      </w:r>
      <w:r w:rsidR="00AA16C6">
        <w:rPr>
          <w:rFonts w:ascii="Times New Roman" w:hAnsi="Times New Roman" w:cs="Times New Roman"/>
          <w:sz w:val="24"/>
          <w:szCs w:val="24"/>
        </w:rPr>
        <w:t xml:space="preserve"> residential</w:t>
      </w:r>
    </w:p>
    <w:p w14:paraId="36793923" w14:textId="77777777" w:rsidR="00DC11C6" w:rsidRDefault="0014209D" w:rsidP="00DC11C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Type of exemption – Article </w:t>
      </w:r>
      <w:r w:rsidR="00CA4B5B">
        <w:rPr>
          <w:rFonts w:ascii="Times New Roman" w:hAnsi="Times New Roman" w:cs="Times New Roman"/>
          <w:sz w:val="24"/>
          <w:szCs w:val="24"/>
        </w:rPr>
        <w:t>XI</w:t>
      </w:r>
      <w:r w:rsidR="00606865" w:rsidRPr="007E4431">
        <w:rPr>
          <w:rFonts w:ascii="Times New Roman" w:hAnsi="Times New Roman" w:cs="Times New Roman"/>
          <w:sz w:val="24"/>
          <w:szCs w:val="24"/>
        </w:rPr>
        <w:t xml:space="preserve">, </w:t>
      </w:r>
      <w:r w:rsidR="00DC11C6">
        <w:rPr>
          <w:rFonts w:ascii="Times New Roman" w:hAnsi="Times New Roman" w:cs="Times New Roman"/>
          <w:sz w:val="24"/>
          <w:szCs w:val="24"/>
        </w:rPr>
        <w:t>partial</w:t>
      </w:r>
      <w:r w:rsidR="00CA4B5B">
        <w:rPr>
          <w:rFonts w:ascii="Times New Roman" w:hAnsi="Times New Roman" w:cs="Times New Roman"/>
          <w:sz w:val="24"/>
          <w:szCs w:val="24"/>
        </w:rPr>
        <w:t xml:space="preserve">, </w:t>
      </w:r>
      <w:r w:rsidR="00DC11C6">
        <w:rPr>
          <w:rFonts w:ascii="Times New Roman" w:hAnsi="Times New Roman" w:cs="Times New Roman"/>
          <w:sz w:val="24"/>
          <w:szCs w:val="24"/>
        </w:rPr>
        <w:t>4</w:t>
      </w:r>
      <w:r w:rsidR="00CA4B5B">
        <w:rPr>
          <w:rFonts w:ascii="Times New Roman" w:hAnsi="Times New Roman" w:cs="Times New Roman"/>
          <w:sz w:val="24"/>
          <w:szCs w:val="24"/>
        </w:rPr>
        <w:t>0* years</w:t>
      </w:r>
    </w:p>
    <w:p w14:paraId="6B6E0B4E" w14:textId="6E1F5F41" w:rsidR="00DC11C6" w:rsidRPr="00CA4B5B" w:rsidRDefault="00DC11C6" w:rsidP="00DC11C6">
      <w:pPr>
        <w:ind w:left="360"/>
        <w:rPr>
          <w:rFonts w:ascii="Times New Roman" w:hAnsi="Times New Roman" w:cs="Times New Roman"/>
          <w:sz w:val="24"/>
          <w:szCs w:val="24"/>
        </w:rPr>
      </w:pPr>
      <w:r w:rsidRPr="00DC11C6">
        <w:rPr>
          <w:rFonts w:ascii="Arial" w:eastAsia="Arial" w:hAnsi="Arial" w:cs="Arial"/>
        </w:rPr>
        <w:t>*</w:t>
      </w:r>
      <w:r w:rsidRPr="00DC11C6">
        <w:rPr>
          <w:rFonts w:ascii="Times New Roman" w:eastAsia="Arial" w:hAnsi="Times New Roman" w:cs="Times New Roman"/>
          <w:sz w:val="24"/>
          <w:szCs w:val="24"/>
        </w:rPr>
        <w:t xml:space="preserve">The term of the Regulatory Agreement will be 99 years, but the Article XI exemption will only </w:t>
      </w:r>
      <w:proofErr w:type="gramStart"/>
      <w:r w:rsidRPr="00DC11C6">
        <w:rPr>
          <w:rFonts w:ascii="Times New Roman" w:eastAsia="Arial" w:hAnsi="Times New Roman" w:cs="Times New Roman"/>
          <w:sz w:val="24"/>
          <w:szCs w:val="24"/>
        </w:rPr>
        <w:t>be for</w:t>
      </w:r>
      <w:proofErr w:type="gramEnd"/>
      <w:r w:rsidRPr="00DC11C6">
        <w:rPr>
          <w:rFonts w:ascii="Times New Roman" w:eastAsia="Arial" w:hAnsi="Times New Roman" w:cs="Times New Roman"/>
          <w:sz w:val="24"/>
          <w:szCs w:val="24"/>
        </w:rPr>
        <w:t xml:space="preserve"> 40 years.)</w:t>
      </w:r>
    </w:p>
    <w:p w14:paraId="6348B3E4" w14:textId="2949ECD5" w:rsidR="00606865" w:rsidRPr="007E4431" w:rsidRDefault="00606865" w:rsidP="00606865">
      <w:pPr>
        <w:pStyle w:val="ListParagraph"/>
        <w:numPr>
          <w:ilvl w:val="0"/>
          <w:numId w:val="1"/>
        </w:numPr>
        <w:rPr>
          <w:rFonts w:ascii="Times New Roman" w:hAnsi="Times New Roman" w:cs="Times New Roman"/>
          <w:sz w:val="24"/>
          <w:szCs w:val="24"/>
        </w:rPr>
      </w:pPr>
      <w:r w:rsidRPr="007E4431">
        <w:rPr>
          <w:rFonts w:ascii="Times New Roman" w:hAnsi="Times New Roman" w:cs="Times New Roman"/>
          <w:sz w:val="24"/>
          <w:szCs w:val="24"/>
        </w:rPr>
        <w:t xml:space="preserve">Population – </w:t>
      </w:r>
      <w:r w:rsidR="00E11D75">
        <w:rPr>
          <w:rFonts w:ascii="Times New Roman" w:hAnsi="Times New Roman" w:cs="Times New Roman"/>
          <w:sz w:val="24"/>
          <w:szCs w:val="24"/>
        </w:rPr>
        <w:t>rental</w:t>
      </w:r>
    </w:p>
    <w:p w14:paraId="5943A071" w14:textId="68281D8B" w:rsidR="00AA16C6" w:rsidRPr="00CA4B5B" w:rsidRDefault="00606865" w:rsidP="00CA4B5B">
      <w:pPr>
        <w:pStyle w:val="ListParagraph"/>
        <w:numPr>
          <w:ilvl w:val="0"/>
          <w:numId w:val="1"/>
        </w:numPr>
        <w:rPr>
          <w:rFonts w:ascii="Times New Roman" w:hAnsi="Times New Roman" w:cs="Times New Roman"/>
          <w:sz w:val="24"/>
          <w:szCs w:val="24"/>
        </w:rPr>
      </w:pPr>
      <w:r w:rsidRPr="00AA16C6">
        <w:rPr>
          <w:rFonts w:ascii="Times New Roman" w:hAnsi="Times New Roman" w:cs="Times New Roman"/>
          <w:sz w:val="24"/>
          <w:szCs w:val="24"/>
        </w:rPr>
        <w:t>Sponsor –</w:t>
      </w:r>
      <w:r w:rsidR="0081626E" w:rsidRPr="0081626E">
        <w:t xml:space="preserve"> </w:t>
      </w:r>
      <w:proofErr w:type="spellStart"/>
      <w:r w:rsidR="00DC11C6" w:rsidRPr="00DC11C6">
        <w:rPr>
          <w:rFonts w:ascii="Times New Roman" w:hAnsi="Times New Roman" w:cs="Times New Roman"/>
          <w:sz w:val="24"/>
          <w:szCs w:val="24"/>
        </w:rPr>
        <w:t>MSquared</w:t>
      </w:r>
      <w:proofErr w:type="spellEnd"/>
    </w:p>
    <w:p w14:paraId="275B5F43" w14:textId="152CAC4F" w:rsidR="00606865" w:rsidRPr="00AA16C6" w:rsidRDefault="00606865" w:rsidP="007E335D">
      <w:pPr>
        <w:pStyle w:val="ListParagraph"/>
        <w:numPr>
          <w:ilvl w:val="0"/>
          <w:numId w:val="1"/>
        </w:numPr>
        <w:rPr>
          <w:rFonts w:ascii="Times New Roman" w:hAnsi="Times New Roman" w:cs="Times New Roman"/>
          <w:sz w:val="24"/>
          <w:szCs w:val="24"/>
        </w:rPr>
      </w:pPr>
      <w:r w:rsidRPr="00AA16C6">
        <w:rPr>
          <w:rFonts w:ascii="Times New Roman" w:hAnsi="Times New Roman" w:cs="Times New Roman"/>
          <w:sz w:val="24"/>
          <w:szCs w:val="24"/>
        </w:rPr>
        <w:t xml:space="preserve">Purpose – </w:t>
      </w:r>
      <w:r w:rsidR="008D36D2">
        <w:rPr>
          <w:rFonts w:ascii="Times New Roman" w:hAnsi="Times New Roman" w:cs="Times New Roman"/>
          <w:sz w:val="24"/>
          <w:szCs w:val="24"/>
        </w:rPr>
        <w:t>preservation</w:t>
      </w:r>
      <w:r w:rsidR="003F3943">
        <w:rPr>
          <w:rFonts w:ascii="Times New Roman" w:hAnsi="Times New Roman" w:cs="Times New Roman"/>
          <w:sz w:val="24"/>
          <w:szCs w:val="24"/>
        </w:rPr>
        <w:t xml:space="preserve"> </w:t>
      </w:r>
    </w:p>
    <w:p w14:paraId="77626155" w14:textId="58380269" w:rsidR="00606865" w:rsidRPr="00025C62" w:rsidRDefault="00606865" w:rsidP="006068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Cost to the city </w:t>
      </w:r>
      <w:r w:rsidR="00A65FD7">
        <w:rPr>
          <w:rFonts w:ascii="Times New Roman" w:hAnsi="Times New Roman" w:cs="Times New Roman"/>
          <w:sz w:val="24"/>
          <w:szCs w:val="24"/>
        </w:rPr>
        <w:t xml:space="preserve">– </w:t>
      </w:r>
      <w:r w:rsidR="001278E9">
        <w:rPr>
          <w:rFonts w:ascii="Times New Roman" w:hAnsi="Times New Roman" w:cs="Times New Roman"/>
          <w:sz w:val="24"/>
          <w:szCs w:val="24"/>
        </w:rPr>
        <w:t>$</w:t>
      </w:r>
      <w:r w:rsidR="00DC11C6">
        <w:rPr>
          <w:rFonts w:ascii="Times New Roman" w:hAnsi="Times New Roman" w:cs="Times New Roman"/>
          <w:sz w:val="24"/>
          <w:szCs w:val="24"/>
        </w:rPr>
        <w:t>61</w:t>
      </w:r>
      <w:r w:rsidR="00E11D75">
        <w:rPr>
          <w:rFonts w:ascii="Times New Roman" w:hAnsi="Times New Roman" w:cs="Times New Roman"/>
          <w:sz w:val="24"/>
          <w:szCs w:val="24"/>
        </w:rPr>
        <w:t>,</w:t>
      </w:r>
      <w:r w:rsidR="00DC11C6">
        <w:rPr>
          <w:rFonts w:ascii="Times New Roman" w:hAnsi="Times New Roman" w:cs="Times New Roman"/>
          <w:sz w:val="24"/>
          <w:szCs w:val="24"/>
        </w:rPr>
        <w:t>004,381</w:t>
      </w:r>
      <w:r w:rsidR="00CA4B5B">
        <w:rPr>
          <w:rFonts w:ascii="Times New Roman" w:hAnsi="Times New Roman" w:cs="Times New Roman"/>
          <w:sz w:val="24"/>
          <w:szCs w:val="24"/>
        </w:rPr>
        <w:t xml:space="preserve"> </w:t>
      </w:r>
    </w:p>
    <w:p w14:paraId="21602788" w14:textId="77777777" w:rsidR="00606865" w:rsidRDefault="00606865" w:rsidP="00606865">
      <w:pPr>
        <w:pStyle w:val="ListParagraph"/>
        <w:numPr>
          <w:ilvl w:val="0"/>
          <w:numId w:val="1"/>
        </w:numPr>
        <w:rPr>
          <w:rFonts w:ascii="Times New Roman" w:hAnsi="Times New Roman" w:cs="Times New Roman"/>
          <w:sz w:val="24"/>
          <w:szCs w:val="24"/>
        </w:rPr>
      </w:pPr>
      <w:r w:rsidRPr="00E1783C">
        <w:rPr>
          <w:rFonts w:ascii="Times New Roman" w:hAnsi="Times New Roman" w:cs="Times New Roman"/>
          <w:sz w:val="24"/>
          <w:szCs w:val="24"/>
        </w:rPr>
        <w:t xml:space="preserve">Housing Code Violations </w:t>
      </w:r>
    </w:p>
    <w:p w14:paraId="333A051C" w14:textId="3209A857" w:rsidR="00606865" w:rsidRDefault="00606865" w:rsidP="00606865">
      <w:pPr>
        <w:pStyle w:val="ListParagraph"/>
        <w:numPr>
          <w:ilvl w:val="1"/>
          <w:numId w:val="1"/>
        </w:numPr>
        <w:rPr>
          <w:rFonts w:ascii="Times New Roman" w:hAnsi="Times New Roman" w:cs="Times New Roman"/>
          <w:sz w:val="24"/>
          <w:szCs w:val="24"/>
        </w:rPr>
      </w:pPr>
      <w:r w:rsidRPr="00606865">
        <w:rPr>
          <w:rFonts w:ascii="Times New Roman" w:hAnsi="Times New Roman" w:cs="Times New Roman"/>
          <w:sz w:val="24"/>
          <w:szCs w:val="24"/>
        </w:rPr>
        <w:t xml:space="preserve">Class A – </w:t>
      </w:r>
      <w:r w:rsidR="00DC11C6">
        <w:rPr>
          <w:rFonts w:ascii="Times New Roman" w:hAnsi="Times New Roman" w:cs="Times New Roman"/>
          <w:sz w:val="24"/>
          <w:szCs w:val="24"/>
        </w:rPr>
        <w:t>5</w:t>
      </w:r>
    </w:p>
    <w:p w14:paraId="32519BFE" w14:textId="7BF9D435" w:rsidR="00606865" w:rsidRDefault="00606865" w:rsidP="00606865">
      <w:pPr>
        <w:pStyle w:val="ListParagraph"/>
        <w:numPr>
          <w:ilvl w:val="1"/>
          <w:numId w:val="1"/>
        </w:numPr>
        <w:rPr>
          <w:rFonts w:ascii="Times New Roman" w:hAnsi="Times New Roman" w:cs="Times New Roman"/>
          <w:sz w:val="24"/>
          <w:szCs w:val="24"/>
        </w:rPr>
      </w:pPr>
      <w:r w:rsidRPr="00606865">
        <w:rPr>
          <w:rFonts w:ascii="Times New Roman" w:hAnsi="Times New Roman" w:cs="Times New Roman"/>
          <w:sz w:val="24"/>
          <w:szCs w:val="24"/>
        </w:rPr>
        <w:t xml:space="preserve">Class B – </w:t>
      </w:r>
      <w:r w:rsidR="00DC11C6">
        <w:rPr>
          <w:rFonts w:ascii="Times New Roman" w:hAnsi="Times New Roman" w:cs="Times New Roman"/>
          <w:sz w:val="24"/>
          <w:szCs w:val="24"/>
        </w:rPr>
        <w:t>26</w:t>
      </w:r>
    </w:p>
    <w:p w14:paraId="2ADB31CA" w14:textId="782E32A6" w:rsidR="00606865" w:rsidRDefault="00606865" w:rsidP="00CE609D">
      <w:pPr>
        <w:pStyle w:val="ListParagraph"/>
        <w:numPr>
          <w:ilvl w:val="1"/>
          <w:numId w:val="1"/>
        </w:numPr>
        <w:rPr>
          <w:rFonts w:ascii="Times New Roman" w:hAnsi="Times New Roman" w:cs="Times New Roman"/>
          <w:sz w:val="24"/>
          <w:szCs w:val="24"/>
        </w:rPr>
      </w:pPr>
      <w:r w:rsidRPr="00252DE1">
        <w:rPr>
          <w:rFonts w:ascii="Times New Roman" w:hAnsi="Times New Roman" w:cs="Times New Roman"/>
          <w:sz w:val="24"/>
          <w:szCs w:val="24"/>
        </w:rPr>
        <w:t xml:space="preserve">Class C – </w:t>
      </w:r>
      <w:r w:rsidR="00DC11C6">
        <w:rPr>
          <w:rFonts w:ascii="Times New Roman" w:hAnsi="Times New Roman" w:cs="Times New Roman"/>
          <w:sz w:val="24"/>
          <w:szCs w:val="24"/>
        </w:rPr>
        <w:t>152</w:t>
      </w:r>
    </w:p>
    <w:p w14:paraId="0FB94D18" w14:textId="31971DA7" w:rsidR="00CA4B5B" w:rsidRPr="00CA4B5B" w:rsidRDefault="00DC11C6" w:rsidP="00CA4B5B">
      <w:pPr>
        <w:rPr>
          <w:rFonts w:ascii="Times New Roman" w:hAnsi="Times New Roman" w:cs="Times New Roman"/>
          <w:sz w:val="24"/>
          <w:szCs w:val="24"/>
        </w:rPr>
      </w:pPr>
      <w:r w:rsidRPr="00DC11C6">
        <w:rPr>
          <w:rFonts w:ascii="Times New Roman" w:hAnsi="Times New Roman" w:cs="Times New Roman"/>
          <w:sz w:val="24"/>
          <w:szCs w:val="24"/>
        </w:rPr>
        <w:t xml:space="preserve">The Sponsor will work to </w:t>
      </w:r>
      <w:proofErr w:type="gramStart"/>
      <w:r w:rsidRPr="00DC11C6">
        <w:rPr>
          <w:rFonts w:ascii="Times New Roman" w:hAnsi="Times New Roman" w:cs="Times New Roman"/>
          <w:sz w:val="24"/>
          <w:szCs w:val="24"/>
        </w:rPr>
        <w:t>clear</w:t>
      </w:r>
      <w:proofErr w:type="gramEnd"/>
      <w:r w:rsidRPr="00DC11C6">
        <w:rPr>
          <w:rFonts w:ascii="Times New Roman" w:hAnsi="Times New Roman" w:cs="Times New Roman"/>
          <w:sz w:val="24"/>
          <w:szCs w:val="24"/>
        </w:rPr>
        <w:t xml:space="preserve"> all violations upon closing of </w:t>
      </w:r>
      <w:proofErr w:type="gramStart"/>
      <w:r w:rsidRPr="00DC11C6">
        <w:rPr>
          <w:rFonts w:ascii="Times New Roman" w:hAnsi="Times New Roman" w:cs="Times New Roman"/>
          <w:sz w:val="24"/>
          <w:szCs w:val="24"/>
        </w:rPr>
        <w:t>the Article</w:t>
      </w:r>
      <w:proofErr w:type="gramEnd"/>
      <w:r w:rsidRPr="00DC11C6">
        <w:rPr>
          <w:rFonts w:ascii="Times New Roman" w:hAnsi="Times New Roman" w:cs="Times New Roman"/>
          <w:sz w:val="24"/>
          <w:szCs w:val="24"/>
        </w:rPr>
        <w:t xml:space="preserve"> XI exemption and HPD will require that the Sponsor determine a remediation plan for addressing the violations.</w:t>
      </w:r>
    </w:p>
    <w:p w14:paraId="304CF600" w14:textId="18B0E6C6" w:rsidR="001F60F4" w:rsidRPr="00606865" w:rsidRDefault="001F60F4" w:rsidP="001F60F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Anticipated AMI </w:t>
      </w:r>
      <w:r w:rsidR="00BB296E">
        <w:rPr>
          <w:rFonts w:ascii="Times New Roman" w:hAnsi="Times New Roman" w:cs="Times New Roman"/>
          <w:sz w:val="24"/>
          <w:szCs w:val="24"/>
        </w:rPr>
        <w:t xml:space="preserve">Rent Limit </w:t>
      </w:r>
      <w:r w:rsidR="0046675A">
        <w:rPr>
          <w:rFonts w:ascii="Times New Roman" w:hAnsi="Times New Roman" w:cs="Times New Roman"/>
          <w:sz w:val="24"/>
          <w:szCs w:val="24"/>
        </w:rPr>
        <w:t xml:space="preserve">Targets: </w:t>
      </w:r>
      <w:r w:rsidR="001278E9">
        <w:rPr>
          <w:rFonts w:ascii="Times New Roman" w:hAnsi="Times New Roman" w:cs="Times New Roman"/>
          <w:sz w:val="24"/>
          <w:szCs w:val="24"/>
        </w:rPr>
        <w:t>50</w:t>
      </w:r>
      <w:r w:rsidR="00DC11C6">
        <w:rPr>
          <w:rFonts w:ascii="Times New Roman" w:hAnsi="Times New Roman" w:cs="Times New Roman"/>
          <w:sz w:val="24"/>
          <w:szCs w:val="24"/>
        </w:rPr>
        <w:t>, 80, 105%</w:t>
      </w:r>
      <w:r w:rsidR="0014209D">
        <w:rPr>
          <w:rFonts w:ascii="Times New Roman" w:hAnsi="Times New Roman" w:cs="Times New Roman"/>
          <w:sz w:val="24"/>
          <w:szCs w:val="24"/>
        </w:rPr>
        <w:t xml:space="preserve"> AMI</w:t>
      </w:r>
    </w:p>
    <w:sectPr w:rsidR="001F60F4" w:rsidRPr="0060686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544BC" w14:textId="77777777" w:rsidR="00AD23B5" w:rsidRDefault="00AD23B5" w:rsidP="00AD23B5">
      <w:r>
        <w:separator/>
      </w:r>
    </w:p>
  </w:endnote>
  <w:endnote w:type="continuationSeparator" w:id="0">
    <w:p w14:paraId="57A0F63A" w14:textId="77777777" w:rsidR="00AD23B5" w:rsidRDefault="00AD23B5" w:rsidP="00AD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31037"/>
      <w:docPartObj>
        <w:docPartGallery w:val="Page Numbers (Bottom of Page)"/>
        <w:docPartUnique/>
      </w:docPartObj>
    </w:sdtPr>
    <w:sdtEndPr>
      <w:rPr>
        <w:rFonts w:ascii="Times New Roman" w:hAnsi="Times New Roman" w:cs="Times New Roman"/>
        <w:noProof/>
      </w:rPr>
    </w:sdtEndPr>
    <w:sdtContent>
      <w:p w14:paraId="7BC01347" w14:textId="020F4FF9" w:rsidR="00AD23B5" w:rsidRPr="00AD23B5" w:rsidRDefault="00AD23B5">
        <w:pPr>
          <w:pStyle w:val="Footer"/>
          <w:jc w:val="right"/>
          <w:rPr>
            <w:rFonts w:ascii="Times New Roman" w:hAnsi="Times New Roman" w:cs="Times New Roman"/>
          </w:rPr>
        </w:pPr>
        <w:r w:rsidRPr="00AD23B5">
          <w:rPr>
            <w:rFonts w:ascii="Times New Roman" w:hAnsi="Times New Roman" w:cs="Times New Roman"/>
          </w:rPr>
          <w:fldChar w:fldCharType="begin"/>
        </w:r>
        <w:r w:rsidRPr="00AD23B5">
          <w:rPr>
            <w:rFonts w:ascii="Times New Roman" w:hAnsi="Times New Roman" w:cs="Times New Roman"/>
          </w:rPr>
          <w:instrText xml:space="preserve"> PAGE   \* MERGEFORMAT </w:instrText>
        </w:r>
        <w:r w:rsidRPr="00AD23B5">
          <w:rPr>
            <w:rFonts w:ascii="Times New Roman" w:hAnsi="Times New Roman" w:cs="Times New Roman"/>
          </w:rPr>
          <w:fldChar w:fldCharType="separate"/>
        </w:r>
        <w:r w:rsidR="004B1F3F">
          <w:rPr>
            <w:rFonts w:ascii="Times New Roman" w:hAnsi="Times New Roman" w:cs="Times New Roman"/>
            <w:noProof/>
          </w:rPr>
          <w:t>1</w:t>
        </w:r>
        <w:r w:rsidRPr="00AD23B5">
          <w:rPr>
            <w:rFonts w:ascii="Times New Roman" w:hAnsi="Times New Roman" w:cs="Times New Roman"/>
            <w:noProof/>
          </w:rPr>
          <w:fldChar w:fldCharType="end"/>
        </w:r>
      </w:p>
    </w:sdtContent>
  </w:sdt>
  <w:p w14:paraId="490C9B37" w14:textId="77777777" w:rsidR="00AD23B5" w:rsidRDefault="00AD2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4191B" w14:textId="77777777" w:rsidR="00AD23B5" w:rsidRDefault="00AD23B5" w:rsidP="00AD23B5">
      <w:r>
        <w:separator/>
      </w:r>
    </w:p>
  </w:footnote>
  <w:footnote w:type="continuationSeparator" w:id="0">
    <w:p w14:paraId="34B89A7A" w14:textId="77777777" w:rsidR="00AD23B5" w:rsidRDefault="00AD23B5" w:rsidP="00AD2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02BD5"/>
    <w:multiLevelType w:val="hybridMultilevel"/>
    <w:tmpl w:val="CA4A3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9B692EC">
      <w:numFmt w:val="bullet"/>
      <w:lvlText w:val="·"/>
      <w:lvlJc w:val="left"/>
      <w:pPr>
        <w:ind w:left="2295" w:hanging="495"/>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392355"/>
    <w:multiLevelType w:val="hybridMultilevel"/>
    <w:tmpl w:val="79B20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451741">
    <w:abstractNumId w:val="0"/>
  </w:num>
  <w:num w:numId="2" w16cid:durableId="467212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4F4"/>
    <w:rsid w:val="00025C62"/>
    <w:rsid w:val="0003063C"/>
    <w:rsid w:val="00051227"/>
    <w:rsid w:val="00075BD4"/>
    <w:rsid w:val="00092C85"/>
    <w:rsid w:val="000B0F65"/>
    <w:rsid w:val="000D3292"/>
    <w:rsid w:val="001278E9"/>
    <w:rsid w:val="00140F84"/>
    <w:rsid w:val="0014209D"/>
    <w:rsid w:val="001546F6"/>
    <w:rsid w:val="00160CD3"/>
    <w:rsid w:val="0016505C"/>
    <w:rsid w:val="001A2DC3"/>
    <w:rsid w:val="001A4DAA"/>
    <w:rsid w:val="001D2C9D"/>
    <w:rsid w:val="001E7D02"/>
    <w:rsid w:val="001F60F4"/>
    <w:rsid w:val="002244F4"/>
    <w:rsid w:val="00234E1A"/>
    <w:rsid w:val="00241E0F"/>
    <w:rsid w:val="00243912"/>
    <w:rsid w:val="00252DE1"/>
    <w:rsid w:val="00264194"/>
    <w:rsid w:val="002B1EA7"/>
    <w:rsid w:val="00303D45"/>
    <w:rsid w:val="003261F2"/>
    <w:rsid w:val="00337B4E"/>
    <w:rsid w:val="00355C28"/>
    <w:rsid w:val="00356568"/>
    <w:rsid w:val="00363AF4"/>
    <w:rsid w:val="0036638D"/>
    <w:rsid w:val="003A2620"/>
    <w:rsid w:val="003B406D"/>
    <w:rsid w:val="003F3943"/>
    <w:rsid w:val="003F3FA4"/>
    <w:rsid w:val="003F55C5"/>
    <w:rsid w:val="0041334D"/>
    <w:rsid w:val="00415B68"/>
    <w:rsid w:val="00426FE3"/>
    <w:rsid w:val="004378D5"/>
    <w:rsid w:val="004538A1"/>
    <w:rsid w:val="00460F53"/>
    <w:rsid w:val="0046675A"/>
    <w:rsid w:val="00484819"/>
    <w:rsid w:val="004B0461"/>
    <w:rsid w:val="004B1F3F"/>
    <w:rsid w:val="004D3B89"/>
    <w:rsid w:val="004E1617"/>
    <w:rsid w:val="004F57F2"/>
    <w:rsid w:val="00533190"/>
    <w:rsid w:val="005449C7"/>
    <w:rsid w:val="00562626"/>
    <w:rsid w:val="00580AC3"/>
    <w:rsid w:val="005D3EE3"/>
    <w:rsid w:val="005E4469"/>
    <w:rsid w:val="005F4C0A"/>
    <w:rsid w:val="005F5DD5"/>
    <w:rsid w:val="00606865"/>
    <w:rsid w:val="0061543B"/>
    <w:rsid w:val="00627405"/>
    <w:rsid w:val="006426AA"/>
    <w:rsid w:val="006439DB"/>
    <w:rsid w:val="006826D2"/>
    <w:rsid w:val="00683FE6"/>
    <w:rsid w:val="006E0F8E"/>
    <w:rsid w:val="006F0523"/>
    <w:rsid w:val="00702E44"/>
    <w:rsid w:val="0075643D"/>
    <w:rsid w:val="00760FAC"/>
    <w:rsid w:val="007A4E1A"/>
    <w:rsid w:val="007B103F"/>
    <w:rsid w:val="007E4431"/>
    <w:rsid w:val="008006C1"/>
    <w:rsid w:val="00814C2D"/>
    <w:rsid w:val="0081626E"/>
    <w:rsid w:val="00817ECE"/>
    <w:rsid w:val="00871224"/>
    <w:rsid w:val="008927F0"/>
    <w:rsid w:val="008C1F35"/>
    <w:rsid w:val="008C53A4"/>
    <w:rsid w:val="008D36D2"/>
    <w:rsid w:val="008E62B6"/>
    <w:rsid w:val="009016B9"/>
    <w:rsid w:val="00906A1C"/>
    <w:rsid w:val="0092293C"/>
    <w:rsid w:val="00924183"/>
    <w:rsid w:val="009A4391"/>
    <w:rsid w:val="009D5246"/>
    <w:rsid w:val="009E1AE2"/>
    <w:rsid w:val="00A04C22"/>
    <w:rsid w:val="00A375CC"/>
    <w:rsid w:val="00A43C38"/>
    <w:rsid w:val="00A45BA7"/>
    <w:rsid w:val="00A468AA"/>
    <w:rsid w:val="00A65FD7"/>
    <w:rsid w:val="00A730FC"/>
    <w:rsid w:val="00A73E9B"/>
    <w:rsid w:val="00A77C26"/>
    <w:rsid w:val="00A77F7B"/>
    <w:rsid w:val="00A81617"/>
    <w:rsid w:val="00AA16C6"/>
    <w:rsid w:val="00AB091B"/>
    <w:rsid w:val="00AD23B5"/>
    <w:rsid w:val="00B013E6"/>
    <w:rsid w:val="00B16118"/>
    <w:rsid w:val="00B21C77"/>
    <w:rsid w:val="00B26E3A"/>
    <w:rsid w:val="00B321AB"/>
    <w:rsid w:val="00B35319"/>
    <w:rsid w:val="00B51AEE"/>
    <w:rsid w:val="00B74FC8"/>
    <w:rsid w:val="00B90454"/>
    <w:rsid w:val="00B967EA"/>
    <w:rsid w:val="00BB296E"/>
    <w:rsid w:val="00BF3666"/>
    <w:rsid w:val="00BF6434"/>
    <w:rsid w:val="00C03E66"/>
    <w:rsid w:val="00C41285"/>
    <w:rsid w:val="00C801F0"/>
    <w:rsid w:val="00CA4B5B"/>
    <w:rsid w:val="00CC37CA"/>
    <w:rsid w:val="00CE2729"/>
    <w:rsid w:val="00D307EE"/>
    <w:rsid w:val="00D42199"/>
    <w:rsid w:val="00D939F9"/>
    <w:rsid w:val="00DB2CA4"/>
    <w:rsid w:val="00DC11C6"/>
    <w:rsid w:val="00DC7180"/>
    <w:rsid w:val="00DF74A3"/>
    <w:rsid w:val="00E02586"/>
    <w:rsid w:val="00E11D75"/>
    <w:rsid w:val="00E1783C"/>
    <w:rsid w:val="00E33F9A"/>
    <w:rsid w:val="00ED79E4"/>
    <w:rsid w:val="00EF03B0"/>
    <w:rsid w:val="00EF2065"/>
    <w:rsid w:val="00F06032"/>
    <w:rsid w:val="00F2406A"/>
    <w:rsid w:val="00F4738C"/>
    <w:rsid w:val="00FE12CA"/>
    <w:rsid w:val="00FE78B2"/>
    <w:rsid w:val="00FF312D"/>
    <w:rsid w:val="00FF4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C998A"/>
  <w15:chartTrackingRefBased/>
  <w15:docId w15:val="{3764C230-6557-4129-AFAD-6416D302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4F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4F4"/>
    <w:pPr>
      <w:ind w:left="720"/>
    </w:pPr>
  </w:style>
  <w:style w:type="paragraph" w:customStyle="1" w:styleId="MediumGrid1-Accent21">
    <w:name w:val="Medium Grid 1 - Accent 21"/>
    <w:basedOn w:val="Normal"/>
    <w:uiPriority w:val="34"/>
    <w:qFormat/>
    <w:rsid w:val="002244F4"/>
    <w:pPr>
      <w:ind w:left="720"/>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D23B5"/>
    <w:pPr>
      <w:tabs>
        <w:tab w:val="center" w:pos="4680"/>
        <w:tab w:val="right" w:pos="9360"/>
      </w:tabs>
    </w:pPr>
  </w:style>
  <w:style w:type="character" w:customStyle="1" w:styleId="HeaderChar">
    <w:name w:val="Header Char"/>
    <w:basedOn w:val="DefaultParagraphFont"/>
    <w:link w:val="Header"/>
    <w:uiPriority w:val="99"/>
    <w:rsid w:val="00AD23B5"/>
    <w:rPr>
      <w:rFonts w:ascii="Calibri" w:hAnsi="Calibri" w:cs="Calibri"/>
    </w:rPr>
  </w:style>
  <w:style w:type="paragraph" w:styleId="Footer">
    <w:name w:val="footer"/>
    <w:basedOn w:val="Normal"/>
    <w:link w:val="FooterChar"/>
    <w:uiPriority w:val="99"/>
    <w:unhideWhenUsed/>
    <w:rsid w:val="00AD23B5"/>
    <w:pPr>
      <w:tabs>
        <w:tab w:val="center" w:pos="4680"/>
        <w:tab w:val="right" w:pos="9360"/>
      </w:tabs>
    </w:pPr>
  </w:style>
  <w:style w:type="character" w:customStyle="1" w:styleId="FooterChar">
    <w:name w:val="Footer Char"/>
    <w:basedOn w:val="DefaultParagraphFont"/>
    <w:link w:val="Footer"/>
    <w:uiPriority w:val="99"/>
    <w:rsid w:val="00AD23B5"/>
    <w:rPr>
      <w:rFonts w:ascii="Calibri" w:hAnsi="Calibri" w:cs="Calibri"/>
    </w:rPr>
  </w:style>
  <w:style w:type="paragraph" w:styleId="Revision">
    <w:name w:val="Revision"/>
    <w:hidden/>
    <w:uiPriority w:val="99"/>
    <w:semiHidden/>
    <w:rsid w:val="003261F2"/>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A77C26"/>
    <w:rPr>
      <w:sz w:val="16"/>
      <w:szCs w:val="16"/>
    </w:rPr>
  </w:style>
  <w:style w:type="paragraph" w:styleId="CommentText">
    <w:name w:val="annotation text"/>
    <w:basedOn w:val="Normal"/>
    <w:link w:val="CommentTextChar"/>
    <w:uiPriority w:val="99"/>
    <w:semiHidden/>
    <w:unhideWhenUsed/>
    <w:rsid w:val="00A77C26"/>
    <w:rPr>
      <w:sz w:val="20"/>
      <w:szCs w:val="20"/>
    </w:rPr>
  </w:style>
  <w:style w:type="character" w:customStyle="1" w:styleId="CommentTextChar">
    <w:name w:val="Comment Text Char"/>
    <w:basedOn w:val="DefaultParagraphFont"/>
    <w:link w:val="CommentText"/>
    <w:uiPriority w:val="99"/>
    <w:semiHidden/>
    <w:rsid w:val="00A77C26"/>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A77C26"/>
    <w:rPr>
      <w:b/>
      <w:bCs/>
    </w:rPr>
  </w:style>
  <w:style w:type="character" w:customStyle="1" w:styleId="CommentSubjectChar">
    <w:name w:val="Comment Subject Char"/>
    <w:basedOn w:val="CommentTextChar"/>
    <w:link w:val="CommentSubject"/>
    <w:uiPriority w:val="99"/>
    <w:semiHidden/>
    <w:rsid w:val="00A77C26"/>
    <w:rPr>
      <w:rFonts w:ascii="Calibri" w:hAnsi="Calibri" w:cs="Calibri"/>
      <w:b/>
      <w:bCs/>
      <w:sz w:val="20"/>
      <w:szCs w:val="20"/>
    </w:rPr>
  </w:style>
  <w:style w:type="paragraph" w:styleId="BalloonText">
    <w:name w:val="Balloon Text"/>
    <w:basedOn w:val="Normal"/>
    <w:link w:val="BalloonTextChar"/>
    <w:uiPriority w:val="99"/>
    <w:semiHidden/>
    <w:unhideWhenUsed/>
    <w:rsid w:val="00355C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C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129944">
      <w:bodyDiv w:val="1"/>
      <w:marLeft w:val="0"/>
      <w:marRight w:val="0"/>
      <w:marTop w:val="0"/>
      <w:marBottom w:val="0"/>
      <w:divBdr>
        <w:top w:val="none" w:sz="0" w:space="0" w:color="auto"/>
        <w:left w:val="none" w:sz="0" w:space="0" w:color="auto"/>
        <w:bottom w:val="none" w:sz="0" w:space="0" w:color="auto"/>
        <w:right w:val="none" w:sz="0" w:space="0" w:color="auto"/>
      </w:divBdr>
    </w:div>
    <w:div w:id="1445227306">
      <w:bodyDiv w:val="1"/>
      <w:marLeft w:val="0"/>
      <w:marRight w:val="0"/>
      <w:marTop w:val="0"/>
      <w:marBottom w:val="0"/>
      <w:divBdr>
        <w:top w:val="none" w:sz="0" w:space="0" w:color="auto"/>
        <w:left w:val="none" w:sz="0" w:space="0" w:color="auto"/>
        <w:bottom w:val="none" w:sz="0" w:space="0" w:color="auto"/>
        <w:right w:val="none" w:sz="0" w:space="0" w:color="auto"/>
      </w:divBdr>
    </w:div>
    <w:div w:id="1520240568">
      <w:bodyDiv w:val="1"/>
      <w:marLeft w:val="0"/>
      <w:marRight w:val="0"/>
      <w:marTop w:val="0"/>
      <w:marBottom w:val="0"/>
      <w:divBdr>
        <w:top w:val="none" w:sz="0" w:space="0" w:color="auto"/>
        <w:left w:val="none" w:sz="0" w:space="0" w:color="auto"/>
        <w:bottom w:val="none" w:sz="0" w:space="0" w:color="auto"/>
        <w:right w:val="none" w:sz="0" w:space="0" w:color="auto"/>
      </w:divBdr>
    </w:div>
    <w:div w:id="1540820159">
      <w:bodyDiv w:val="1"/>
      <w:marLeft w:val="0"/>
      <w:marRight w:val="0"/>
      <w:marTop w:val="0"/>
      <w:marBottom w:val="0"/>
      <w:divBdr>
        <w:top w:val="none" w:sz="0" w:space="0" w:color="auto"/>
        <w:left w:val="none" w:sz="0" w:space="0" w:color="auto"/>
        <w:bottom w:val="none" w:sz="0" w:space="0" w:color="auto"/>
        <w:right w:val="none" w:sz="0" w:space="0" w:color="auto"/>
      </w:divBdr>
    </w:div>
    <w:div w:id="1687248925">
      <w:bodyDiv w:val="1"/>
      <w:marLeft w:val="0"/>
      <w:marRight w:val="0"/>
      <w:marTop w:val="0"/>
      <w:marBottom w:val="0"/>
      <w:divBdr>
        <w:top w:val="none" w:sz="0" w:space="0" w:color="auto"/>
        <w:left w:val="none" w:sz="0" w:space="0" w:color="auto"/>
        <w:bottom w:val="none" w:sz="0" w:space="0" w:color="auto"/>
        <w:right w:val="none" w:sz="0" w:space="0" w:color="auto"/>
      </w:divBdr>
    </w:div>
    <w:div w:id="190560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3628</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Twomey</dc:creator>
  <cp:keywords/>
  <dc:description/>
  <cp:lastModifiedBy>Jeffries, Jillian</cp:lastModifiedBy>
  <cp:revision>2</cp:revision>
  <cp:lastPrinted>2026-04-29T16:48:00Z</cp:lastPrinted>
  <dcterms:created xsi:type="dcterms:W3CDTF">2026-05-18T18:14:00Z</dcterms:created>
  <dcterms:modified xsi:type="dcterms:W3CDTF">2026-05-18T18:14:00Z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6b5d875d-4640-49fc-8e5e-289effdefb0a</vt:lpwstr>
  </property>
</Properties>
</file>