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46508F04"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CE7792">
        <w:rPr>
          <w:rFonts w:ascii="Times New Roman" w:eastAsia="Times New Roman" w:hAnsi="Times New Roman" w:cs="Times New Roman"/>
          <w:sz w:val="24"/>
          <w:szCs w:val="24"/>
        </w:rPr>
        <w:t xml:space="preserve"> </w:t>
      </w:r>
      <w:r w:rsidR="00E83DAA">
        <w:rPr>
          <w:rFonts w:ascii="Times New Roman" w:eastAsia="Times New Roman" w:hAnsi="Times New Roman" w:cs="Times New Roman"/>
          <w:sz w:val="24"/>
          <w:szCs w:val="24"/>
        </w:rPr>
        <w:t>518</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15346B53"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766348">
        <w:rPr>
          <w:rFonts w:ascii="Times New Roman" w:eastAsia="Times New Roman" w:hAnsi="Times New Roman" w:cs="Times New Roman"/>
          <w:bCs/>
          <w:sz w:val="24"/>
          <w:szCs w:val="24"/>
        </w:rPr>
        <w:t>9247</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8659EA">
        <w:rPr>
          <w:rFonts w:ascii="Times New Roman" w:eastAsia="Times New Roman" w:hAnsi="Times New Roman" w:cs="Times New Roman"/>
          <w:bCs/>
          <w:sz w:val="24"/>
          <w:szCs w:val="24"/>
        </w:rPr>
        <w:t xml:space="preserve"> </w:t>
      </w:r>
      <w:r w:rsidR="00766348">
        <w:rPr>
          <w:rFonts w:ascii="Times New Roman" w:eastAsia="Times New Roman" w:hAnsi="Times New Roman" w:cs="Times New Roman"/>
          <w:bCs/>
          <w:sz w:val="24"/>
          <w:szCs w:val="24"/>
        </w:rPr>
        <w:t>1</w:t>
      </w:r>
      <w:r w:rsidR="00DC6C41" w:rsidRPr="0037354F">
        <w:rPr>
          <w:rFonts w:ascii="Times New Roman" w:eastAsia="Times New Roman" w:hAnsi="Times New Roman" w:cs="Times New Roman"/>
          <w:sz w:val="24"/>
          <w:szCs w:val="24"/>
        </w:rPr>
        <w:t xml:space="preserve">, </w:t>
      </w:r>
      <w:r w:rsidR="00766348">
        <w:rPr>
          <w:rFonts w:ascii="Times New Roman" w:eastAsia="Times New Roman" w:hAnsi="Times New Roman" w:cs="Times New Roman"/>
          <w:sz w:val="24"/>
          <w:szCs w:val="24"/>
        </w:rPr>
        <w:t>Queens</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E83DAA">
        <w:rPr>
          <w:rFonts w:ascii="Times New Roman" w:eastAsia="Times New Roman" w:hAnsi="Times New Roman" w:cs="Times New Roman"/>
          <w:sz w:val="24"/>
          <w:szCs w:val="24"/>
        </w:rPr>
        <w:t>85</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36F658D9"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9332D9">
        <w:rPr>
          <w:rFonts w:ascii="Times New Roman" w:eastAsia="Times New Roman" w:hAnsi="Times New Roman" w:cs="Times New Roman"/>
          <w:sz w:val="24"/>
          <w:szCs w:val="24"/>
        </w:rPr>
        <w:t>8</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573F62" w:rsidRPr="0037354F">
        <w:rPr>
          <w:rFonts w:ascii="Times New Roman" w:eastAsia="Times New Roman" w:hAnsi="Times New Roman" w:cs="Times New Roman"/>
          <w:bCs/>
          <w:sz w:val="24"/>
          <w:szCs w:val="24"/>
        </w:rPr>
        <w:t xml:space="preserve">Block </w:t>
      </w:r>
      <w:r w:rsidR="00766348">
        <w:rPr>
          <w:rFonts w:ascii="Times New Roman" w:eastAsia="Times New Roman" w:hAnsi="Times New Roman" w:cs="Times New Roman"/>
          <w:bCs/>
          <w:sz w:val="24"/>
          <w:szCs w:val="24"/>
        </w:rPr>
        <w:t>9247</w:t>
      </w:r>
      <w:r w:rsidR="003A234F">
        <w:rPr>
          <w:rFonts w:ascii="Times New Roman" w:eastAsia="Times New Roman" w:hAnsi="Times New Roman" w:cs="Times New Roman"/>
          <w:bCs/>
          <w:sz w:val="24"/>
          <w:szCs w:val="24"/>
        </w:rPr>
        <w:t>, Lot</w:t>
      </w:r>
      <w:r w:rsidR="008659EA">
        <w:rPr>
          <w:rFonts w:ascii="Times New Roman" w:eastAsia="Times New Roman" w:hAnsi="Times New Roman" w:cs="Times New Roman"/>
          <w:bCs/>
          <w:sz w:val="24"/>
          <w:szCs w:val="24"/>
        </w:rPr>
        <w:t xml:space="preserve"> </w:t>
      </w:r>
      <w:r w:rsidR="00766348">
        <w:rPr>
          <w:rFonts w:ascii="Times New Roman" w:eastAsia="Times New Roman" w:hAnsi="Times New Roman" w:cs="Times New Roman"/>
          <w:bCs/>
          <w:sz w:val="24"/>
          <w:szCs w:val="24"/>
        </w:rPr>
        <w:t>1</w:t>
      </w:r>
      <w:r w:rsidR="00573F62" w:rsidRPr="0037354F">
        <w:rPr>
          <w:rFonts w:ascii="Times New Roman" w:eastAsia="Times New Roman" w:hAnsi="Times New Roman" w:cs="Times New Roman"/>
          <w:sz w:val="24"/>
          <w:szCs w:val="24"/>
        </w:rPr>
        <w:t xml:space="preserve">, </w:t>
      </w:r>
      <w:r w:rsidR="00766348">
        <w:rPr>
          <w:rFonts w:ascii="Times New Roman" w:eastAsia="Times New Roman" w:hAnsi="Times New Roman" w:cs="Times New Roman"/>
          <w:sz w:val="24"/>
          <w:szCs w:val="24"/>
        </w:rPr>
        <w:t>Queens</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25DAA9F3"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“Beneficial Owners” shall mean BRG Ocean 18 LLC, Clayton Mor LLC, Dale Grenfell LLC, DB Chip LLC, and DB Dale LLC as tenants in common, or any other entities that acquire all or a portion of the beneficial interests in the Exemption Area with the prior written consent of HPD.  </w:t>
      </w:r>
    </w:p>
    <w:p w14:paraId="4A65AB5F" w14:textId="77777777" w:rsidR="00766348" w:rsidRPr="00766348" w:rsidRDefault="00766348" w:rsidP="00766348">
      <w:pPr>
        <w:rPr>
          <w:rFonts w:ascii="Times New Roman" w:hAnsi="Times New Roman" w:cs="Times New Roman"/>
          <w:sz w:val="24"/>
          <w:szCs w:val="24"/>
        </w:rPr>
      </w:pPr>
    </w:p>
    <w:p w14:paraId="1174D1E3"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“Effective Date” shall mean the later of (i) the date of conveyance of the Exemption Area to the HDFC, or (ii) the date that HPD and the Owner enter into the Regulatory Agreement. </w:t>
      </w:r>
    </w:p>
    <w:p w14:paraId="4230B7E8" w14:textId="77777777" w:rsidR="00766348" w:rsidRPr="00766348" w:rsidRDefault="00766348" w:rsidP="00766348">
      <w:pPr>
        <w:pStyle w:val="ListParagraph"/>
        <w:rPr>
          <w:rFonts w:ascii="Times New Roman" w:hAnsi="Times New Roman" w:cs="Times New Roman"/>
          <w:sz w:val="24"/>
          <w:szCs w:val="24"/>
        </w:rPr>
      </w:pPr>
    </w:p>
    <w:p w14:paraId="20410FF0"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“Exemption” shall mean the exemption from real property taxation provided hereunder.</w:t>
      </w:r>
    </w:p>
    <w:p w14:paraId="15F0466D" w14:textId="77777777" w:rsidR="00766348" w:rsidRPr="00766348" w:rsidRDefault="00766348" w:rsidP="00766348">
      <w:pPr>
        <w:pStyle w:val="ListParagraph"/>
        <w:rPr>
          <w:rFonts w:ascii="Times New Roman" w:hAnsi="Times New Roman" w:cs="Times New Roman"/>
          <w:sz w:val="24"/>
          <w:szCs w:val="24"/>
        </w:rPr>
      </w:pPr>
    </w:p>
    <w:p w14:paraId="6093A58E"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“Exemption Area” shall mean the real property located in the Borough of Queens, City and State of New York, identified as Block 9247, Lot 1 on the Tax Map of the City of New York.</w:t>
      </w:r>
    </w:p>
    <w:p w14:paraId="4A25BCC3" w14:textId="77777777" w:rsidR="00766348" w:rsidRPr="00766348" w:rsidRDefault="00766348" w:rsidP="00766348">
      <w:pPr>
        <w:pStyle w:val="ListParagraph"/>
        <w:rPr>
          <w:rFonts w:ascii="Times New Roman" w:hAnsi="Times New Roman" w:cs="Times New Roman"/>
          <w:sz w:val="24"/>
          <w:szCs w:val="24"/>
        </w:rPr>
      </w:pPr>
    </w:p>
    <w:p w14:paraId="4F1A1CB3"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6BFEC19C" w14:textId="77777777" w:rsidR="00766348" w:rsidRPr="00766348" w:rsidRDefault="00766348" w:rsidP="00766348">
      <w:pPr>
        <w:pStyle w:val="ListParagraph"/>
        <w:rPr>
          <w:rFonts w:ascii="Times New Roman" w:hAnsi="Times New Roman" w:cs="Times New Roman"/>
          <w:sz w:val="24"/>
          <w:szCs w:val="24"/>
        </w:rPr>
      </w:pPr>
    </w:p>
    <w:p w14:paraId="2BD77BA9"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“Gross Rent” shall mean the gross potential rents from all residential, commercial, and community facility units on the Exemption Area without regard to whether such units are </w:t>
      </w:r>
      <w:r w:rsidRPr="00766348">
        <w:rPr>
          <w:rFonts w:ascii="Times New Roman" w:hAnsi="Times New Roman" w:cs="Times New Roman"/>
          <w:sz w:val="24"/>
          <w:szCs w:val="24"/>
        </w:rPr>
        <w:lastRenderedPageBreak/>
        <w:t xml:space="preserve">occupied or vacant, including, but not limited to, Section 8, rent supplements, rental assistance, or any other subsidy. </w:t>
      </w:r>
    </w:p>
    <w:p w14:paraId="184BB278" w14:textId="77777777" w:rsidR="00766348" w:rsidRPr="00766348" w:rsidRDefault="00766348" w:rsidP="00766348">
      <w:pPr>
        <w:pStyle w:val="ListParagraph"/>
        <w:rPr>
          <w:rFonts w:ascii="Times New Roman" w:hAnsi="Times New Roman" w:cs="Times New Roman"/>
          <w:sz w:val="24"/>
          <w:szCs w:val="24"/>
        </w:rPr>
      </w:pPr>
    </w:p>
    <w:p w14:paraId="4F9CDC85"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“Gross Rent Deadline” shall mean three hundred and sixty-five (365) days from the date of the HPD letter requesting the information that HPD needs to calculate the Gross Rent Tax for the applicable tax year. </w:t>
      </w:r>
    </w:p>
    <w:p w14:paraId="5BF007B1" w14:textId="77777777" w:rsidR="00766348" w:rsidRPr="00766348" w:rsidRDefault="00766348" w:rsidP="00766348">
      <w:pPr>
        <w:pStyle w:val="ListParagraph"/>
        <w:rPr>
          <w:rFonts w:ascii="Times New Roman" w:hAnsi="Times New Roman" w:cs="Times New Roman"/>
          <w:sz w:val="24"/>
          <w:szCs w:val="24"/>
        </w:rPr>
      </w:pPr>
    </w:p>
    <w:p w14:paraId="21EFFAB6"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“Gross Rent Tax” shall mean, with respect to any tax year, an amount equal to five percent (5.0%) of the Gross Rent in such tax year; provided, however, that if the Owner fails to provide the Gross Rent on or before the Gross Rent Deadline, Gross Rent Tax shall mean an amount equal to real property taxes that would otherwise be due in such tax year in the absence of any form of exemption from or abatement of real property taxation.  </w:t>
      </w:r>
    </w:p>
    <w:p w14:paraId="7CF10DF3" w14:textId="77777777" w:rsidR="00766348" w:rsidRPr="00766348" w:rsidRDefault="00766348" w:rsidP="00766348">
      <w:pPr>
        <w:pStyle w:val="ListParagraph"/>
        <w:rPr>
          <w:rFonts w:ascii="Times New Roman" w:hAnsi="Times New Roman" w:cs="Times New Roman"/>
          <w:sz w:val="24"/>
          <w:szCs w:val="24"/>
        </w:rPr>
      </w:pPr>
    </w:p>
    <w:p w14:paraId="220220EE"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“HDFC” shall mean Dale Grenfell Housing Development Fund Company, Inc. or a housing development fund company that acquires the Exemption Area with the prior written consent of HPD.</w:t>
      </w:r>
    </w:p>
    <w:p w14:paraId="3BADA767" w14:textId="77777777" w:rsidR="00766348" w:rsidRPr="00766348" w:rsidRDefault="00766348" w:rsidP="00766348">
      <w:pPr>
        <w:pStyle w:val="ListParagraph"/>
        <w:rPr>
          <w:rFonts w:ascii="Times New Roman" w:hAnsi="Times New Roman" w:cs="Times New Roman"/>
          <w:sz w:val="24"/>
          <w:szCs w:val="24"/>
        </w:rPr>
      </w:pPr>
    </w:p>
    <w:p w14:paraId="0BC633E7"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“HPD” shall mean the Department of Housing Preservation and Development of the City of New York.</w:t>
      </w:r>
    </w:p>
    <w:p w14:paraId="04381EC7" w14:textId="77777777" w:rsidR="00766348" w:rsidRPr="00766348" w:rsidRDefault="00766348" w:rsidP="00766348">
      <w:pPr>
        <w:pStyle w:val="ListParagraph"/>
        <w:rPr>
          <w:rFonts w:ascii="Times New Roman" w:hAnsi="Times New Roman" w:cs="Times New Roman"/>
          <w:sz w:val="24"/>
          <w:szCs w:val="24"/>
        </w:rPr>
      </w:pPr>
    </w:p>
    <w:p w14:paraId="3FA3A685" w14:textId="55CB7012"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“Owner” shall mean, collectively, the HDFC and the Beneficial Owners.</w:t>
      </w:r>
    </w:p>
    <w:p w14:paraId="4D3DEF36" w14:textId="77777777" w:rsidR="00766348" w:rsidRPr="00766348" w:rsidRDefault="00766348" w:rsidP="00766348">
      <w:pPr>
        <w:pStyle w:val="ListParagraph"/>
        <w:rPr>
          <w:rFonts w:ascii="Times New Roman" w:hAnsi="Times New Roman" w:cs="Times New Roman"/>
          <w:sz w:val="24"/>
          <w:szCs w:val="24"/>
        </w:rPr>
      </w:pPr>
    </w:p>
    <w:p w14:paraId="396CB76A" w14:textId="77777777" w:rsidR="00766348" w:rsidRP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“Regulatory Agreement” shall mean the regulatory agreement between HPD and the Owner establishing certain controls upon the operation of the Exemption Area during the term of the Exemption. </w:t>
      </w:r>
    </w:p>
    <w:p w14:paraId="47708801" w14:textId="77777777" w:rsidR="00702785" w:rsidRPr="00702785" w:rsidRDefault="00702785" w:rsidP="00702785">
      <w:pPr>
        <w:ind w:left="0" w:firstLine="0"/>
        <w:rPr>
          <w:rFonts w:ascii="Times New Roman" w:hAnsi="Times New Roman" w:cs="Times New Roman"/>
          <w:sz w:val="24"/>
          <w:szCs w:val="24"/>
        </w:rPr>
      </w:pPr>
    </w:p>
    <w:p w14:paraId="5AE9BEF5" w14:textId="77777777" w:rsidR="00766348" w:rsidRPr="00766348" w:rsidRDefault="008659EA" w:rsidP="00766348">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766348" w:rsidRPr="00766348">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1DD7D324" w14:textId="77777777" w:rsidR="00D56BCF" w:rsidRDefault="00D56BCF" w:rsidP="00D56BCF">
      <w:pPr>
        <w:ind w:left="0" w:firstLine="0"/>
        <w:rPr>
          <w:rFonts w:ascii="Times New Roman" w:hAnsi="Times New Roman" w:cs="Times New Roman"/>
          <w:sz w:val="24"/>
          <w:szCs w:val="24"/>
        </w:rPr>
      </w:pPr>
    </w:p>
    <w:p w14:paraId="60000EF8" w14:textId="6E9525B4" w:rsidR="00766348" w:rsidRDefault="00D56BCF"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3. </w:t>
      </w:r>
      <w:r w:rsidR="00766348" w:rsidRPr="00766348">
        <w:rPr>
          <w:rFonts w:ascii="Times New Roman" w:hAnsi="Times New Roman" w:cs="Times New Roman"/>
          <w:sz w:val="24"/>
          <w:szCs w:val="24"/>
        </w:rPr>
        <w:t>Commencing upon the Effective Date, and during each year thereafter until the Expiration Date, the Owner shall make real property tax payments in the sum of the Gross Rent Tax. Notwithstanding the foregoing, the total annual real property tax payment by the Owner shall not at any time exceed the amount of real property taxes that would otherwise be due in the absence of any form of exemption from or abatement of real property taxation provided by an existing or future local, state, or federal law, rule, or regulation.</w:t>
      </w:r>
    </w:p>
    <w:p w14:paraId="475F3E47" w14:textId="77777777" w:rsidR="00766348" w:rsidRDefault="00766348" w:rsidP="00D56BCF">
      <w:pPr>
        <w:ind w:left="0" w:firstLine="0"/>
        <w:rPr>
          <w:rFonts w:ascii="Times New Roman" w:hAnsi="Times New Roman" w:cs="Times New Roman"/>
          <w:sz w:val="24"/>
          <w:szCs w:val="24"/>
        </w:rPr>
      </w:pPr>
    </w:p>
    <w:p w14:paraId="304120DB" w14:textId="00FBC8EF" w:rsidR="00702785" w:rsidRDefault="00766348"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4. </w:t>
      </w:r>
      <w:r w:rsidR="00702785" w:rsidRPr="00702785">
        <w:rPr>
          <w:rFonts w:ascii="Times New Roman" w:hAnsi="Times New Roman" w:cs="Times New Roman"/>
          <w:sz w:val="24"/>
          <w:szCs w:val="24"/>
        </w:rPr>
        <w:t>Notwithstanding any provision hereof to the contrary:</w:t>
      </w:r>
    </w:p>
    <w:p w14:paraId="6A337D1F" w14:textId="77777777" w:rsidR="005B6E0B" w:rsidRPr="00702785" w:rsidRDefault="005B6E0B" w:rsidP="00D56BCF">
      <w:pPr>
        <w:ind w:left="0" w:firstLine="0"/>
        <w:rPr>
          <w:rFonts w:ascii="Times New Roman" w:hAnsi="Times New Roman" w:cs="Times New Roman"/>
          <w:sz w:val="24"/>
          <w:szCs w:val="24"/>
        </w:rPr>
      </w:pPr>
    </w:p>
    <w:p w14:paraId="4D963EF6" w14:textId="17F17D5F" w:rsidR="00702785" w:rsidRDefault="00766348" w:rsidP="00702785">
      <w:pPr>
        <w:pStyle w:val="ListParagraph"/>
        <w:numPr>
          <w:ilvl w:val="0"/>
          <w:numId w:val="25"/>
        </w:numPr>
        <w:rPr>
          <w:rFonts w:ascii="Times New Roman" w:hAnsi="Times New Roman" w:cs="Times New Roman"/>
          <w:sz w:val="24"/>
          <w:szCs w:val="24"/>
        </w:rPr>
      </w:pPr>
      <w:r w:rsidRPr="00766348">
        <w:rPr>
          <w:rFonts w:ascii="Times New Roman" w:hAnsi="Times New Roman" w:cs="Times New Roman"/>
          <w:sz w:val="24"/>
          <w:szCs w:val="24"/>
        </w:rPr>
        <w:t xml:space="preserve">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w:t>
      </w:r>
      <w:r w:rsidRPr="00766348">
        <w:rPr>
          <w:rFonts w:ascii="Times New Roman" w:hAnsi="Times New Roman" w:cs="Times New Roman"/>
          <w:sz w:val="24"/>
          <w:szCs w:val="24"/>
        </w:rPr>
        <w:lastRenderedPageBreak/>
        <w:t>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p>
    <w:p w14:paraId="35CFD965" w14:textId="77777777" w:rsidR="00702785" w:rsidRDefault="00702785" w:rsidP="00702785">
      <w:pPr>
        <w:pStyle w:val="ListParagraph"/>
        <w:ind w:firstLine="0"/>
        <w:rPr>
          <w:rFonts w:ascii="Times New Roman" w:hAnsi="Times New Roman" w:cs="Times New Roman"/>
          <w:sz w:val="24"/>
          <w:szCs w:val="24"/>
        </w:rPr>
      </w:pPr>
    </w:p>
    <w:p w14:paraId="120073FF" w14:textId="13761F47" w:rsidR="00702785" w:rsidRDefault="00D56BCF" w:rsidP="00B02499">
      <w:pPr>
        <w:pStyle w:val="ListParagraph"/>
        <w:numPr>
          <w:ilvl w:val="0"/>
          <w:numId w:val="25"/>
        </w:numPr>
        <w:rPr>
          <w:rFonts w:ascii="Times New Roman" w:hAnsi="Times New Roman" w:cs="Times New Roman"/>
          <w:sz w:val="24"/>
          <w:szCs w:val="24"/>
        </w:rPr>
      </w:pPr>
      <w:r w:rsidRPr="00D56BCF">
        <w:rPr>
          <w:rFonts w:ascii="Times New Roman" w:hAnsi="Times New Roman" w:cs="Times New Roman"/>
          <w:sz w:val="24"/>
          <w:szCs w:val="24"/>
        </w:rPr>
        <w:t>The</w:t>
      </w:r>
      <w:r w:rsidR="00766348">
        <w:rPr>
          <w:rFonts w:ascii="Times New Roman" w:hAnsi="Times New Roman" w:cs="Times New Roman"/>
          <w:sz w:val="24"/>
          <w:szCs w:val="24"/>
        </w:rPr>
        <w:t xml:space="preserve"> </w:t>
      </w:r>
      <w:r w:rsidR="00766348" w:rsidRPr="00766348">
        <w:rPr>
          <w:rFonts w:ascii="Times New Roman" w:hAnsi="Times New Roman" w:cs="Times New Roman"/>
          <w:sz w:val="24"/>
          <w:szCs w:val="24"/>
        </w:rPr>
        <w:t>Exemption shall apply to all land in the Exemption Area, but shall apply only to buildings on the Exemption Area that exist on the Effective Date.</w:t>
      </w:r>
    </w:p>
    <w:p w14:paraId="7D36F907" w14:textId="77777777" w:rsidR="00D56BCF" w:rsidRPr="00D56BCF" w:rsidRDefault="00D56BCF" w:rsidP="00D56BCF">
      <w:pPr>
        <w:pStyle w:val="ListParagraph"/>
        <w:rPr>
          <w:rFonts w:ascii="Times New Roman" w:hAnsi="Times New Roman" w:cs="Times New Roman"/>
          <w:sz w:val="24"/>
          <w:szCs w:val="24"/>
        </w:rPr>
      </w:pPr>
    </w:p>
    <w:p w14:paraId="0FE0248A" w14:textId="23BB5480" w:rsidR="00D56BCF" w:rsidRPr="00D56BCF" w:rsidRDefault="00766348" w:rsidP="00D56BCF">
      <w:pPr>
        <w:pStyle w:val="ListParagraph"/>
        <w:numPr>
          <w:ilvl w:val="0"/>
          <w:numId w:val="25"/>
        </w:numPr>
        <w:rPr>
          <w:rFonts w:ascii="Times New Roman" w:hAnsi="Times New Roman" w:cs="Times New Roman"/>
          <w:sz w:val="24"/>
          <w:szCs w:val="24"/>
        </w:rPr>
      </w:pPr>
      <w:r w:rsidRPr="00766348">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0E16EB9F" w14:textId="0BA8041F" w:rsidR="008659EA" w:rsidRPr="00D56BCF" w:rsidRDefault="008659EA" w:rsidP="00D56BCF">
      <w:pPr>
        <w:pStyle w:val="ListParagraph"/>
        <w:ind w:firstLine="0"/>
        <w:rPr>
          <w:rFonts w:ascii="Times New Roman" w:hAnsi="Times New Roman" w:cs="Times New Roman"/>
          <w:sz w:val="24"/>
          <w:szCs w:val="24"/>
        </w:rPr>
      </w:pPr>
    </w:p>
    <w:p w14:paraId="75386C5F" w14:textId="42DB77E6" w:rsidR="0064284C" w:rsidRDefault="00766348" w:rsidP="00766348">
      <w:pPr>
        <w:ind w:left="0" w:firstLine="0"/>
        <w:rPr>
          <w:rFonts w:ascii="Times New Roman" w:hAnsi="Times New Roman" w:cs="Times New Roman"/>
          <w:sz w:val="24"/>
          <w:szCs w:val="24"/>
        </w:rPr>
      </w:pPr>
      <w:r>
        <w:rPr>
          <w:rFonts w:ascii="Times New Roman" w:hAnsi="Times New Roman" w:cs="Times New Roman"/>
          <w:sz w:val="24"/>
          <w:szCs w:val="24"/>
        </w:rPr>
        <w:t>5</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00D56BCF" w:rsidRPr="00D56BCF">
        <w:rPr>
          <w:rFonts w:ascii="Times New Roman" w:hAnsi="Times New Roman" w:cs="Times New Roman"/>
          <w:sz w:val="24"/>
          <w:szCs w:val="24"/>
        </w:rPr>
        <w:t xml:space="preserve">In </w:t>
      </w:r>
      <w:r w:rsidRPr="00766348">
        <w:rPr>
          <w:rFonts w:ascii="Times New Roman" w:hAnsi="Times New Roman" w:cs="Times New Roman"/>
          <w:sz w:val="24"/>
          <w:szCs w:val="24"/>
        </w:rPr>
        <w:t>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w:t>
      </w:r>
    </w:p>
    <w:p w14:paraId="2DECE712" w14:textId="77777777" w:rsidR="00766348" w:rsidRPr="0037354F" w:rsidRDefault="00766348" w:rsidP="00766348">
      <w:pPr>
        <w:ind w:left="0"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22C6D" w14:textId="77777777" w:rsidR="0090423A" w:rsidRDefault="0090423A">
      <w:pPr>
        <w:spacing w:after="0" w:line="240" w:lineRule="auto"/>
      </w:pPr>
      <w:r>
        <w:separator/>
      </w:r>
    </w:p>
  </w:endnote>
  <w:endnote w:type="continuationSeparator" w:id="0">
    <w:p w14:paraId="6F026F45" w14:textId="77777777" w:rsidR="0090423A" w:rsidRDefault="00904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EF158" w14:textId="77777777" w:rsidR="0090423A" w:rsidRDefault="0090423A">
      <w:pPr>
        <w:spacing w:after="0" w:line="240" w:lineRule="auto"/>
      </w:pPr>
      <w:r>
        <w:separator/>
      </w:r>
    </w:p>
  </w:footnote>
  <w:footnote w:type="continuationSeparator" w:id="0">
    <w:p w14:paraId="40D42642" w14:textId="77777777" w:rsidR="0090423A" w:rsidRDefault="00904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469C7"/>
    <w:rsid w:val="000550FC"/>
    <w:rsid w:val="0006566B"/>
    <w:rsid w:val="0007661F"/>
    <w:rsid w:val="00086CEB"/>
    <w:rsid w:val="00087478"/>
    <w:rsid w:val="0009644C"/>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35A67"/>
    <w:rsid w:val="002554CB"/>
    <w:rsid w:val="00274924"/>
    <w:rsid w:val="00280C98"/>
    <w:rsid w:val="0028371C"/>
    <w:rsid w:val="00296DB9"/>
    <w:rsid w:val="002A1C2F"/>
    <w:rsid w:val="002B3482"/>
    <w:rsid w:val="002C5429"/>
    <w:rsid w:val="002D1250"/>
    <w:rsid w:val="002D3CC1"/>
    <w:rsid w:val="002F0ADA"/>
    <w:rsid w:val="00326F49"/>
    <w:rsid w:val="00341301"/>
    <w:rsid w:val="003438A9"/>
    <w:rsid w:val="00370C25"/>
    <w:rsid w:val="0037354F"/>
    <w:rsid w:val="00394529"/>
    <w:rsid w:val="003A234F"/>
    <w:rsid w:val="003A37E6"/>
    <w:rsid w:val="003B253C"/>
    <w:rsid w:val="003C58FD"/>
    <w:rsid w:val="004060A6"/>
    <w:rsid w:val="004323D3"/>
    <w:rsid w:val="00441BA0"/>
    <w:rsid w:val="00441F57"/>
    <w:rsid w:val="004643A9"/>
    <w:rsid w:val="004A1498"/>
    <w:rsid w:val="004B115E"/>
    <w:rsid w:val="004B5C53"/>
    <w:rsid w:val="004C6963"/>
    <w:rsid w:val="004D3C58"/>
    <w:rsid w:val="004D73D6"/>
    <w:rsid w:val="004E1617"/>
    <w:rsid w:val="00503C10"/>
    <w:rsid w:val="005048C2"/>
    <w:rsid w:val="00506787"/>
    <w:rsid w:val="00512C0A"/>
    <w:rsid w:val="00547EDF"/>
    <w:rsid w:val="00570D78"/>
    <w:rsid w:val="00573F62"/>
    <w:rsid w:val="005858F0"/>
    <w:rsid w:val="005A2EF0"/>
    <w:rsid w:val="005B0A12"/>
    <w:rsid w:val="005B6E0B"/>
    <w:rsid w:val="005B7A47"/>
    <w:rsid w:val="005D6096"/>
    <w:rsid w:val="005E4BED"/>
    <w:rsid w:val="005F1AB6"/>
    <w:rsid w:val="005F5F3D"/>
    <w:rsid w:val="006005EF"/>
    <w:rsid w:val="006033B6"/>
    <w:rsid w:val="0064284C"/>
    <w:rsid w:val="0064609E"/>
    <w:rsid w:val="0065136A"/>
    <w:rsid w:val="00654FC1"/>
    <w:rsid w:val="00661E56"/>
    <w:rsid w:val="0066423D"/>
    <w:rsid w:val="00670EF9"/>
    <w:rsid w:val="00674F07"/>
    <w:rsid w:val="006A3F50"/>
    <w:rsid w:val="006B7FBC"/>
    <w:rsid w:val="006C7541"/>
    <w:rsid w:val="006D30F4"/>
    <w:rsid w:val="006D4EBA"/>
    <w:rsid w:val="006D5EC4"/>
    <w:rsid w:val="006D7615"/>
    <w:rsid w:val="006F21BE"/>
    <w:rsid w:val="006F67A3"/>
    <w:rsid w:val="0070072A"/>
    <w:rsid w:val="00702785"/>
    <w:rsid w:val="007045B4"/>
    <w:rsid w:val="007330FC"/>
    <w:rsid w:val="00743B5D"/>
    <w:rsid w:val="007618BF"/>
    <w:rsid w:val="00766348"/>
    <w:rsid w:val="007734A3"/>
    <w:rsid w:val="0079516A"/>
    <w:rsid w:val="007A73F6"/>
    <w:rsid w:val="007C2DE4"/>
    <w:rsid w:val="007C5499"/>
    <w:rsid w:val="007D2960"/>
    <w:rsid w:val="007E5C51"/>
    <w:rsid w:val="00820B41"/>
    <w:rsid w:val="00824A09"/>
    <w:rsid w:val="00827948"/>
    <w:rsid w:val="00830FA9"/>
    <w:rsid w:val="0084314A"/>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423A"/>
    <w:rsid w:val="0090597D"/>
    <w:rsid w:val="00915763"/>
    <w:rsid w:val="009332D9"/>
    <w:rsid w:val="009419D7"/>
    <w:rsid w:val="009673B9"/>
    <w:rsid w:val="00980C40"/>
    <w:rsid w:val="009B0710"/>
    <w:rsid w:val="009B64A7"/>
    <w:rsid w:val="009C163D"/>
    <w:rsid w:val="009D5153"/>
    <w:rsid w:val="009E6D4C"/>
    <w:rsid w:val="00A04C22"/>
    <w:rsid w:val="00A3343F"/>
    <w:rsid w:val="00A45133"/>
    <w:rsid w:val="00A6234E"/>
    <w:rsid w:val="00A630EB"/>
    <w:rsid w:val="00A73E80"/>
    <w:rsid w:val="00A83041"/>
    <w:rsid w:val="00A86E3F"/>
    <w:rsid w:val="00A92383"/>
    <w:rsid w:val="00AB765A"/>
    <w:rsid w:val="00AF3804"/>
    <w:rsid w:val="00B03BF8"/>
    <w:rsid w:val="00B04AC0"/>
    <w:rsid w:val="00B06BB5"/>
    <w:rsid w:val="00B1481B"/>
    <w:rsid w:val="00B22042"/>
    <w:rsid w:val="00B221AB"/>
    <w:rsid w:val="00B2356F"/>
    <w:rsid w:val="00B476F8"/>
    <w:rsid w:val="00B54C37"/>
    <w:rsid w:val="00B658A8"/>
    <w:rsid w:val="00B731A5"/>
    <w:rsid w:val="00B9070C"/>
    <w:rsid w:val="00B967EA"/>
    <w:rsid w:val="00BC7BD2"/>
    <w:rsid w:val="00BD40B4"/>
    <w:rsid w:val="00BD616D"/>
    <w:rsid w:val="00BE62B6"/>
    <w:rsid w:val="00BF2BC0"/>
    <w:rsid w:val="00C0197C"/>
    <w:rsid w:val="00C03F99"/>
    <w:rsid w:val="00C14CC4"/>
    <w:rsid w:val="00C2198F"/>
    <w:rsid w:val="00C321C4"/>
    <w:rsid w:val="00C3799C"/>
    <w:rsid w:val="00C47CC8"/>
    <w:rsid w:val="00C57AF3"/>
    <w:rsid w:val="00C70258"/>
    <w:rsid w:val="00C71E38"/>
    <w:rsid w:val="00C81AD1"/>
    <w:rsid w:val="00C85A42"/>
    <w:rsid w:val="00CB13B2"/>
    <w:rsid w:val="00CB51DB"/>
    <w:rsid w:val="00CB70AE"/>
    <w:rsid w:val="00CD27D5"/>
    <w:rsid w:val="00CE268C"/>
    <w:rsid w:val="00CE2A11"/>
    <w:rsid w:val="00CE7792"/>
    <w:rsid w:val="00CF7345"/>
    <w:rsid w:val="00D07B72"/>
    <w:rsid w:val="00D136FF"/>
    <w:rsid w:val="00D178BA"/>
    <w:rsid w:val="00D23896"/>
    <w:rsid w:val="00D307EE"/>
    <w:rsid w:val="00D41AFA"/>
    <w:rsid w:val="00D52503"/>
    <w:rsid w:val="00D56BCF"/>
    <w:rsid w:val="00D84A43"/>
    <w:rsid w:val="00D91B72"/>
    <w:rsid w:val="00D956A4"/>
    <w:rsid w:val="00D97AA5"/>
    <w:rsid w:val="00DB6E72"/>
    <w:rsid w:val="00DC6C41"/>
    <w:rsid w:val="00DE0000"/>
    <w:rsid w:val="00DE52E7"/>
    <w:rsid w:val="00DF0587"/>
    <w:rsid w:val="00DF7A16"/>
    <w:rsid w:val="00E216D7"/>
    <w:rsid w:val="00E21B7D"/>
    <w:rsid w:val="00E34B1F"/>
    <w:rsid w:val="00E542C4"/>
    <w:rsid w:val="00E5483E"/>
    <w:rsid w:val="00E77702"/>
    <w:rsid w:val="00E83DAA"/>
    <w:rsid w:val="00EB36BF"/>
    <w:rsid w:val="00EC021E"/>
    <w:rsid w:val="00EC6EF8"/>
    <w:rsid w:val="00ED01D4"/>
    <w:rsid w:val="00EF4C28"/>
    <w:rsid w:val="00EF6703"/>
    <w:rsid w:val="00F038F0"/>
    <w:rsid w:val="00F05CAC"/>
    <w:rsid w:val="00F239CE"/>
    <w:rsid w:val="00F304B3"/>
    <w:rsid w:val="00F3497C"/>
    <w:rsid w:val="00F41442"/>
    <w:rsid w:val="00F45F61"/>
    <w:rsid w:val="00F46C78"/>
    <w:rsid w:val="00F52330"/>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1035</Words>
  <Characters>5902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2026-06-05T22:56:00Z</dcterms:created>
  <dcterms:modified xsi:type="dcterms:W3CDTF">2026-06-11T17:38:00Z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